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Técnico y Legal Exhaustivo: Metodología de Rediseño de Layout Logístico y Cumplimiento Normativo para ESMAX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y Contexto Operacional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y reconfiguración de una instalación logística destinada al almacenamiento y distribución de derivados de hidrocarburos representa uno de los desafíos más complejos dentro de la ingeniería de la cadena de suministro. No se trata únicamente de un ejercicio de optimización espacial y volumétrica, sino de la articulación estricta de un entramado legal, medioambiental y de seguridad industrial. El presente informe de investigación aborda en profundidad todos los elementos legales, técnicos y metodológicos requeridos para la formulación de un layout de clase mundial, aplicado al caso real de la empresa ESMAX. Esta compañía, fundada en el año 1913 bajo el nombre de West India Oil Company y adquirida en marzo de 2024 por Aramco Overseas Company, opera como un actor crítico en la distribución de combustibles y lubricantes en Chile, incluyendo operaciones para la red de estaciones Petrobras.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escenario actual de la Planta Maipú de ESMAX, cuya infraestructura original data de la década de 1960, evidencia los síntomas clásicos de una instalación que ha sido superada por el crecimiento sostenido de la demanda.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operación ocupa actualmente una superficie de 5.400 metros cuadrados distribuidos en cinco sectores fragmentados que combinan espacios cerrados, galpones abiertos lateralmente e incluso almacenamiento a la intemperie.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nivel de fragmentación estructural ha generado cuellos de botella severos, destacando la ausencia de andenes formales de carga y descarga, lo que provoca la superposición de los flujos de recepción y despacho en una única zona de </w:t>
      </w:r>
      <w:r w:rsidDel="00000000" w:rsidR="00000000" w:rsidRPr="00000000">
        <w:rPr>
          <w:rFonts w:ascii="Google Sans" w:cs="Google Sans" w:eastAsia="Google Sans" w:hAnsi="Google Sans"/>
          <w:i w:val="1"/>
          <w:iCs w:val="1"/>
          <w:color w:val="1f1f1f"/>
          <w:rtl w:val="0"/>
        </w:rPr>
        <w:t xml:space="preserve">staging</w:t>
      </w:r>
      <w:r w:rsidDel="00000000" w:rsidR="00000000" w:rsidRPr="00000000">
        <w:rPr>
          <w:rFonts w:ascii="Google Sans" w:cs="Google Sans" w:eastAsia="Google Sans" w:hAnsi="Google Sans"/>
          <w:color w:val="1f1f1f"/>
          <w:rtl w:val="0"/>
        </w:rPr>
        <w:t xml:space="preserve"> (espera), resultando en demoras operativas diarias estimadas entre dos y tres horas.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interno, la bodega actual custodia un portafolio de aproximadamente 600 Unidades de Mantenimiento de Existencias (SKUs) correspondientes a aceites, aditivos y lubricantes.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Debido a la carencia de un Sistema de Gestión de Almacenes (WMS) que administre el inventario por ubicaciones físicas exactas, la operación depende del conocimiento empírico de los operadores de grúa.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desconexión entre el sistema ERP corporativo (SAP) y la realidad física impide el cumplimiento sistemático del criterio de rotación First-In, First-Out (FIFO), generando riesgos de obsolescencia de productos y mermas financieras.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tránsito simultáneo de montacargas pesados y personal peatonal realizando labores de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(preparación de pedidos) de envases menores en las mismas áreas eleva drásticamente el riesgo de accidentabilidad.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estas deficiencias y proyectar la operación hacia las próximas décadas, el desafío consiste en rediseñar la bodega en un terreno disponible dentro de la misma planta, el cual cuenta con un perímetro de 971,1 metros y un área total de 26.428,22 metros cuadrados.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rediseño exige comprimir la huella operativa actual hacia un modelo de alta densidad de aproximadamente 3.000 metros cuadrados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utilizando el espacio vertical de manera eficiente. Sin embargo, la disposición de cada estantería, muro, pasillo y zona de desechos está rígidamente condicionada por las leyes chilenas. A continuación, se desglosa el marco legal obligatorio y la metodología experta de ocho etapas para el diseño de un layout industrial de este calibre.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Legal y Regulatorio de la Infraestructura Logística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un layout para el almacenamiento de sustancias químicas y combustibles líquidos en Chile está supeditado a un conjunto de normativas transversales que dictan la geometría de la instalación, los materiales de construcción, las medidas de mitigación ambiental y la ergonomía del trabajador. La inobservancia de estos preceptos no solo acarrea paralizaciones de faena y multas por parte de la Secretaría Regional Ministerial (SEREMI) de Salud y la Superintendencia de Electricidad y Combustibles (SEC), sino que expone a la organización a responsabilidades penales ante accidentes graves o desastres ecológicos.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Ordenanza General de Urbanismo y Construcciones (OGUC) y Muros Perimetrales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estructuración perimetral e interna de una bodega industrial comienza por las exigencias de la Ordenanza General de Urbanismo y Construcciones (OGUC), la cual regula las condiciones de habitabilidad, estabilidad y seguridad contra incendios de las edificaciones.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el contexto de instalaciones que manejan alta carga combustible, como es el caso de los lubricantes de ESMAX, la arquitectura del layout debe diferenciar claramente entre los cierres perimetrales del predio y los muros cortafuego.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cierre perimetral tiene la función de delimitar la propiedad, prevenir el ingreso de personal no autorizado y resguardar los activos, pero no necesariamente posee propiedades termodinámicas de contención. Por el contrario, un muro cortafuego es un elemento de protección pasiva diseñado para confinar un incendio dentro de un sector específico, impidiendo la propagación de las llamas, el humo y la radiación térmica hacia instalaciones adyacentes o predios vecinos.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OGUC exige que estos muros sean construidos con materiales incombustibles, carezcan de perforaciones y no posean empotramientos estructurales que puedan debilitar su Resistencia al Fuego (RF).</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nivel de Resistencia al Fuego se mide en minutos. Para bodegas de almacenamiento industrial de alto riesgo, la normativa exige muros divisorios internos con una clasificación mínima de RF 120 (capaces de resistir la acción directa del fuego durante 120 minutos sin colapsar).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los casos donde la edificación de la bodega se adosa al límite de la propiedad (adosamiento a deslindes), la exigencia térmica se eleva a muros cortafuego con clasificación RF 180.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restricción arquitectónica obliga a los ingenieros logísticos a calcular cuidadosamente si resulta más rentable construir muros de altísima especificación o, alternativamente, retraer la huella del edificio hacia el interior del terreno para cumplir con las franjas de distanciamiento libre.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Decreto Supremo N° 43: Almacenamiento de Sustancias Peligrosas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Decreto Supremo N° 43 (DS 43) del Ministerio de Salud es el pilar regulatorio central para la operación de ESMAX, ya que establece las condiciones de seguridad en las que deben mantenerse las sustancias peligrosas para evitar daños a la salud de la población y al entorno.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Debido a que los aceites y lubricantes son derivados de hidrocarburos, muchos de ellos se clasifican como líquidos inflamables o combustibles (Clase 3) bajo la Norma Chilena Oficial NCh 382, lo que activa inmediatamente la jurisdicción del DS 43.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layout debe contemplar obligatoriamente la sectorización química. El DS 43 prohíbe el almacenamiento de sustancias incompatibles en un mismo espacio físico si existe riesgo de reacciones exotérmicas, explosiones o generación de gases tóxicos en caso de contacto accidental.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Matriz de Incompatibilidades Químicas exige que el layout incluya separaciones físicas sustanciales; por ejemplo, se requiere una distancia mínima de 2,4 metros entre sustancias peligrosas compatibles dentro del mismo recinto, y separaciones aún mayores o muros divisorios para productos de clases reactivas.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líquidos inflamables deben ser dispuestos en una zona exclusiva, aislados de áreas de tránsito general y separados de cualquier producto oxidante o explosivo por distancias de seguridad que suelen partir en los 6 metros.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Otra imposición fundamental del DS 43 que altera radicalmente el diseño del suelo (radier) del almacén es el requerimiento de sistemas de contención de derrames. El artículo 53 establece que toda bodega que almacene líquidos peligrosos debe ser autocontenida.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Para lograr esto, el piso de la bodega no puede ser completamente plano; debe poseer una pendiente continua no inferior al 0,5%.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inclinación, aunque imperceptible para la operación regular de grúas horquilla, garantiza que la alta viscosidad de los aceites derramados escurra fluidamente hacia canaletas perimetrales.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Estas canaletas deben converger en una cámara de acumulación estanca subterránea o externa (cubeto), cuyo volumen geométrico debe ser capaz de retener el equivalente al 110% del volumen del envase de mayor capacidad almacenado, o el 20% del volumen total de la bodega, primando el criterio de mayor exigencia, con un volumen mínimo absoluto de 1,1 metros cúbicos.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impermeabilización del piso con recubrimientos epóxicos no porosos es igualmente obligatoria para evitar la percolación de contaminantes hacia las napas freáticas.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distancias de seguridad hacia los deslindes del terreno dependen directamente de la carga másica almacenada. Según el DS 43, las bodegas instaladas en zonas industriales deben mantener un retiro mínimo de 3 metros respecto a sus muros medianeros si almacenan hasta 30 toneladas.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 el tonelaje oscila entre 30 y 1.000 toneladas, la franja de seguridad se amplía a 5 metros, y para operaciones superiores a las 1.000 toneladas, el distanciamiento perimetral obligatorio es de 10 metros.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Estos pasillos perimetrales no pueden ser utilizados para almacenamiento temporal; deben permanecer despejados para actuar como vías de evacuación rápida y permitir el anillo de circunvalación para los vehículos de emergencia y carros bomba.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Decreto Supremo N° 78 y N° 160: Combustibles Líquidos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Tratándose de una empresa que presta servicios a la industria petrolera, la normativa del Ministerio de Economía, Fomento y Reconstrucción respecto a los combustibles líquidos también tiene incidencias. El Decreto Supremo N° 160 aprueba el reglamento de seguridad para las instalaciones y operaciones de producción, refinación, transporte y almacenamiento de combustibles líquidos.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normativa exige que las operaciones logísticas incluyan un control estricto de las fuentes de ignición, instalaciones eléctricas a prueba de explosión (intrínsecamente seguras) y sistemas de extinción de incendios de alta respuesta.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prevención de incendios se diseña bajo normativas internacionales estandarizadas, primordialmente la National Fire Protection Association (NFPA).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layout de ESMAX debe integrar desde el nivel de fundaciones la planimetría para sistemas automáticos de extinción, tales como redes de rociadores de agua (sprinklers) tipo ESFR (Early Suppression Fast Response) o CMSA, los cuales están diseñados para suprimir incendios de alta energía térmica en almacenamientos de racks paletizados de gran altura.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Asimismo, el edificio debe incluir una red húmeda con reserva de agua propia y bombas presurizadas que aseguren una autonomía de al menos 60 minutos de supresión a caudal máximo, con respaldo de energía mediante grupos electrógenos independientes.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Decreto Supremo N° 148: Manejo de Residuos Peligrosos (RESPEL)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Toda operación logística de lubricantes genera pasivos ambientales inevitables: envases plásticos y metálicos contaminados, material absorbente utilizado en la limpieza de goteos menores, aceites degradados, borras y elementos filtrantes. La gestión de estos desechos está estrictamente regulada por el Decreto Supremo N° 148, el Reglamento Sanitario sobre Manejo de Residuos Peligrosos.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En el layout de expertos, los "lugares de desechos" no son meros acopios informales en esquinas ociosas, sino instalaciones dedicadas que deben obtener su propia Autorización Sanitaria independiente.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sitio RESPEL exige el cumplimiento de parámetros arquitectónicos invariables. El recinto debe poseer un cierre perimetral de al menos 1,80 metros de altura que bloquee físicamente el libre acceso de personal no autorizado y animales.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 ley prohíbe terminantemente el acopio a la intemperie; la zona de desechos debe estar techada y protegida contra las condiciones climáticas adversas, particularmente la radiación solar, la cual puede inducir la gasificación y posterior explosión de tambores metálicos con residuos volátiles.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 igual que la bodega principal, el suelo del área RESPEL debe ser continuo, estructuralmente resistente a la agresión química y contar con sistemas de retención de escurrimientos equivalentes al 20% del volumen total almacenado.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ubicación de este lugar de desechos dentro del terreno total de ESMAX está sujeta a restricciones de distanciamiento. Si los residuos acopiados presentan características de inflamabilidad o reactividad (una certeza en la industria de lubricantes), el DS 148 estipula que la instalación RESPEL debe situarse a una distancia mínima de 15 metros respecto a los deslindes de la propiedad.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Esta variable obliga a localizar la zona de manejo de residuos hacia el interior del predio, alejándola de los muros perimetrales, lo que a su vez requiere diseñar rutas de tránsito interno que permitan a los camiones de extracción de residuos maniobrar sin interrumpir el flujo principal de los camiones de despacho de producto terminado. Adicionalmente, el almacenamiento temporal de estos residuos está limitado a un período máximo de 6 meses, lo que significa que el tamaño de la bodega de desechos debe calcularse en función de la tasa de generación semestral esperada.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Decreto Supremo N° 594: Condiciones Sanitarias y Ambientales Básicas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ergonomía operacional y la habitabilidad interior de la bodega están reguladas por el Decreto Supremo N° 594 del Ministerio de Salud.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 normativa se enfoca en la prevención de riesgos y la salud ocupacional del personal que ejecuta labores de recepción, almacenaje y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ancho y la disposición de las vías de tránsito son aspectos críticos fiscalizados bajo este decreto. Los pasillos de circulación de maquinarias y evacuación peatonal deben mantenerse despejados, libres de obstáculos y no pueden ser utilizados para el almacenamiento transitorio de pallets.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 falta de segregación física entre el tránsito de grúas horquilla y el personal a pie es una contravención severa que aumenta la probabilidad de accidentes fatales por atropello o aplastamiento. Por consiguiente, el layout debe incorporar demarcaciones horizontales claras (pintura epóxica de alto tráfico), barreras físicas de protección de acero en los extremos de los racks, e instalación de espejos parabólicos cóncavos en todas las intersecciones ciegas.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iluminación es otro parámetro regulado matemáticamente. Para operaciones de almacenamiento y tránsito general en bodegas, el DS 594 exige una luminancia mínima mantenida de 150 lux.</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Sin embargo, en las zonas destinadas a la preparación de pedidos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etiquetado, inspección de calidad y fraccionamiento, donde la tarea visual es más demandante y los operarios deben leer códigos de barras, números de lote y fechas de vencimiento, la iluminación debe incrementarse a un mínimo de 300 lux.</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 diseño experto del layout incorpora un estudio luminotécnico que aprovecha la luz natural mediante claraboyas translúcidas de policarbonato en la techumbre (iluminación cenital), complementada con sistemas de luminarias LED suspendidas, sectorizadas y controladas por sensores de presencia en los pasillos de racks.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dimensionamiento de las instalaciones auxiliares de bienestar debe proyectarse en función de la dotación de la planta. El reglamento establece proporciones obligatorias para la provisión de inodoros, lavatorios y duchas con agua caliente y fría.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En la disposición física, estos camarines, al igual que el casino de alimentación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deben situarse en sectores limpios, completamente segregados de las áreas de manipulación de sustancias químicas y rutas de tránsito de carga.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Ingeniería de Tránsito y Andenes de Carga (Patios de Maniobras)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fluidez operativa de ESMAX depende críticamente de la interfaz entre el almacenamiento estático y la red de transporte en movimiento. El volumen de transferencia diaria (alcanzando hasta 10 camiones de recepción y 12 camiones de despacho en horarios punta) exige un diseño vial preciso de los patios de maniobras y los andenes (</w:t>
      </w:r>
      <w:r w:rsidDel="00000000" w:rsidR="00000000" w:rsidRPr="00000000">
        <w:rPr>
          <w:rFonts w:ascii="Google Sans" w:cs="Google Sans" w:eastAsia="Google Sans" w:hAnsi="Google Sans"/>
          <w:i w:val="1"/>
          <w:iCs w:val="1"/>
          <w:color w:val="1f1f1f"/>
          <w:rtl w:val="0"/>
        </w:rPr>
        <w:t xml:space="preserve">docks</w:t>
      </w:r>
      <w:r w:rsidDel="00000000" w:rsidR="00000000" w:rsidRPr="00000000">
        <w:rPr>
          <w:rFonts w:ascii="Google Sans" w:cs="Google Sans" w:eastAsia="Google Sans" w:hAnsi="Google Sans"/>
          <w:color w:val="1f1f1f"/>
          <w:rtl w:val="0"/>
        </w:rPr>
        <w:t xml:space="preserve"> de carga).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patio exterior no está regido directamente por normativas sanitarias, sino por estándares de la ingeniería de transporte e infraestructura vial, como las directrices emanadas del Manual de Carreteras y de Vialidad Urbana.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Los tractocamiones articulados que transportan carga pesada imponen restricciones cinemáticas estrictas. Para permitir que un camión articulado de hasta 18 metros de longitud ingrese a la planta, retroceda y se acople ortogonalmente a los andenes sin requerir maniobras múltiples que paralicen el flujo, el patio de maniobras debe proyectar un radio de giro mínimo de 15 a 16 metros libres frente a la zona de carga.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Un diseño que subestime este radio generará daños crónicos a las estructuras, destrucción de parachoques y cuellos de botella severos.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distancia física entre los andenes de carga es otro parámetro fundamental. Los manuales logísticos estandarizados recomiendan que la distancia entre los ejes centrales de dos andenes contiguos sea de al menos 4,0 metros.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Además, debe preverse una holgura o retiro lateral de aproximadamente 1,4 metros entre la posición final del camión y cualquier pared o columna adyacente.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Este espacio crítico es necesario no solo para que el conductor pueda utilizar sus espejos retrovisores con seguridad, sino para permitir que las grandes puertas batientes del remolque puedan abrirse en 270 grados y anclarse a los laterales del chasis antes de que la culata del camión presione contra los sellos y abrigos del andén.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andenes en sí mismos deben contar con niveladores hidráulicos o mecánicos (plataformas de ajuste de altura) que absorban la diferencia de cotas entre el piso interior de la bodega y las plataformas de los diversos camiones (que varían según su carga y diseño de suspensión).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Esta transición suave previene impactos vibratorios sobre la carga paletizada durante las maniobras de transferencia con transpaletas eléctricas o grúas horquilla, mitigando el riesgo de caída de envases con líquidos inflamables.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Metodología de Expertos para el Diseño de Layout (Las 8 Etapas)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rediseño integral de la bodega de productos terminados para la Planta Maipú de ESMAX no puede ejecutarse basándose en intuiciones espaciales. La ingeniería logística moderna utiliza una metodología sistemática y secuencial (aunque con fases iterativas) para transformar los datos en estructuras tridimensionales de alta eficiencia.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enfoque consta de ocho etapas consecutivas, desde el procesamiento analítico de los datos operacionales hasta la asignación milimétrica de las posiciones físicas en el espacio (Slotting).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1: Levantamiento y Análisis de Datos Maestros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base empírica de cualquier diseño logístico exitoso es la recolección, depuración y estructuración de toda la información operativa. Sin datos limpios y confiables, las decisiones de dimensionamiento serán arbitrarias, lo que invariablemente conducirá a una subutilización del capital o a una saturación prematura de las instalaciones.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Maestro de SKUs (</w:t>
      </w:r>
      <w:r w:rsidDel="00000000" w:rsidR="00000000" w:rsidRPr="00000000">
        <w:rPr>
          <w:rFonts w:ascii="Google Sans" w:cs="Google Sans" w:eastAsia="Google Sans" w:hAnsi="Google Sans"/>
          <w:i w:val="1"/>
          <w:iCs w:val="1"/>
          <w:color w:val="1f1f1f"/>
          <w:rtl w:val="0"/>
        </w:rPr>
        <w:t xml:space="preserve">Stock Keeping Units</w:t>
      </w:r>
      <w:r w:rsidDel="00000000" w:rsidR="00000000" w:rsidRPr="00000000">
        <w:rPr>
          <w:rFonts w:ascii="Google Sans" w:cs="Google Sans" w:eastAsia="Google Sans" w:hAnsi="Google Sans"/>
          <w:color w:val="1f1f1f"/>
          <w:rtl w:val="0"/>
        </w:rPr>
        <w:t xml:space="preserve">) de ESMAX alberga un universo cercano a los 600 artículos distintos.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equipo de ingeniería debe consolidar para cada código de producto una base de datos que contenga sus dimensiones físicas exactas (largo, ancho, alto), peso volumétrico, configuración de embalaje primario y secundario, y las unidades contenidas por cada caja y por cada pallet.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dimensiones estandarizadas del pallet (típicamente 1,20 m x 1,20 m en ciertas operaciones, o el estándar americano de 1,00 m x 1,20 m) y la altura máxima de apilamiento determinan directamente las dimensiones del nicho de almacenamiento en los racks.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de los parámetros dimensionales, esta fase requiere analizar el perfil de demanda: despachos mensuales, estacionalidad y frecuencias de preparación de pedidos. Un componente crítico documentado en la Tabla de Demanda de ESMAX es la unidad de manejo.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debe identificar si un SKU específico se despacha mayoritariamente en formato de pallet completo, cajas cerradas o unidades sueltas fraccionadas. Esta proporción dictamina qué porcentaje del inventario debe ubicarse en zonas de almacenaje masivo versus zonas de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de alta densidad.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Datos Operativos Analizados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Parámetros Críticos Extraídos para el Diseño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Volumetría del Producto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Dimensiones de caja, unidades/caja, cajas/pallet, peso total por pallet (ej. 720 kg a 960 kg).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de Demanda 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Flujo mensual promedio, picos estacionales, líneas de pedido diarias.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Compatibilidad Química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Clasificación de riesgo (inflamabilidad, corrosividad, toxicidad), requerimientos ambientales.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Condiciones de Manipulación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Equipos permitidos, restricciones de apilamiento a piso.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2: Análisis ABC y Clasificación Cruzada de Riesgos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segunda etapa consiste en segmentar el portafolio de 600 SKUs de ESMAX para priorizar los recursos espaciales basándose en el principio de Pareto.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análisis clásico clasifica los artículos en categorías A (alta relevancia), B (media) y C (baja). No obstante, en un rediseño experto, se realiza un </w:t>
      </w:r>
      <w:r w:rsidDel="00000000" w:rsidR="00000000" w:rsidRPr="00000000">
        <w:rPr>
          <w:rFonts w:ascii="Google Sans" w:cs="Google Sans" w:eastAsia="Google Sans" w:hAnsi="Google Sans"/>
          <w:b w:val="1"/>
          <w:bCs w:val="1"/>
          <w:color w:val="1f1f1f"/>
          <w:rtl w:val="0"/>
        </w:rPr>
        <w:t xml:space="preserve">Análisis ABC Cruzado</w:t>
      </w:r>
      <w:r w:rsidDel="00000000" w:rsidR="00000000" w:rsidRPr="00000000">
        <w:rPr>
          <w:rFonts w:ascii="Google Sans" w:cs="Google Sans" w:eastAsia="Google Sans" w:hAnsi="Google Sans"/>
          <w:color w:val="1f1f1f"/>
          <w:rtl w:val="0"/>
        </w:rPr>
        <w:t xml:space="preserve">, evaluando simultáneamente dos variables fundamentales: la Frecuencia de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(cuántas veces un operario debe buscar un producto) y el Volumen de Almacenamiento (cuánto espacio cúbico demanda).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Rotación (Frecuencia):</w:t>
      </w:r>
      <w:r w:rsidDel="00000000" w:rsidR="00000000" w:rsidRPr="00000000">
        <w:rPr>
          <w:rFonts w:ascii="Google Sans" w:cs="Google Sans" w:eastAsia="Google Sans" w:hAnsi="Google Sans"/>
          <w:color w:val="1f1f1f"/>
          <w:rtl w:val="0"/>
        </w:rPr>
        <w:t xml:space="preserve"> Los productos Clase A (aquellos que generan el 80% de las líneas de pedido, que suelen ser apenas el 15-20% del total de SKUs) deben localizarse en las áreas más accesibles, ergonómicas y cercanas a las zonas de despacho y consolidación, minimizando los tiempos de traslado improductivos que actualmente superan el 60% del tiempo operativo en la planta de Maipú.</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Volumen:</w:t>
      </w:r>
      <w:r w:rsidDel="00000000" w:rsidR="00000000" w:rsidRPr="00000000">
        <w:rPr>
          <w:rFonts w:ascii="Google Sans" w:cs="Google Sans" w:eastAsia="Google Sans" w:hAnsi="Google Sans"/>
          <w:color w:val="1f1f1f"/>
          <w:rtl w:val="0"/>
        </w:rPr>
        <w:t xml:space="preserve"> Los productos que requieren almacenar grandes cantidades de pallets completos demandarán estanterías de mayor profundidad o áreas masivas a nivel de piso.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Crucialmente, este análisis matemático debe ser superpuesto con la </w:t>
      </w:r>
      <w:r w:rsidDel="00000000" w:rsidR="00000000" w:rsidRPr="00000000">
        <w:rPr>
          <w:rFonts w:ascii="Google Sans" w:cs="Google Sans" w:eastAsia="Google Sans" w:hAnsi="Google Sans"/>
          <w:b w:val="1"/>
          <w:bCs w:val="1"/>
          <w:color w:val="1f1f1f"/>
          <w:rtl w:val="0"/>
        </w:rPr>
        <w:t xml:space="preserve">Clasificación de Riesgos y Peligrosidad</w:t>
      </w:r>
      <w:r w:rsidDel="00000000" w:rsidR="00000000" w:rsidRPr="00000000">
        <w:rPr>
          <w:rFonts w:ascii="Google Sans" w:cs="Google Sans" w:eastAsia="Google Sans" w:hAnsi="Google Sans"/>
          <w:color w:val="1f1f1f"/>
          <w:rtl w:val="0"/>
        </w:rPr>
        <w:t xml:space="preserve"> obtenida de las normativas vigentes (DS 43).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 producto de altísima rotación (Clase A) que al mismo tiempo sea altamente inflamable no puede situarse simplemente junto a las puertas de despacho; debe emplazarse dentro de la matriz de inflamables segregada.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seguridad estructural subordina a la velocidad logística.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3: Determinación de Inventarios y Capacidad Requerida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dimensionamiento espacial de un almacén no se calcula basándose en inventarios promedio, sino proyectando el inventario máximo histórico o estacional, añadiendo holguras de crecimiento para el horizonte estratégico de la empresa.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crecimiento esperado de la demanda de despachos en ESMAX proyecta incrementos sustanciales desde el año 2025 al 2030 (por ejemplo, el producto L-3 pasaría de 3.635 unidades a 6.463 unidades en cinco años).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absorber este crecimiento sin llegar nuevamente a la saturación, se debe calcular la capacidad requerida transformando el inventario máximo de cada SKU en posiciones físicas equivalentes (pallets en estantería, metros lineales para cajas, y metros cuadrados para apilamiento a piso).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 Calculada Requerida (Ejemplo Referencial)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Inventario Máximo Estimado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850 pallets (base cálculo)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 de Holgura Operativa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+ 20% para absorción de estacionalidad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Posiciones Pallet Totales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1.020 posiciones en Racks Selectivos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Estantería de Picking (Cajas)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 metros lineales para 200 SKUs fraccionados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a Piso (Bulk)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 m² para SKUs de gran formato y peso excesivo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cálculo riguroso garantiza que el layout propuesto posea la resiliencia volumétrica para acompañar la expansión de ESMAX bajo su nueva matriz corporativa Aramco.</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4: Definición del Sistema de Almacenamiento y Equipamiento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Habiendo cuantificado las posiciones requeridas, la cuarta etapa selecciona las tecnologías físicas de estantería y la maquinaria intralogística que interactuará con ellas.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la base de 600 SKUs de variada rotación, se selecciona como eje principal el </w:t>
      </w:r>
      <w:r w:rsidDel="00000000" w:rsidR="00000000" w:rsidRPr="00000000">
        <w:rPr>
          <w:rFonts w:ascii="Google Sans" w:cs="Google Sans" w:eastAsia="Google Sans" w:hAnsi="Google Sans"/>
          <w:b w:val="1"/>
          <w:bCs w:val="1"/>
          <w:color w:val="1f1f1f"/>
          <w:rtl w:val="0"/>
        </w:rPr>
        <w:t xml:space="preserve">Rack Selectivo de 4 niveles</w:t>
      </w:r>
      <w:r w:rsidDel="00000000" w:rsidR="00000000" w:rsidRPr="00000000">
        <w:rPr>
          <w:rFonts w:ascii="Google Sans" w:cs="Google Sans" w:eastAsia="Google Sans" w:hAnsi="Google Sans"/>
          <w:color w:val="1f1f1f"/>
          <w:rtl w:val="0"/>
        </w:rPr>
        <w:t xml:space="preserve"> (nivel cero a ras de piso más tres niveles en viga).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sistema ofrece acceso directo e irrestricto al 100% de las posiciones paletizadas, siendo el único método que garantiza mecánicamente el cumplimiento impecable del principio FIFO (First-In, First-Out), cuya vulneración fue identificada como un problema crítico en la situación original.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los requerimientos de preparación de envases pequeños (aditivos, lubricantes especializados), se proyecta la instalación de </w:t>
      </w:r>
      <w:r w:rsidDel="00000000" w:rsidR="00000000" w:rsidRPr="00000000">
        <w:rPr>
          <w:rFonts w:ascii="Google Sans" w:cs="Google Sans" w:eastAsia="Google Sans" w:hAnsi="Google Sans"/>
          <w:b w:val="1"/>
          <w:bCs w:val="1"/>
          <w:color w:val="1f1f1f"/>
          <w:rtl w:val="0"/>
        </w:rPr>
        <w:t xml:space="preserve">Estanterías de Ángulo Ranurado de 6 niveles</w:t>
      </w:r>
      <w:r w:rsidDel="00000000" w:rsidR="00000000" w:rsidRPr="00000000">
        <w:rPr>
          <w:rFonts w:ascii="Google Sans" w:cs="Google Sans" w:eastAsia="Google Sans" w:hAnsi="Google Sans"/>
          <w:color w:val="1f1f1f"/>
          <w:rtl w:val="0"/>
        </w:rPr>
        <w:t xml:space="preserve">, optimizando el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manual y segregándolo del tráfico de cargas pesadas.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cuanto a productos de formatos especiales como maxisacos, Bins industriales o tambores que no requieran estructuración vertical, se habilitarán áreas de </w:t>
      </w:r>
      <w:r w:rsidDel="00000000" w:rsidR="00000000" w:rsidRPr="00000000">
        <w:rPr>
          <w:rFonts w:ascii="Google Sans" w:cs="Google Sans" w:eastAsia="Google Sans" w:hAnsi="Google Sans"/>
          <w:b w:val="1"/>
          <w:bCs w:val="1"/>
          <w:color w:val="1f1f1f"/>
          <w:rtl w:val="0"/>
        </w:rPr>
        <w:t xml:space="preserve">Almacenamiento a Piso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Adicionalmente, se diseña un área altamente especializada de </w:t>
      </w:r>
      <w:r w:rsidDel="00000000" w:rsidR="00000000" w:rsidRPr="00000000">
        <w:rPr>
          <w:rFonts w:ascii="Google Sans" w:cs="Google Sans" w:eastAsia="Google Sans" w:hAnsi="Google Sans"/>
          <w:b w:val="1"/>
          <w:bCs w:val="1"/>
          <w:color w:val="1f1f1f"/>
          <w:rtl w:val="0"/>
        </w:rPr>
        <w:t xml:space="preserve">Zona de Peligrosos</w:t>
      </w:r>
      <w:r w:rsidDel="00000000" w:rsidR="00000000" w:rsidRPr="00000000">
        <w:rPr>
          <w:rFonts w:ascii="Google Sans" w:cs="Google Sans" w:eastAsia="Google Sans" w:hAnsi="Google Sans"/>
          <w:color w:val="1f1f1f"/>
          <w:rtl w:val="0"/>
        </w:rPr>
        <w:t xml:space="preserve">, delimitada por muros cortafuego, dotada de ventilación adecuada y sistemas de diques de contención química para derrames de gran envergadura.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selección del equipo de manipulación de materiales (MHE) condiciona directamente el ancho de los pasillos y, consecuentemente, la cantidad de racks que caben en el edificio. El paso de los antiguos montacargas de contrapeso (que exigen pasillos anchos de aproximadamente 3,5 metros) a las </w:t>
      </w:r>
      <w:r w:rsidDel="00000000" w:rsidR="00000000" w:rsidRPr="00000000">
        <w:rPr>
          <w:rFonts w:ascii="Google Sans" w:cs="Google Sans" w:eastAsia="Google Sans" w:hAnsi="Google Sans"/>
          <w:b w:val="1"/>
          <w:bCs w:val="1"/>
          <w:color w:val="1f1f1f"/>
          <w:rtl w:val="0"/>
        </w:rPr>
        <w:t xml:space="preserve">Grúas Retráctiles (</w:t>
      </w:r>
      <w:r w:rsidDel="00000000" w:rsidR="00000000" w:rsidRPr="00000000">
        <w:rPr>
          <w:rFonts w:ascii="Google Sans" w:cs="Google Sans" w:eastAsia="Google Sans" w:hAnsi="Google Sans"/>
          <w:b w:val="1"/>
          <w:bCs w:val="1"/>
          <w:i w:val="1"/>
          <w:iCs w:val="1"/>
          <w:color w:val="1f1f1f"/>
          <w:rtl w:val="0"/>
        </w:rPr>
        <w:t xml:space="preserve">Reach Trucks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permite contraer los pasillos operativos a 2,8 metros de anchura.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optimización cinemática incrementa drásticamente la densidad de almacenamiento por metro cuadrado.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5: Zonificación de la Bodega (Macro-Layout)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zonificación es el proceso de subdividir la superficie total disponible (estimada en 3.000 metros cuadrados para el nuevo CD de alta densidad) asignando áreas funcionales proporcionales a las necesidades calculadas. Esta fase responde a la pregunta estratégica "qué va dónde" a nivel macroespacial.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correcta sectorización elimina las superposiciones operativas. A diferencia de la infraestructura original de los años 60, el prediseño moderno de ESMAX establece recintos mutuamente excluyentes: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Zona Funcional Logística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Superficie Asignada (Estimación en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Propósito Operativo y Restricciones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Almacenamiento en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Área central para inventario de reserva; Racks selectivos y pasillos de grúas.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Estantería de Picking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Zona exclusiva peatonal para extracción de unidades menores.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Despacho y Staging Salida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Consolidación y carga. Aislada físicamente de la recepción.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Embalaje / Prep (Packing)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Mesas de trabajo para preparación y validación final de pedidos.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Recepción y Staging Entrada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Descarga, cuarentena y control de calidad.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Materiales Peligrosos (Inflamables)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Recinto con diques, muros RF 120/180 y separación &gt;6m de explosivos.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Zonas Auxiliares y Administrativas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Oficinas, carga de baterías, casino, servicios higiénicos (DS 594).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Bodega RESPEL y Desechos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Área exterior techada (DS 148), a 15m del deslinde perimetral.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Área Total de la Planta Interna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Optimización vertical frente a los 5.400 m² de la operación anterior.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6: Verificación de Cumplimiento Normativo y Seguridad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proceder a la diagramación exacta, la etapa 6 somete las dimensiones macro de la zonificación a un riguroso </w:t>
      </w:r>
      <w:r w:rsidDel="00000000" w:rsidR="00000000" w:rsidRPr="00000000">
        <w:rPr>
          <w:rFonts w:ascii="Google Sans" w:cs="Google Sans" w:eastAsia="Google Sans" w:hAnsi="Google Sans"/>
          <w:i w:val="1"/>
          <w:iCs w:val="1"/>
          <w:color w:val="1f1f1f"/>
          <w:rtl w:val="0"/>
        </w:rPr>
        <w:t xml:space="preserve">checklist</w:t>
      </w:r>
      <w:r w:rsidDel="00000000" w:rsidR="00000000" w:rsidRPr="00000000">
        <w:rPr>
          <w:rFonts w:ascii="Google Sans" w:cs="Google Sans" w:eastAsia="Google Sans" w:hAnsi="Google Sans"/>
          <w:color w:val="1f1f1f"/>
          <w:rtl w:val="0"/>
        </w:rPr>
        <w:t xml:space="preserve"> de las normativas discutidas anteriormente.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ingenieros contrastan las separaciones entre la zona de Materiales Peligrosos y las otras áreas operativas según las directrices del DS 43 y la NCh 382. Se validan las rutas de evacuación garantizando que los operarios no deban recorrer distancias superiores a 25 metros para alcanzar una vía de escape segura, y se confirma la factibilidad de incorporar la red de rociadores ESFR y extintores.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cercioran los cálculos volumétricos para las fosas de los cubetos de retención subterráneos y se evalúan las exigencias de distancia perimetral de los muros cortafuego hacia los deslindes del terreno en Maipú.</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7: Diseño del Layout Interno y Diagrama de Flujo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esta etapa, las áreas conceptuales se transforman en una disposición geométrica a escala. Utilizando herramientas paramétricas, se traza la posición exacta de cada fila de racks, estanterías, pasillos principales, andenes de carga y recintos anexos.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factor determinante que utilizan los expertos para potenciar la productividad y erradicar los bloqueos es el diseño del diagrama de flujo de materiales. La directriz principal para la nueva planta de ESMAX es la transición hacia un </w:t>
      </w:r>
      <w:r w:rsidDel="00000000" w:rsidR="00000000" w:rsidRPr="00000000">
        <w:rPr>
          <w:rFonts w:ascii="Google Sans" w:cs="Google Sans" w:eastAsia="Google Sans" w:hAnsi="Google Sans"/>
          <w:b w:val="1"/>
          <w:bCs w:val="1"/>
          <w:color w:val="1f1f1f"/>
          <w:rtl w:val="0"/>
        </w:rPr>
        <w:t xml:space="preserve">Flujo en forma de "U"</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configuración en "U", los muelles (</w:t>
      </w:r>
      <w:r w:rsidDel="00000000" w:rsidR="00000000" w:rsidRPr="00000000">
        <w:rPr>
          <w:rFonts w:ascii="Google Sans" w:cs="Google Sans" w:eastAsia="Google Sans" w:hAnsi="Google Sans"/>
          <w:i w:val="1"/>
          <w:iCs w:val="1"/>
          <w:color w:val="1f1f1f"/>
          <w:rtl w:val="0"/>
        </w:rPr>
        <w:t xml:space="preserve">andenes</w:t>
      </w:r>
      <w:r w:rsidDel="00000000" w:rsidR="00000000" w:rsidRPr="00000000">
        <w:rPr>
          <w:rFonts w:ascii="Google Sans" w:cs="Google Sans" w:eastAsia="Google Sans" w:hAnsi="Google Sans"/>
          <w:color w:val="1f1f1f"/>
          <w:rtl w:val="0"/>
        </w:rPr>
        <w:t xml:space="preserve">) de recepción y de despacho se ubican en la misma fachada del edificio, pero estrictamente separados en los extremos opuestos. El flujo de la mercancía ingresa por la recepción, avanza linealmente hacia la profundidad de la bodega alimentando las zonas de reserva (Racks Bulk), gira transversalmente hacia las zonas de preparación de pedidos y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en la parte posterior, y retorna por el costado opuesto hacia las zonas de empaque (</w:t>
      </w:r>
      <w:r w:rsidDel="00000000" w:rsidR="00000000" w:rsidRPr="00000000">
        <w:rPr>
          <w:rFonts w:ascii="Google Sans" w:cs="Google Sans" w:eastAsia="Google Sans" w:hAnsi="Google Sans"/>
          <w:i w:val="1"/>
          <w:iCs w:val="1"/>
          <w:color w:val="1f1f1f"/>
          <w:rtl w:val="0"/>
        </w:rPr>
        <w:t xml:space="preserve">packing</w:t>
      </w:r>
      <w:r w:rsidDel="00000000" w:rsidR="00000000" w:rsidRPr="00000000">
        <w:rPr>
          <w:rFonts w:ascii="Google Sans" w:cs="Google Sans" w:eastAsia="Google Sans" w:hAnsi="Google Sans"/>
          <w:color w:val="1f1f1f"/>
          <w:rtl w:val="0"/>
        </w:rPr>
        <w:t xml:space="preserve">) y consolidación de despachos.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geometría en "U" posee enormes ventajas operativas: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Eliminación de la Superposición:</w:t>
      </w:r>
      <w:r w:rsidDel="00000000" w:rsidR="00000000" w:rsidRPr="00000000">
        <w:rPr>
          <w:rFonts w:ascii="Google Sans" w:cs="Google Sans" w:eastAsia="Google Sans" w:hAnsi="Google Sans"/>
          <w:color w:val="1f1f1f"/>
          <w:rtl w:val="0"/>
        </w:rPr>
        <w:t xml:space="preserve"> Acaba radicalmente con la congestión y los traslapes que causaban demoras de 3 horas en la antigua planta.</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Aprovechamiento de la Infraestructura Común:</w:t>
      </w:r>
      <w:r w:rsidDel="00000000" w:rsidR="00000000" w:rsidRPr="00000000">
        <w:rPr>
          <w:rFonts w:ascii="Google Sans" w:cs="Google Sans" w:eastAsia="Google Sans" w:hAnsi="Google Sans"/>
          <w:color w:val="1f1f1f"/>
          <w:rtl w:val="0"/>
        </w:rPr>
        <w:t xml:space="preserve"> Consolida la infraestructura vial pesada (el patio de maniobras de camiones de 15 metros de radio de giro) en un único flanco del terreno, permitiendo maximizar el área trasera para el recinto blindado de materiales peligrosos y la bodega RESPEL.</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Seguridad Vial Intralogística:</w:t>
      </w:r>
      <w:r w:rsidDel="00000000" w:rsidR="00000000" w:rsidRPr="00000000">
        <w:rPr>
          <w:rFonts w:ascii="Google Sans" w:cs="Google Sans" w:eastAsia="Google Sans" w:hAnsi="Google Sans"/>
          <w:color w:val="1f1f1f"/>
          <w:rtl w:val="0"/>
        </w:rPr>
        <w:t xml:space="preserve"> Permite segregar el tránsito rápido de los </w:t>
      </w:r>
      <w:r w:rsidDel="00000000" w:rsidR="00000000" w:rsidRPr="00000000">
        <w:rPr>
          <w:rFonts w:ascii="Google Sans" w:cs="Google Sans" w:eastAsia="Google Sans" w:hAnsi="Google Sans"/>
          <w:i w:val="1"/>
          <w:iCs w:val="1"/>
          <w:color w:val="1f1f1f"/>
          <w:rtl w:val="0"/>
        </w:rPr>
        <w:t xml:space="preserve">Reach Trucks</w:t>
      </w:r>
      <w:r w:rsidDel="00000000" w:rsidR="00000000" w:rsidRPr="00000000">
        <w:rPr>
          <w:rFonts w:ascii="Google Sans" w:cs="Google Sans" w:eastAsia="Google Sans" w:hAnsi="Google Sans"/>
          <w:color w:val="1f1f1f"/>
          <w:rtl w:val="0"/>
        </w:rPr>
        <w:t xml:space="preserve"> en los pasillos de almacenaje principal, del tránsito peatonal intensivo requerido en las zonas de picking y oficinas.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dibujo a escala debe garantizar que las dimensiones reales de los módulos de rack (ej. enfrentados a doble profundidad, sumando el pasillo operativo de 2,8 metros) encajen milimétricamente dentro de las cotas estructurales del galpón, respetando los anchos de escape normados.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8: Asignación de Ubicaciones (</w:t>
      </w:r>
      <w:r w:rsidDel="00000000" w:rsidR="00000000" w:rsidRPr="00000000">
        <w:rPr>
          <w:rFonts w:ascii="Google Sans" w:cs="Google Sans" w:eastAsia="Google Sans" w:hAnsi="Google Sans"/>
          <w:b w:val="1"/>
          <w:bCs w:val="1"/>
          <w:i w:val="1"/>
          <w:iCs w:val="1"/>
          <w:color w:val="1f1f1f"/>
          <w:sz w:val="28"/>
          <w:szCs w:val="28"/>
          <w:rtl w:val="0"/>
        </w:rPr>
        <w:t xml:space="preserve">Slotting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última etapa del pre-diseño es el </w:t>
      </w:r>
      <w:r w:rsidDel="00000000" w:rsidR="00000000" w:rsidRPr="00000000">
        <w:rPr>
          <w:rFonts w:ascii="Google Sans" w:cs="Google Sans" w:eastAsia="Google Sans" w:hAnsi="Google Sans"/>
          <w:i w:val="1"/>
          <w:iCs w:val="1"/>
          <w:color w:val="1f1f1f"/>
          <w:rtl w:val="0"/>
        </w:rPr>
        <w:t xml:space="preserve">Slotting</w:t>
      </w:r>
      <w:r w:rsidDel="00000000" w:rsidR="00000000" w:rsidRPr="00000000">
        <w:rPr>
          <w:rFonts w:ascii="Google Sans" w:cs="Google Sans" w:eastAsia="Google Sans" w:hAnsi="Google Sans"/>
          <w:color w:val="1f1f1f"/>
          <w:rtl w:val="0"/>
        </w:rPr>
        <w:t xml:space="preserve">, que consiste en la asignación estratégica y algorítmica de cada uno de los 600 SKUs a un nicho de almacenamiento específico tridimensional (coordenada física x,y,z en el rack).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slotting es el cerebro operativo del Sistema de Gestión de Almacenes (WMS) que se implementará para reemplazar el control humano intuitivo.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establecer el mapa de ubicaciones se integran el perfil de riesgo, la masa y la rotación:</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SKUs Clase A (Alta Rotación):</w:t>
      </w:r>
      <w:r w:rsidDel="00000000" w:rsidR="00000000" w:rsidRPr="00000000">
        <w:rPr>
          <w:rFonts w:ascii="Google Sans" w:cs="Google Sans" w:eastAsia="Google Sans" w:hAnsi="Google Sans"/>
          <w:color w:val="1f1f1f"/>
          <w:rtl w:val="0"/>
        </w:rPr>
        <w:t xml:space="preserve"> Se sitúan en las "zonas doradas" de los racks. Estas corresponden a los niveles inferiores (Nivel 0 y 1, a altura de los ojos y brazos), ubicados en las primeras posiciones de los pasillos más cercanos a las rutas principales de despacho.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minimiza los desplazamientos de las grúas y acelera el tiempo del ciclo de preparación.</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SKUs Clase B (Rotación Media):</w:t>
      </w:r>
      <w:r w:rsidDel="00000000" w:rsidR="00000000" w:rsidRPr="00000000">
        <w:rPr>
          <w:rFonts w:ascii="Google Sans" w:cs="Google Sans" w:eastAsia="Google Sans" w:hAnsi="Google Sans"/>
          <w:color w:val="1f1f1f"/>
          <w:rtl w:val="0"/>
        </w:rPr>
        <w:t xml:space="preserve"> Se posicionan en niveles intermedios de los racks y en las mitades de los pasillos, requiriendo un nivel moderado de recorrido de los equipos.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SKUs Clase C (Baja Rotación u Obsolescentes):</w:t>
      </w:r>
      <w:r w:rsidDel="00000000" w:rsidR="00000000" w:rsidRPr="00000000">
        <w:rPr>
          <w:rFonts w:ascii="Google Sans" w:cs="Google Sans" w:eastAsia="Google Sans" w:hAnsi="Google Sans"/>
          <w:color w:val="1f1f1f"/>
          <w:rtl w:val="0"/>
        </w:rPr>
        <w:t xml:space="preserve"> Se delegan hacia las ubicaciones periféricas, las zonas más alejadas de las rutas de despacho y hacia los niveles más altos de las estanterías (Niveles 3 y 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Ergonomía y Estabilidad Estructural:</w:t>
      </w:r>
      <w:r w:rsidDel="00000000" w:rsidR="00000000" w:rsidRPr="00000000">
        <w:rPr>
          <w:rFonts w:ascii="Google Sans" w:cs="Google Sans" w:eastAsia="Google Sans" w:hAnsi="Google Sans"/>
          <w:color w:val="1f1f1f"/>
          <w:rtl w:val="0"/>
        </w:rPr>
        <w:t xml:space="preserve"> Independientemente de su rotación, los productos de alto peso o densos siempre deben ubicarse en los niveles basales de los racks por razones físicas de control de centro de gravedad e inercia sísmica de la estantería. Adicionalmente, toda asignación de slotting se subordina a las matrices de compatibilidad química establecidas en la Etapa 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ubicación recibe una codificación alfanumérica unívoca (Ejemplo: Pasillo A, Rack 01, Posición 03, Nivel 2 = A-01-03-2).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arquitectura lógica es la que el WMS utilizará para guiar electrónicamente al operario, emitiendo rutas de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sin recorridos cruzados ni improvisaciones.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y Recomendaciones Finales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rediseño integral de la bodega de almacenamiento para aceites y lubricantes de ESMAX en la Planta Maipú representa una evolución forzosa desde un modelo de almacenaje fragmentado de mediados del siglo XX, hacia un paradigma logístico de clase mundial. La evidencia del diagnóstico demuestra que las fricciones operacionales actuales —expresadas en congestiones vehiculares, la vulneración del sistema FIFO, las excesivas demoras en recepción/despacho, y los riesgos constantes de seguridad ocupacional— no son fallas aisladas de gestión humana, sino el resultado directo de una infraestructura obsoleta que ha colapsado ante los volúmenes de comercialización contemporáneos.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analítica expuesta demuestra que el diseño de un layout no comienza con el dibujo de pasillos, sino con la lectura microscópica de los datos maestros y de la ley. Cada metro cuadrado asignado es producto de un equilibrio complejo entre la física del almacenamiento de alta densidad (grúas retráctiles en pasillos de 2,8 metros, racks de cuatro niveles) y las ineludibles exigencias de la legislación chilena (DS 43, DS 78, DS 148, DS 594 y la OGUC).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 un diseño basado en un flujo interno en forma de "U" actuará como el elemento catalizador de la eficiencia, al segregar las zonas de tránsito conflictivas y absorber los picos de demanda proyectados hacia el año 2030 sin requerir invasiones operativas en zonas de riesgo. La incorporación obligatoria de áreas exclusivas dotadas de radieres con pendiente del 0,5%, fosas de contención de derrames del 110% de volumen, muros cortafuegos RF 180, sistemas de supresión de incendios ESFR y bodegas autónomas para Residuos Peligrosos (RESPEL) localizadas a 15 metros del cerco perimetral de 1,80 metros de altura, transforman este rediseño en una inversión directa en resiliencia corporativa.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última instancia, el éxito de la nueva planta de ESMAX bajo la dirección corporativa de Aramco dependerá de la correcta transición hacia un Sistema de Gestión de Almacenes (WMS). Las estructuras de acero, los radieres de hormigón impermeables y los andenes con radios de giro de 15 metros proporcionan el marco de contención física y legal, pero será la arquitectura digital del </w:t>
      </w:r>
      <w:r w:rsidDel="00000000" w:rsidR="00000000" w:rsidRPr="00000000">
        <w:rPr>
          <w:rFonts w:ascii="Google Sans" w:cs="Google Sans" w:eastAsia="Google Sans" w:hAnsi="Google Sans"/>
          <w:i w:val="1"/>
          <w:iCs w:val="1"/>
          <w:color w:val="1f1f1f"/>
          <w:rtl w:val="0"/>
        </w:rPr>
        <w:t xml:space="preserve">Slotting</w:t>
      </w:r>
      <w:r w:rsidDel="00000000" w:rsidR="00000000" w:rsidRPr="00000000">
        <w:rPr>
          <w:rFonts w:ascii="Google Sans" w:cs="Google Sans" w:eastAsia="Google Sans" w:hAnsi="Google Sans"/>
          <w:color w:val="1f1f1f"/>
          <w:rtl w:val="0"/>
        </w:rPr>
        <w:t xml:space="preserve"> la que garantizará la exactitud del inventario, la eficiencia en los tiempos de despacho hacia Petrobras y el control inquebrantable de la matriz de riesgos químicos en el tiempo. Un diseño que entrelace armónicamente la logística de flujos con el cumplimiento normativo es la piedra angular para asegurar operaciones sustentables, rentables y seguras en la competitiva industria energética del mañana.</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Desafío Logística_Esmax.pdf</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Decreto 75 25-JUN-2001 MINISTERIO DE VIVIENDA Y URBANISMO - BCN, acceso: abril 19, 2026, </w:t>
      </w:r>
      <w:hyperlink r:id="rId6">
        <w:r w:rsidDel="00000000" w:rsidR="00000000" w:rsidRPr="00000000">
          <w:rPr>
            <w:rFonts w:ascii="Google Sans" w:cs="Google Sans" w:eastAsia="Google Sans" w:hAnsi="Google Sans"/>
            <w:color w:val="0000ee"/>
            <w:sz w:val="24"/>
            <w:szCs w:val="24"/>
            <w:u w:val="single"/>
            <w:rtl w:val="0"/>
          </w:rPr>
          <w:t xml:space="preserve">https://www.bcn.cl/leychile/Navegar?idNorma=186911</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Decreto 47 05-JUN-1992 MINISTERIO DE VIVIENDA Y URBANISMO - BCN, acceso: abril 19, 2026, </w:t>
      </w:r>
      <w:hyperlink r:id="rId7">
        <w:r w:rsidDel="00000000" w:rsidR="00000000" w:rsidRPr="00000000">
          <w:rPr>
            <w:rFonts w:ascii="Google Sans" w:cs="Google Sans" w:eastAsia="Google Sans" w:hAnsi="Google Sans"/>
            <w:color w:val="0000ee"/>
            <w:sz w:val="24"/>
            <w:szCs w:val="24"/>
            <w:u w:val="single"/>
            <w:rtl w:val="0"/>
          </w:rPr>
          <w:t xml:space="preserve">https://www.bcn.cl/leychile/Navegar?idNorma=8201</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Muros Cortafuegos: Definición y Aplicaciones - ANAPCI, acceso: abril 19, 2026, </w:t>
      </w:r>
      <w:hyperlink r:id="rId8">
        <w:r w:rsidDel="00000000" w:rsidR="00000000" w:rsidRPr="00000000">
          <w:rPr>
            <w:rFonts w:ascii="Google Sans" w:cs="Google Sans" w:eastAsia="Google Sans" w:hAnsi="Google Sans"/>
            <w:color w:val="0000ee"/>
            <w:sz w:val="24"/>
            <w:szCs w:val="24"/>
            <w:u w:val="single"/>
            <w:rtl w:val="0"/>
          </w:rPr>
          <w:t xml:space="preserve">https://www.anapci.cl/wp-content/uploads/2025/11/TecniNotas-2025-N30.pdf</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43 APRUEBA EL REGLAMENTO DE ALMACENAMIENTO DE SUSTANCIAS PELIGROSAS - BCN, acceso: abril 19, 2026, </w:t>
      </w:r>
      <w:hyperlink r:id="rId9">
        <w:r w:rsidDel="00000000" w:rsidR="00000000" w:rsidRPr="00000000">
          <w:rPr>
            <w:rFonts w:ascii="Google Sans" w:cs="Google Sans" w:eastAsia="Google Sans" w:hAnsi="Google Sans"/>
            <w:color w:val="0000ee"/>
            <w:sz w:val="24"/>
            <w:szCs w:val="24"/>
            <w:u w:val="single"/>
            <w:rtl w:val="0"/>
          </w:rPr>
          <w:t xml:space="preserve">https://www.bcn.cl/leychile/Navegar?idNorma=1088802&amp;idParte=9689289&amp;idVersion=2022-08-17</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DIARIO OFICIAL DE LA REPUBLICA DE CHILE Cuerpo I - 6 Sábado 11 de Septiembre de 2010 Nº 39.760, acceso: abril 19, 2026, </w:t>
      </w:r>
      <w:hyperlink r:id="rId10">
        <w:r w:rsidDel="00000000" w:rsidR="00000000" w:rsidRPr="00000000">
          <w:rPr>
            <w:rFonts w:ascii="Google Sans" w:cs="Google Sans" w:eastAsia="Google Sans" w:hAnsi="Google Sans"/>
            <w:color w:val="0000ee"/>
            <w:sz w:val="24"/>
            <w:szCs w:val="24"/>
            <w:u w:val="single"/>
            <w:rtl w:val="0"/>
          </w:rPr>
          <w:t xml:space="preserve">https://bwcimplementation.org/sites/default/files/resource/Chile_ReglamentoAlmacenamientoSustanciasPeligrosas78_0.pdf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43 sobre almacenamiento de sustancias peligrosas | DOCX - Slideshare, acceso: abril 19, 2026, </w:t>
      </w:r>
      <w:hyperlink r:id="rId11">
        <w:r w:rsidDel="00000000" w:rsidR="00000000" w:rsidRPr="00000000">
          <w:rPr>
            <w:rFonts w:ascii="Google Sans" w:cs="Google Sans" w:eastAsia="Google Sans" w:hAnsi="Google Sans"/>
            <w:color w:val="0000ee"/>
            <w:sz w:val="24"/>
            <w:szCs w:val="24"/>
            <w:u w:val="single"/>
            <w:rtl w:val="0"/>
          </w:rPr>
          <w:t xml:space="preserve">https://es.slideshare.net/slideshow/decreto-43-sobre-almacenamiento-de-sustancias-peligrosas/79398364</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 43 Reglamento Almacenamiento SP BCN PDF - Scribd, acceso: abril 19, 2026, </w:t>
      </w:r>
      <w:hyperlink r:id="rId12">
        <w:r w:rsidDel="00000000" w:rsidR="00000000" w:rsidRPr="00000000">
          <w:rPr>
            <w:rFonts w:ascii="Google Sans" w:cs="Google Sans" w:eastAsia="Google Sans" w:hAnsi="Google Sans"/>
            <w:color w:val="0000ee"/>
            <w:sz w:val="24"/>
            <w:szCs w:val="24"/>
            <w:u w:val="single"/>
            <w:rtl w:val="0"/>
          </w:rPr>
          <w:t xml:space="preserve">https://es.scribd.com/document/440974255/DS-43-Reglamento-Almacenamiento-SP-BCN-pdf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Matriz de Incompatibilidades Químicas DS 43/2015: Guía Técnica de Segregación, acceso: abril 19, 2026, </w:t>
      </w:r>
      <w:hyperlink r:id="rId13">
        <w:r w:rsidDel="00000000" w:rsidR="00000000" w:rsidRPr="00000000">
          <w:rPr>
            <w:rFonts w:ascii="Google Sans" w:cs="Google Sans" w:eastAsia="Google Sans" w:hAnsi="Google Sans"/>
            <w:color w:val="0000ee"/>
            <w:sz w:val="24"/>
            <w:szCs w:val="24"/>
            <w:u w:val="single"/>
            <w:rtl w:val="0"/>
          </w:rPr>
          <w:t xml:space="preserve">https://plataformahermes.cl/2026/04/08/matriz-incompatibilidades-quimicas-ds-43-minsal/</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ALMACENAMIENTO DE SUSTANCIAS PELIGROSAS, acceso: abril 19, 2026, </w:t>
      </w:r>
      <w:hyperlink r:id="rId14">
        <w:r w:rsidDel="00000000" w:rsidR="00000000" w:rsidRPr="00000000">
          <w:rPr>
            <w:rFonts w:ascii="Google Sans" w:cs="Google Sans" w:eastAsia="Google Sans" w:hAnsi="Google Sans"/>
            <w:color w:val="0000ee"/>
            <w:sz w:val="24"/>
            <w:szCs w:val="24"/>
            <w:u w:val="single"/>
            <w:rtl w:val="0"/>
          </w:rPr>
          <w:t xml:space="preserve">https://dgaeapucv.cl/wp-content/uploads/2022/07/MANUAL-DE-ALMACENAMIENTO-DE-SUSTANCIAS-PELIGROSAS.pdf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Decreto 43 (29-mar-2016) M. de Salud - BCN, acceso: abril 19, 2026, </w:t>
      </w:r>
      <w:hyperlink r:id="rId15">
        <w:r w:rsidDel="00000000" w:rsidR="00000000" w:rsidRPr="00000000">
          <w:rPr>
            <w:rFonts w:ascii="Google Sans" w:cs="Google Sans" w:eastAsia="Google Sans" w:hAnsi="Google Sans"/>
            <w:color w:val="0000ee"/>
            <w:sz w:val="24"/>
            <w:szCs w:val="24"/>
            <w:u w:val="single"/>
            <w:rtl w:val="0"/>
          </w:rPr>
          <w:t xml:space="preserve">https://www.bcn.cl/leychile/navegar?idNorma=1088802</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 Almacenamiento de Sustancias Peligrosas - Minsal, acceso: abril 19, 2026, </w:t>
      </w:r>
      <w:hyperlink r:id="rId16">
        <w:r w:rsidDel="00000000" w:rsidR="00000000" w:rsidRPr="00000000">
          <w:rPr>
            <w:rFonts w:ascii="Google Sans" w:cs="Google Sans" w:eastAsia="Google Sans" w:hAnsi="Google Sans"/>
            <w:color w:val="0000ee"/>
            <w:sz w:val="24"/>
            <w:szCs w:val="24"/>
            <w:u w:val="single"/>
            <w:rtl w:val="0"/>
          </w:rPr>
          <w:t xml:space="preserve">https://juridico1.minsal.cl/decreto_78_09.doc</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160 APRUEBA REGLAMENTO DE SEGURIDAD PARA LAS INSTALACIONES Y OPERACIONES DE PRODUCCIÓN Y REFINACIÓN, TRANSPORTE, ALMACENAMIENTO, DISTRIBUCIÓN Y ABASTECIMIENTO DE COMBUSTIBLES LÍQUIDOS - Ley Chile, acceso: abril 19, 2026, </w:t>
      </w:r>
      <w:hyperlink r:id="rId17">
        <w:r w:rsidDel="00000000" w:rsidR="00000000" w:rsidRPr="00000000">
          <w:rPr>
            <w:rFonts w:ascii="Google Sans" w:cs="Google Sans" w:eastAsia="Google Sans" w:hAnsi="Google Sans"/>
            <w:color w:val="0000ee"/>
            <w:sz w:val="24"/>
            <w:szCs w:val="24"/>
            <w:u w:val="single"/>
            <w:rtl w:val="0"/>
          </w:rPr>
          <w:t xml:space="preserve">https://www.leychile.cl/leychile/Navegar?idNorma=1004120&amp;idParte=8741591</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Decreto Supremo Nº 78 APRUEBA REGLAMENTO DE ALMACENAMIENTO DE SUSTANCIAS PELIGROSAS - Academia.edu, acceso: abril 19, 2026, </w:t>
      </w:r>
      <w:hyperlink r:id="rId18">
        <w:r w:rsidDel="00000000" w:rsidR="00000000" w:rsidRPr="00000000">
          <w:rPr>
            <w:rFonts w:ascii="Google Sans" w:cs="Google Sans" w:eastAsia="Google Sans" w:hAnsi="Google Sans"/>
            <w:color w:val="0000ee"/>
            <w:sz w:val="24"/>
            <w:szCs w:val="24"/>
            <w:u w:val="single"/>
            <w:rtl w:val="0"/>
          </w:rPr>
          <w:t xml:space="preserve">https://www.academia.edu/32940940/Decreto_Supremo_No_78_APRUEBA_REGLAMENTO_DE_ALMACENAMIENTO_DE_SUSTANCIAS_PELIGROSAS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Decreto 78 (11-sep-2010) M. de Salud; Subsecretaría de Salud Pública - BCN, acceso: abril 19, 2026, </w:t>
      </w:r>
      <w:hyperlink r:id="rId19">
        <w:r w:rsidDel="00000000" w:rsidR="00000000" w:rsidRPr="00000000">
          <w:rPr>
            <w:rFonts w:ascii="Google Sans" w:cs="Google Sans" w:eastAsia="Google Sans" w:hAnsi="Google Sans"/>
            <w:color w:val="0000ee"/>
            <w:sz w:val="24"/>
            <w:szCs w:val="24"/>
            <w:u w:val="single"/>
            <w:rtl w:val="0"/>
          </w:rPr>
          <w:t xml:space="preserve">https://www.bcn.cl/leychile/navegar?idNorma=1016975</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148, SALUD (2003), acceso: abril 19, 2026, </w:t>
      </w:r>
      <w:hyperlink r:id="rId20">
        <w:r w:rsidDel="00000000" w:rsidR="00000000" w:rsidRPr="00000000">
          <w:rPr>
            <w:rFonts w:ascii="Google Sans" w:cs="Google Sans" w:eastAsia="Google Sans" w:hAnsi="Google Sans"/>
            <w:color w:val="0000ee"/>
            <w:sz w:val="24"/>
            <w:szCs w:val="24"/>
            <w:u w:val="single"/>
            <w:rtl w:val="0"/>
          </w:rPr>
          <w:t xml:space="preserve">https://bwcimplementation.org/sites/default/files/resource/Chile_Decree148_0.pdf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Guia aplicación DS 594 en el SEIA 2009 - SEA, acceso: abril 19, 2026, </w:t>
      </w:r>
      <w:hyperlink r:id="rId21">
        <w:r w:rsidDel="00000000" w:rsidR="00000000" w:rsidRPr="00000000">
          <w:rPr>
            <w:rFonts w:ascii="Google Sans" w:cs="Google Sans" w:eastAsia="Google Sans" w:hAnsi="Google Sans"/>
            <w:color w:val="0000ee"/>
            <w:sz w:val="24"/>
            <w:szCs w:val="24"/>
            <w:u w:val="single"/>
            <w:rtl w:val="0"/>
          </w:rPr>
          <w:t xml:space="preserve">https://sea.gob.cl/sites/default/files/imce/archivos/2024/06/24/G018_2009_NOR_Laboral_v1.pdf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norma legal exige que en los lugares de trabajo los pasillos deben estar libres de obstáculos? - DT - Consultas, acceso: abril 19, 2026, </w:t>
      </w:r>
      <w:hyperlink r:id="rId22">
        <w:r w:rsidDel="00000000" w:rsidR="00000000" w:rsidRPr="00000000">
          <w:rPr>
            <w:rFonts w:ascii="Google Sans" w:cs="Google Sans" w:eastAsia="Google Sans" w:hAnsi="Google Sans"/>
            <w:color w:val="0000ee"/>
            <w:sz w:val="24"/>
            <w:szCs w:val="24"/>
            <w:u w:val="single"/>
            <w:rtl w:val="0"/>
          </w:rPr>
          <w:t xml:space="preserve">https://www.dt.gob.cl/portal/1628/w3-article-60434.html</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SUPREMO N° 594 APRUEBA REGLAMENTO SOBRE CONDICIONES SANITARIAS Y AMBIENTALES BASICAS EN LOS LUGARES DE TRABAJO¹ - Sigweb, acceso: abril 19, 2026, </w:t>
      </w:r>
      <w:hyperlink r:id="rId23">
        <w:r w:rsidDel="00000000" w:rsidR="00000000" w:rsidRPr="00000000">
          <w:rPr>
            <w:rFonts w:ascii="Google Sans" w:cs="Google Sans" w:eastAsia="Google Sans" w:hAnsi="Google Sans"/>
            <w:color w:val="0000ee"/>
            <w:sz w:val="24"/>
            <w:szCs w:val="24"/>
            <w:u w:val="single"/>
            <w:rtl w:val="0"/>
          </w:rPr>
          <w:t xml:space="preserve">http://www.sigweb.cl/wp-content/uploads/biblioteca/IluminacionDS594.pdf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Checklist de Cumplimiento DS 43 | PDF - Scribd, acceso: abril 19, 2026, </w:t>
      </w:r>
      <w:hyperlink r:id="rId24">
        <w:r w:rsidDel="00000000" w:rsidR="00000000" w:rsidRPr="00000000">
          <w:rPr>
            <w:rFonts w:ascii="Google Sans" w:cs="Google Sans" w:eastAsia="Google Sans" w:hAnsi="Google Sans"/>
            <w:color w:val="0000ee"/>
            <w:sz w:val="24"/>
            <w:szCs w:val="24"/>
            <w:u w:val="single"/>
            <w:rtl w:val="0"/>
          </w:rPr>
          <w:t xml:space="preserve">https://es.scribd.com/document/669601623/lista-de-chequeo-DS43</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 es la cantidad mínima de excusados y lavatorios que debe existir en la empresa? - DT - Consultas, acceso: abril 19, 2026, </w:t>
      </w:r>
      <w:hyperlink r:id="rId25">
        <w:r w:rsidDel="00000000" w:rsidR="00000000" w:rsidRPr="00000000">
          <w:rPr>
            <w:rFonts w:ascii="Google Sans" w:cs="Google Sans" w:eastAsia="Google Sans" w:hAnsi="Google Sans"/>
            <w:color w:val="0000ee"/>
            <w:sz w:val="24"/>
            <w:szCs w:val="24"/>
            <w:u w:val="single"/>
            <w:rtl w:val="0"/>
          </w:rPr>
          <w:t xml:space="preserve">https://www.dt.gob.cl/portal/1628/w3-article-60436.html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 Nº 594 - IST, acceso: abril 19, 2026, </w:t>
      </w:r>
      <w:hyperlink r:id="rId26">
        <w:r w:rsidDel="00000000" w:rsidR="00000000" w:rsidRPr="00000000">
          <w:rPr>
            <w:rFonts w:ascii="Google Sans" w:cs="Google Sans" w:eastAsia="Google Sans" w:hAnsi="Google Sans"/>
            <w:color w:val="0000ee"/>
            <w:sz w:val="24"/>
            <w:szCs w:val="24"/>
            <w:u w:val="single"/>
            <w:rtl w:val="0"/>
          </w:rPr>
          <w:t xml:space="preserve">https://www.ist.cl/wp-content/uploads/2016/12/siliceDECRETO-SUPREMO-N%C2%B0-594-actualizado.pdf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Vialidad Urbana 2024 | PDF | Diseño | Peatonal - Scribd, acceso: abril 19, 2026, </w:t>
      </w:r>
      <w:hyperlink r:id="rId27">
        <w:r w:rsidDel="00000000" w:rsidR="00000000" w:rsidRPr="00000000">
          <w:rPr>
            <w:rFonts w:ascii="Google Sans" w:cs="Google Sans" w:eastAsia="Google Sans" w:hAnsi="Google Sans"/>
            <w:color w:val="0000ee"/>
            <w:sz w:val="24"/>
            <w:szCs w:val="24"/>
            <w:u w:val="single"/>
            <w:rtl w:val="0"/>
          </w:rPr>
          <w:t xml:space="preserve">https://es.scribd.com/document/68649817/REDEVU</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Carreteras | Ministerio de Obras Públicas - MOP, acceso: abril 19, 2026, </w:t>
      </w:r>
      <w:hyperlink r:id="rId28">
        <w:r w:rsidDel="00000000" w:rsidR="00000000" w:rsidRPr="00000000">
          <w:rPr>
            <w:rFonts w:ascii="Google Sans" w:cs="Google Sans" w:eastAsia="Google Sans" w:hAnsi="Google Sans"/>
            <w:color w:val="0000ee"/>
            <w:sz w:val="24"/>
            <w:szCs w:val="24"/>
            <w:u w:val="single"/>
            <w:rtl w:val="0"/>
          </w:rPr>
          <w:t xml:space="preserve">https://www.mop.gob.cl/serviciosmop/manual-de-carreteras/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Dimensiones y diseño de andenes de carga | PDF | Camión | Logística - Scribd, acceso: abril 19, 2026, </w:t>
      </w:r>
      <w:hyperlink r:id="rId29">
        <w:r w:rsidDel="00000000" w:rsidR="00000000" w:rsidRPr="00000000">
          <w:rPr>
            <w:rFonts w:ascii="Google Sans" w:cs="Google Sans" w:eastAsia="Google Sans" w:hAnsi="Google Sans"/>
            <w:color w:val="0000ee"/>
            <w:sz w:val="24"/>
            <w:szCs w:val="24"/>
            <w:u w:val="single"/>
            <w:rtl w:val="0"/>
          </w:rPr>
          <w:t xml:space="preserve">https://fr.scribd.com/document/409181985/Andenes-de-Carga</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CARRETERAS: DISEÑO GEOMÉTRICO DG – 2018 - Ministerio de Transportes y Comunicaciones, acceso: abril 19, 2026, </w:t>
      </w:r>
      <w:hyperlink r:id="rId30">
        <w:r w:rsidDel="00000000" w:rsidR="00000000" w:rsidRPr="00000000">
          <w:rPr>
            <w:rFonts w:ascii="Google Sans" w:cs="Google Sans" w:eastAsia="Google Sans" w:hAnsi="Google Sans"/>
            <w:color w:val="0000ee"/>
            <w:sz w:val="24"/>
            <w:szCs w:val="24"/>
            <w:u w:val="single"/>
            <w:rtl w:val="0"/>
          </w:rPr>
          <w:t xml:space="preserve">https://portal.mtc.gob.pe/transportes/caminos/normas_carreteras/documentos/manuales/Manual.de.Carreteras.DG-2018.pdf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Dimensiones esenciales para andenes de carga: Guía completa - Alapont Global México, acceso: abril 19, 2026, </w:t>
      </w:r>
      <w:hyperlink r:id="rId31">
        <w:r w:rsidDel="00000000" w:rsidR="00000000" w:rsidRPr="00000000">
          <w:rPr>
            <w:rFonts w:ascii="Google Sans" w:cs="Google Sans" w:eastAsia="Google Sans" w:hAnsi="Google Sans"/>
            <w:color w:val="0000ee"/>
            <w:sz w:val="24"/>
            <w:szCs w:val="24"/>
            <w:u w:val="single"/>
            <w:rtl w:val="0"/>
          </w:rPr>
          <w:t xml:space="preserve">https://mx.alapont-global.com/blog/dimensiones-esenciales-para-andenes-de-carga-guia-completa/</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Andenes de carga y descarga - Alapont Global CL, acceso: abril 19, 2026, </w:t>
      </w:r>
      <w:hyperlink r:id="rId32">
        <w:r w:rsidDel="00000000" w:rsidR="00000000" w:rsidRPr="00000000">
          <w:rPr>
            <w:rFonts w:ascii="Google Sans" w:cs="Google Sans" w:eastAsia="Google Sans" w:hAnsi="Google Sans"/>
            <w:color w:val="0000ee"/>
            <w:sz w:val="24"/>
            <w:szCs w:val="24"/>
            <w:u w:val="single"/>
            <w:rtl w:val="0"/>
          </w:rPr>
          <w:t xml:space="preserve">https://alapont-global.cl/andenes-de-carga/</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DISEÑO MODERNO DE ANDÉN, acceso: abril 19, 2026, </w:t>
      </w:r>
      <w:hyperlink r:id="rId33">
        <w:r w:rsidDel="00000000" w:rsidR="00000000" w:rsidRPr="00000000">
          <w:rPr>
            <w:rFonts w:ascii="Google Sans" w:cs="Google Sans" w:eastAsia="Google Sans" w:hAnsi="Google Sans"/>
            <w:color w:val="0000ee"/>
            <w:sz w:val="24"/>
            <w:szCs w:val="24"/>
            <w:u w:val="single"/>
            <w:rtl w:val="0"/>
          </w:rPr>
          <w:t xml:space="preserve">https://www.kelleydocksolutions.com/documents/dock-levelers/air-powered-dock-levelers/afx-air-powered-dock-leveler/Kelley_Dock_Planning_Standards_Spanish.pdf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wcimplementation.org/sites/default/files/resource/Chile_Decree148_0.pdf" TargetMode="External"/><Relationship Id="rId22" Type="http://schemas.openxmlformats.org/officeDocument/2006/relationships/hyperlink" Target="https://www.dt.gob.cl/portal/1628/w3-article-60434.html" TargetMode="External"/><Relationship Id="rId21" Type="http://schemas.openxmlformats.org/officeDocument/2006/relationships/hyperlink" Target="https://sea.gob.cl/sites/default/files/imce/archivos/2024/06/24/G018_2009_NOR_Laboral_v1.pdf" TargetMode="External"/><Relationship Id="rId24" Type="http://schemas.openxmlformats.org/officeDocument/2006/relationships/hyperlink" Target="https://es.scribd.com/document/669601623/lista-de-chequeo-DS43" TargetMode="External"/><Relationship Id="rId23" Type="http://schemas.openxmlformats.org/officeDocument/2006/relationships/hyperlink" Target="http://www.sigweb.cl/wp-content/uploads/biblioteca/IluminacionDS59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cn.cl/leychile/Navegar?idNorma=1088802&amp;idParte=9689289&amp;idVersion=2022-08-17" TargetMode="External"/><Relationship Id="rId26" Type="http://schemas.openxmlformats.org/officeDocument/2006/relationships/hyperlink" Target="https://www.ist.cl/wp-content/uploads/2016/12/siliceDECRETO-SUPREMO-N%C2%B0-594-actualizado.pdf" TargetMode="External"/><Relationship Id="rId25" Type="http://schemas.openxmlformats.org/officeDocument/2006/relationships/hyperlink" Target="https://www.dt.gob.cl/portal/1628/w3-article-60436.html" TargetMode="External"/><Relationship Id="rId28" Type="http://schemas.openxmlformats.org/officeDocument/2006/relationships/hyperlink" Target="https://www.mop.gob.cl/serviciosmop/manual-de-carreteras/" TargetMode="External"/><Relationship Id="rId27" Type="http://schemas.openxmlformats.org/officeDocument/2006/relationships/hyperlink" Target="https://es.scribd.com/document/68649817/REDEVU" TargetMode="External"/><Relationship Id="rId5" Type="http://schemas.openxmlformats.org/officeDocument/2006/relationships/styles" Target="styles.xml"/><Relationship Id="rId6" Type="http://schemas.openxmlformats.org/officeDocument/2006/relationships/hyperlink" Target="https://www.bcn.cl/leychile/Navegar?idNorma=186911" TargetMode="External"/><Relationship Id="rId29" Type="http://schemas.openxmlformats.org/officeDocument/2006/relationships/hyperlink" Target="https://fr.scribd.com/document/409181985/Andenes-de-Carga" TargetMode="External"/><Relationship Id="rId7" Type="http://schemas.openxmlformats.org/officeDocument/2006/relationships/hyperlink" Target="https://www.bcn.cl/leychile/Navegar?idNorma=8201" TargetMode="External"/><Relationship Id="rId8" Type="http://schemas.openxmlformats.org/officeDocument/2006/relationships/hyperlink" Target="https://www.anapci.cl/wp-content/uploads/2025/11/TecniNotas-2025-N30.pdf" TargetMode="External"/><Relationship Id="rId31" Type="http://schemas.openxmlformats.org/officeDocument/2006/relationships/hyperlink" Target="https://mx.alapont-global.com/blog/dimensiones-esenciales-para-andenes-de-carga-guia-completa/" TargetMode="External"/><Relationship Id="rId30" Type="http://schemas.openxmlformats.org/officeDocument/2006/relationships/hyperlink" Target="https://portal.mtc.gob.pe/transportes/caminos/normas_carreteras/documentos/manuales/Manual.de.Carreteras.DG-2018.pdf" TargetMode="External"/><Relationship Id="rId11" Type="http://schemas.openxmlformats.org/officeDocument/2006/relationships/hyperlink" Target="https://es.slideshare.net/slideshow/decreto-43-sobre-almacenamiento-de-sustancias-peligrosas/79398364" TargetMode="External"/><Relationship Id="rId33" Type="http://schemas.openxmlformats.org/officeDocument/2006/relationships/hyperlink" Target="https://www.kelleydocksolutions.com/documents/dock-levelers/air-powered-dock-levelers/afx-air-powered-dock-leveler/Kelley_Dock_Planning_Standards_Spanish.pdf" TargetMode="External"/><Relationship Id="rId10" Type="http://schemas.openxmlformats.org/officeDocument/2006/relationships/hyperlink" Target="https://bwcimplementation.org/sites/default/files/resource/Chile_ReglamentoAlmacenamientoSustanciasPeligrosas78_0.pdf" TargetMode="External"/><Relationship Id="rId32" Type="http://schemas.openxmlformats.org/officeDocument/2006/relationships/hyperlink" Target="https://alapont-global.cl/andenes-de-carga/" TargetMode="External"/><Relationship Id="rId13" Type="http://schemas.openxmlformats.org/officeDocument/2006/relationships/hyperlink" Target="https://plataformahermes.cl/2026/04/08/matriz-incompatibilidades-quimicas-ds-43-minsal/" TargetMode="External"/><Relationship Id="rId12" Type="http://schemas.openxmlformats.org/officeDocument/2006/relationships/hyperlink" Target="https://es.scribd.com/document/440974255/DS-43-Reglamento-Almacenamiento-SP-BCN-pdf" TargetMode="External"/><Relationship Id="rId15" Type="http://schemas.openxmlformats.org/officeDocument/2006/relationships/hyperlink" Target="https://www.bcn.cl/leychile/navegar?idNorma=1088802" TargetMode="External"/><Relationship Id="rId14" Type="http://schemas.openxmlformats.org/officeDocument/2006/relationships/hyperlink" Target="https://dgaeapucv.cl/wp-content/uploads/2022/07/MANUAL-DE-ALMACENAMIENTO-DE-SUSTANCIAS-PELIGROSAS.pdf" TargetMode="External"/><Relationship Id="rId17" Type="http://schemas.openxmlformats.org/officeDocument/2006/relationships/hyperlink" Target="https://www.leychile.cl/leychile/Navegar?idNorma=1004120&amp;idParte=8741591" TargetMode="External"/><Relationship Id="rId16" Type="http://schemas.openxmlformats.org/officeDocument/2006/relationships/hyperlink" Target="https://juridico1.minsal.cl/decreto_78_09.doc" TargetMode="External"/><Relationship Id="rId19" Type="http://schemas.openxmlformats.org/officeDocument/2006/relationships/hyperlink" Target="https://www.bcn.cl/leychile/navegar?idNorma=1016975" TargetMode="External"/><Relationship Id="rId18" Type="http://schemas.openxmlformats.org/officeDocument/2006/relationships/hyperlink" Target="https://www.academia.edu/32940940/Decreto_Supremo_No_78_APRUEBA_REGLAMENTO_DE_ALMACENAMIENTO_DE_SUSTANCIAS_PELIGROS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