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DOSAR COMPLET — #11</w:t>
      </w:r>
    </w:p>
    <w:p>
      <w:r>
        <w:rPr>
          <w:b/>
        </w:rPr>
        <w:t>Mogoșoaia: amenzi dublate în regulamentul de gospodărire, inclusiv pentru publicitatea pe domeniul public (HCL 131/2026)</w:t>
      </w:r>
    </w:p>
    <w:tbl>
      <w:tblPr>
        <w:tblStyle w:val="LightGrid-Accent1"/>
        <w:tblW w:type="auto" w:w="0"/>
        <w:tblLook w:firstColumn="1" w:firstRow="1" w:lastColumn="0" w:lastRow="0" w:noHBand="0" w:noVBand="1" w:val="04A0"/>
      </w:tblPr>
      <w:tblGrid>
        <w:gridCol w:w="4320"/>
        <w:gridCol w:w="4320"/>
      </w:tblGrid>
      <w:tr>
        <w:tc>
          <w:tcPr>
            <w:tcW w:type="dxa" w:w="4320"/>
          </w:tcPr>
          <w:p>
            <w:r>
              <w:t>Oraș</w:t>
            </w:r>
          </w:p>
        </w:tc>
        <w:tc>
          <w:tcPr>
            <w:tcW w:type="dxa" w:w="4320"/>
          </w:tcPr>
          <w:p>
            <w:r>
              <w:t>Ilfov</w:t>
            </w:r>
          </w:p>
        </w:tc>
      </w:tr>
      <w:tr>
        <w:tc>
          <w:tcPr>
            <w:tcW w:type="dxa" w:w="4320"/>
          </w:tcPr>
          <w:p>
            <w:r>
              <w:t>Autoritate contractantă</w:t>
            </w:r>
          </w:p>
        </w:tc>
        <w:tc>
          <w:tcPr>
            <w:tcW w:type="dxa" w:w="4320"/>
          </w:tcPr>
          <w:p>
            <w:r>
              <w:t>Consiliul Local al Comunei Mogoșoaia</w:t>
            </w:r>
          </w:p>
        </w:tc>
      </w:tr>
      <w:tr>
        <w:tc>
          <w:tcPr>
            <w:tcW w:type="dxa" w:w="4320"/>
          </w:tcPr>
          <w:p>
            <w:r>
              <w:t>Stadiu curent</w:t>
            </w:r>
          </w:p>
        </w:tc>
        <w:tc>
          <w:tcPr>
            <w:tcW w:type="dxa" w:w="4320"/>
          </w:tcPr>
          <w:p>
            <w:r>
              <w:t>regulament</w:t>
            </w:r>
          </w:p>
        </w:tc>
      </w:tr>
      <w:tr>
        <w:tc>
          <w:tcPr>
            <w:tcW w:type="dxa" w:w="4320"/>
          </w:tcPr>
          <w:p>
            <w:r>
              <w:t>Status</w:t>
            </w:r>
          </w:p>
        </w:tc>
        <w:tc>
          <w:tcPr>
            <w:tcW w:type="dxa" w:w="4320"/>
          </w:tcPr>
          <w:p>
            <w:r>
              <w:t>activ</w:t>
            </w:r>
          </w:p>
        </w:tc>
      </w:tr>
      <w:tr>
        <w:tc>
          <w:tcPr>
            <w:tcW w:type="dxa" w:w="4320"/>
          </w:tcPr>
          <w:p>
            <w:r>
              <w:t>Act administrativ</w:t>
            </w:r>
          </w:p>
        </w:tc>
        <w:tc>
          <w:tcPr>
            <w:tcW w:type="dxa" w:w="4320"/>
          </w:tcPr>
          <w:p>
            <w:r>
              <w:t>HCL Mogoșoaia nr. 131/29.09.2026 (modifică HCL nr. 116/28.09.2023)</w:t>
            </w:r>
          </w:p>
        </w:tc>
      </w:tr>
      <w:tr>
        <w:tc>
          <w:tcPr>
            <w:tcW w:type="dxa" w:w="4320"/>
          </w:tcPr>
          <w:p>
            <w:r>
              <w:t>Temei legal</w:t>
            </w:r>
          </w:p>
        </w:tc>
        <w:tc>
          <w:tcPr>
            <w:tcW w:type="dxa" w:w="4320"/>
          </w:tcPr>
          <w:p>
            <w:r>
              <w:t>OG 2/2001 art. 8 alin. (2) lit. d), modificată prin OUG 7/2026, OUG 57/2019 (Codul administrativ)</w:t>
            </w:r>
          </w:p>
        </w:tc>
      </w:tr>
      <w:tr>
        <w:tc>
          <w:tcPr>
            <w:tcW w:type="dxa" w:w="4320"/>
          </w:tcPr>
          <w:p>
            <w:r>
              <w:t>Document generat</w:t>
            </w:r>
          </w:p>
        </w:tc>
        <w:tc>
          <w:tcPr>
            <w:tcW w:type="dxa" w:w="4320"/>
          </w:tcPr>
          <w:p>
            <w:r>
              <w:t>10.10.2026, ora 13:26 (Europe/Bucharest)</w:t>
            </w:r>
          </w:p>
        </w:tc>
      </w:tr>
    </w:tbl>
    <w:p/>
    <w:p>
      <w:r>
        <w:t>Consiliul Local Mogoșoaia a adoptat pe 29.09.2026 HCL 131, care actualizează Regulamentul de gospodărire a comunei (HCL 116/2023) prin dublarea cuantumului amenzilor, în baza OUG 7/2026; celelalte prevederi rămân neschimbate. Anexa (regulamentul complet, 18 pagini, PDF scanat) are Capitolul VI „Publicitatea pe domeniul public”, art. 12: sunt contravenții lipirea afișelor în locuri neautorizate, montarea de panouri publicitare sau bannere fără autorizare, neîntreținerea panourilor, neschimbarea materialelor uzate, publicitatea în cimitire, folosirea vehiculelor în scop publicitar fără autorizație și taxe, nerespectarea zonelor pentru reclame sonore sau luminoase, conținut care contravine normelor și nerespectarea contractului de montare/demontare a unui sistem publicitar pe domeniul public sau privat al comunei. Art. 13 (după dublare): persoane fizice 500–1.000 lei (pct. 1–3) și 1.000–3.000 lei (pct. 4–6); persoane juridice 2.000–4.000 lei (pct. 7–8), 2.000–5.000 lei (pct. 1–6) și 4.000–5.000 lei (pct. 9). Art. 10 pct. 8 (domeniul public) sancționează separat expunerea în scop de reclamă a vehiculelor, utilajelor sau mărfurilor fără autorizare. Nu este un regulament de publicitate propriu-zis (nu reglementează amplasamente, dimensiuni sau ecrane digitale) și nu este o licitație.</w:t>
      </w:r>
    </w:p>
    <w:p>
      <w:pPr>
        <w:pStyle w:val="Heading1"/>
      </w:pPr>
      <w:r>
        <w:t>1. Ce se scoate la licitație</w:t>
      </w:r>
    </w:p>
    <w:tbl>
      <w:tblPr>
        <w:tblStyle w:val="LightGrid-Accent1"/>
        <w:tblW w:type="auto" w:w="0"/>
        <w:tblLook w:firstColumn="1" w:firstRow="1" w:lastColumn="0" w:lastRow="0" w:noHBand="0" w:noVBand="1" w:val="04A0"/>
      </w:tblPr>
      <w:tblGrid>
        <w:gridCol w:w="4320"/>
        <w:gridCol w:w="4320"/>
      </w:tblGrid>
      <w:tr>
        <w:tc>
          <w:tcPr>
            <w:tcW w:type="dxa" w:w="4320"/>
          </w:tcPr>
          <w:p>
            <w:r>
              <w:t>Obiect</w:t>
            </w:r>
          </w:p>
        </w:tc>
        <w:tc>
          <w:tcPr>
            <w:tcW w:type="dxa" w:w="4320"/>
          </w:tcPr>
          <w:p>
            <w:r>
              <w:t>Mogoșoaia: amenzi dublate în regulamentul de gospodărire, inclusiv pentru publicitatea pe domeniul public (HCL 131/2026)</w:t>
            </w:r>
          </w:p>
        </w:tc>
      </w:tr>
      <w:tr>
        <w:tc>
          <w:tcPr>
            <w:tcW w:type="dxa" w:w="4320"/>
          </w:tcPr>
          <w:p>
            <w:r>
              <w:t>Adresă / amplasament</w:t>
            </w:r>
          </w:p>
        </w:tc>
        <w:tc>
          <w:tcPr>
            <w:tcW w:type="dxa" w:w="4320"/>
          </w:tcPr>
          <w:p>
            <w:r>
              <w:t>Comuna Mogoșoaia, județul Ilfov (tot teritoriul)</w:t>
            </w:r>
          </w:p>
        </w:tc>
      </w:tr>
      <w:tr>
        <w:tc>
          <w:tcPr>
            <w:tcW w:type="dxa" w:w="4320"/>
          </w:tcPr>
          <w:p>
            <w:r>
              <w:t>Nr. cadastral</w:t>
            </w:r>
          </w:p>
        </w:tc>
        <w:tc>
          <w:tcPr>
            <w:tcW w:type="dxa" w:w="4320"/>
          </w:tcPr>
          <w:p>
            <w:r>
              <w:t>Nu este menționat în documentele arhivate.</w:t>
            </w:r>
          </w:p>
        </w:tc>
      </w:tr>
      <w:tr>
        <w:tc>
          <w:tcPr>
            <w:tcW w:type="dxa" w:w="4320"/>
          </w:tcPr>
          <w:p>
            <w:r>
              <w:t>Suprafață</w:t>
            </w:r>
          </w:p>
        </w:tc>
        <w:tc>
          <w:tcPr>
            <w:tcW w:type="dxa" w:w="4320"/>
          </w:tcPr>
          <w:p>
            <w:r>
              <w:t>Nu este menționat în documentele arhivate.</w:t>
            </w:r>
          </w:p>
        </w:tc>
      </w:tr>
      <w:tr>
        <w:tc>
          <w:tcPr>
            <w:tcW w:type="dxa" w:w="4320"/>
          </w:tcPr>
          <w:p>
            <w:r>
              <w:t>Număr amplasamente</w:t>
            </w:r>
          </w:p>
        </w:tc>
        <w:tc>
          <w:tcPr>
            <w:tcW w:type="dxa" w:w="4320"/>
          </w:tcPr>
          <w:p>
            <w:r>
              <w:t>Nu este menționat în documentele arhivate.</w:t>
            </w:r>
          </w:p>
        </w:tc>
      </w:tr>
      <w:tr>
        <w:tc>
          <w:tcPr>
            <w:tcW w:type="dxa" w:w="4320"/>
          </w:tcPr>
          <w:p>
            <w:r>
              <w:t>Tip mijloc publicitar</w:t>
            </w:r>
          </w:p>
        </w:tc>
        <w:tc>
          <w:tcPr>
            <w:tcW w:type="dxa" w:w="4320"/>
          </w:tcPr>
          <w:p>
            <w:r>
              <w:t>panou publicitar, banner, afiș, reclamă luminoasă, publicitate pe vehicule</w:t>
            </w:r>
          </w:p>
        </w:tc>
      </w:tr>
      <w:tr>
        <w:tc>
          <w:tcPr>
            <w:tcW w:type="dxa" w:w="4320"/>
          </w:tcPr>
          <w:p>
            <w:r>
              <w:t>Durata contractului</w:t>
            </w:r>
          </w:p>
        </w:tc>
        <w:tc>
          <w:tcPr>
            <w:tcW w:type="dxa" w:w="4320"/>
          </w:tcPr>
          <w:p>
            <w:r>
              <w:t>Nu este menționat în documentele arhivate.</w:t>
            </w:r>
          </w:p>
        </w:tc>
      </w:tr>
    </w:tbl>
    <w:p>
      <w:pPr>
        <w:pStyle w:val="Heading1"/>
      </w:pPr>
      <w:r>
        <w:t>2. Termene</w:t>
      </w:r>
    </w:p>
    <w:tbl>
      <w:tblPr>
        <w:tblStyle w:val="LightGrid-Accent1"/>
        <w:tblW w:type="auto" w:w="0"/>
        <w:tblLook w:firstColumn="1" w:firstRow="1" w:lastColumn="0" w:lastRow="0" w:noHBand="0" w:noVBand="1" w:val="04A0"/>
      </w:tblPr>
      <w:tblGrid>
        <w:gridCol w:w="4320"/>
        <w:gridCol w:w="4320"/>
      </w:tblGrid>
      <w:tr>
        <w:tc>
          <w:tcPr>
            <w:tcW w:type="dxa" w:w="4320"/>
          </w:tcPr>
          <w:p>
            <w:r>
              <w:t>Data publicării</w:t>
            </w:r>
          </w:p>
        </w:tc>
        <w:tc>
          <w:tcPr>
            <w:tcW w:type="dxa" w:w="4320"/>
          </w:tcPr>
          <w:p>
            <w:r>
              <w:t>29.09.2026</w:t>
            </w:r>
          </w:p>
        </w:tc>
      </w:tr>
      <w:tr>
        <w:tc>
          <w:tcPr>
            <w:tcW w:type="dxa" w:w="4320"/>
          </w:tcPr>
          <w:p>
            <w:r>
              <w:t>Termen cumpărare documentație</w:t>
            </w:r>
          </w:p>
        </w:tc>
        <w:tc>
          <w:tcPr>
            <w:tcW w:type="dxa" w:w="4320"/>
          </w:tcPr>
          <w:p>
            <w:r>
              <w:t>Nu este menționat în documentele arhivate.</w:t>
            </w:r>
          </w:p>
        </w:tc>
      </w:tr>
      <w:tr>
        <w:tc>
          <w:tcPr>
            <w:tcW w:type="dxa" w:w="4320"/>
          </w:tcPr>
          <w:p>
            <w:r>
              <w:t>Termen depunere oferte</w:t>
            </w:r>
          </w:p>
        </w:tc>
        <w:tc>
          <w:tcPr>
            <w:tcW w:type="dxa" w:w="4320"/>
          </w:tcPr>
          <w:p>
            <w:r>
              <w:t>Nu este menționat în documentele arhivate.</w:t>
            </w:r>
          </w:p>
        </w:tc>
      </w:tr>
      <w:tr>
        <w:tc>
          <w:tcPr>
            <w:tcW w:type="dxa" w:w="4320"/>
          </w:tcPr>
          <w:p>
            <w:r>
              <w:t>Ședința de licitație</w:t>
            </w:r>
          </w:p>
        </w:tc>
        <w:tc>
          <w:tcPr>
            <w:tcW w:type="dxa" w:w="4320"/>
          </w:tcPr>
          <w:p>
            <w:r>
              <w:t>Nu este menționat în documentele arhivate.</w:t>
            </w:r>
          </w:p>
        </w:tc>
      </w:tr>
    </w:tbl>
    <w:p>
      <w:pPr>
        <w:pStyle w:val="Heading1"/>
      </w:pPr>
      <w:r>
        <w:t>3. Bani</w:t>
      </w:r>
    </w:p>
    <w:tbl>
      <w:tblPr>
        <w:tblStyle w:val="LightGrid-Accent1"/>
        <w:tblW w:type="auto" w:w="0"/>
        <w:tblLook w:firstColumn="1" w:firstRow="1" w:lastColumn="0" w:lastRow="0" w:noHBand="0" w:noVBand="1" w:val="04A0"/>
      </w:tblPr>
      <w:tblGrid>
        <w:gridCol w:w="4320"/>
        <w:gridCol w:w="4320"/>
      </w:tblGrid>
      <w:tr>
        <w:tc>
          <w:tcPr>
            <w:tcW w:type="dxa" w:w="4320"/>
          </w:tcPr>
          <w:p>
            <w:r>
              <w:t>Preț de pornire</w:t>
            </w:r>
          </w:p>
        </w:tc>
        <w:tc>
          <w:tcPr>
            <w:tcW w:type="dxa" w:w="4320"/>
          </w:tcPr>
          <w:p>
            <w:r>
              <w:t>Nu este menționat în documentele arhivate.</w:t>
            </w:r>
          </w:p>
        </w:tc>
      </w:tr>
      <w:tr>
        <w:tc>
          <w:tcPr>
            <w:tcW w:type="dxa" w:w="4320"/>
          </w:tcPr>
          <w:p>
            <w:r>
              <w:t>Pas de licitare</w:t>
            </w:r>
          </w:p>
        </w:tc>
        <w:tc>
          <w:tcPr>
            <w:tcW w:type="dxa" w:w="4320"/>
          </w:tcPr>
          <w:p>
            <w:r>
              <w:t>Nu este menționat în documentele arhivate.</w:t>
            </w:r>
          </w:p>
        </w:tc>
      </w:tr>
      <w:tr>
        <w:tc>
          <w:tcPr>
            <w:tcW w:type="dxa" w:w="4320"/>
          </w:tcPr>
          <w:p>
            <w:r>
              <w:t>Garanție de participare</w:t>
            </w:r>
          </w:p>
        </w:tc>
        <w:tc>
          <w:tcPr>
            <w:tcW w:type="dxa" w:w="4320"/>
          </w:tcPr>
          <w:p>
            <w:r>
              <w:t>Nu este menționat în documentele arhivate.</w:t>
            </w:r>
          </w:p>
        </w:tc>
      </w:tr>
      <w:tr>
        <w:tc>
          <w:tcPr>
            <w:tcW w:type="dxa" w:w="4320"/>
          </w:tcPr>
          <w:p>
            <w:r>
              <w:t>Cost caiet de sarcini</w:t>
            </w:r>
          </w:p>
        </w:tc>
        <w:tc>
          <w:tcPr>
            <w:tcW w:type="dxa" w:w="4320"/>
          </w:tcPr>
          <w:p>
            <w:r>
              <w:t>Nu este menționat în documentele arhivate.</w:t>
            </w:r>
          </w:p>
        </w:tc>
      </w:tr>
      <w:tr>
        <w:tc>
          <w:tcPr>
            <w:tcW w:type="dxa" w:w="4320"/>
          </w:tcPr>
          <w:p>
            <w:r>
              <w:t>Cont de virament</w:t>
            </w:r>
          </w:p>
        </w:tc>
        <w:tc>
          <w:tcPr>
            <w:tcW w:type="dxa" w:w="4320"/>
          </w:tcPr>
          <w:p>
            <w:r>
              <w:t>Nu este menționat în documentele arhivate.</w:t>
            </w:r>
          </w:p>
        </w:tc>
      </w:tr>
    </w:tbl>
    <w:p>
      <w:pPr>
        <w:pStyle w:val="Heading1"/>
      </w:pPr>
      <w:r>
        <w:t>4. Condiții de participare</w:t>
      </w:r>
    </w:p>
    <w:p>
      <w:r>
        <w:t>Nu este menționat în documentele arhivate.</w:t>
      </w:r>
    </w:p>
    <w:p>
      <w:r>
        <w:t>Criterii de atribuire: Nu este menționat în documentele arhivate.</w:t>
      </w:r>
    </w:p>
    <w:p>
      <w:pPr>
        <w:pStyle w:val="Heading1"/>
      </w:pPr>
      <w:r>
        <w:t>5. Solicitantul (din referat)</w:t>
      </w:r>
    </w:p>
    <w:p>
      <w:r>
        <w:t>Nu este cunoscut (nu apare în documentele arhivate).</w:t>
      </w:r>
    </w:p>
    <w:p>
      <w:pPr>
        <w:pStyle w:val="Heading1"/>
      </w:pPr>
      <w:r>
        <w:t>6. Timeline-ul cazului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Data documentului</w:t>
            </w:r>
          </w:p>
        </w:tc>
        <w:tc>
          <w:tcPr>
            <w:tcW w:type="dxa" w:w="2160"/>
          </w:tcPr>
          <w:p>
            <w:r>
              <w:t>Stadiu</w:t>
            </w:r>
          </w:p>
        </w:tc>
        <w:tc>
          <w:tcPr>
            <w:tcW w:type="dxa" w:w="2160"/>
          </w:tcPr>
          <w:p>
            <w:r>
              <w:t>Descriere</w:t>
            </w:r>
          </w:p>
        </w:tc>
        <w:tc>
          <w:tcPr>
            <w:tcW w:type="dxa" w:w="2160"/>
          </w:tcPr>
          <w:p>
            <w:r>
              <w:t>Detectat la</w:t>
            </w:r>
          </w:p>
        </w:tc>
      </w:tr>
      <w:tr>
        <w:tc>
          <w:tcPr>
            <w:tcW w:type="dxa" w:w="2160"/>
          </w:tcPr>
          <w:p>
            <w:r>
              <w:t>29.09.2026</w:t>
            </w:r>
          </w:p>
        </w:tc>
        <w:tc>
          <w:tcPr>
            <w:tcW w:type="dxa" w:w="2160"/>
          </w:tcPr>
          <w:p>
            <w:r>
              <w:t>regulament</w:t>
            </w:r>
          </w:p>
        </w:tc>
        <w:tc>
          <w:tcPr>
            <w:tcW w:type="dxa" w:w="2160"/>
          </w:tcPr>
          <w:p>
            <w:r>
              <w:t>HCL nr. 131/29.09.2026 pentru modificarea HCL nr. 116/28.09.2023 (Regulamentul de gospodărire și sancționare a contravențiilor), adoptată cu 14 voturi din 14</w:t>
            </w:r>
          </w:p>
        </w:tc>
        <w:tc>
          <w:tcPr>
            <w:tcW w:type="dxa" w:w="2160"/>
          </w:tcPr>
          <w:p>
            <w:r>
              <w:t>09.10.2026</w:t>
            </w:r>
          </w:p>
        </w:tc>
      </w:tr>
    </w:tbl>
    <w:p>
      <w:pPr>
        <w:pStyle w:val="Heading1"/>
      </w:pPr>
      <w:r>
        <w:t>7. DOVADA — captura paginii-sursă</w:t>
      </w:r>
    </w:p>
    <w:p>
      <w:pPr>
        <w:pStyle w:val="Heading2"/>
      </w:pPr>
      <w:r>
        <w:t>regulament — 29.09.2026</w:t>
      </w:r>
    </w:p>
    <w:p>
      <w:r>
        <w:drawing>
          <wp:inline xmlns:a="http://schemas.openxmlformats.org/drawingml/2006/main" xmlns:pic="http://schemas.openxmlformats.org/drawingml/2006/picture">
            <wp:extent cx="5760000" cy="7600000"/>
            <wp:docPr id="1" name="Picture 1"/>
            <wp:cNvGraphicFramePr>
              <a:graphicFrameLocks noChangeAspect="1"/>
            </wp:cNvGraphicFramePr>
            <a:graphic>
              <a:graphicData uri="http://schemas.openxmlformats.org/drawingml/2006/picture">
                <pic:pic>
                  <pic:nvPicPr>
                    <pic:cNvPr id="0" name="slice_source_page.png_0.png"/>
                    <pic:cNvPicPr/>
                  </pic:nvPicPr>
                  <pic:blipFill>
                    <a:blip r:embed="rId9"/>
                    <a:stretch>
                      <a:fillRect/>
                    </a:stretch>
                  </pic:blipFill>
                  <pic:spPr>
                    <a:xfrm>
                      <a:off x="0" y="0"/>
                      <a:ext cx="5760000" cy="7600000"/>
                    </a:xfrm>
                    <a:prstGeom prst="rect"/>
                  </pic:spPr>
                </pic:pic>
              </a:graphicData>
            </a:graphic>
          </wp:inline>
        </w:drawing>
      </w:r>
    </w:p>
    <w:p>
      <w:r>
        <w:drawing>
          <wp:inline xmlns:a="http://schemas.openxmlformats.org/drawingml/2006/main" xmlns:pic="http://schemas.openxmlformats.org/drawingml/2006/picture">
            <wp:extent cx="5760000" cy="1228000"/>
            <wp:docPr id="2" name="Picture 2"/>
            <wp:cNvGraphicFramePr>
              <a:graphicFrameLocks noChangeAspect="1"/>
            </wp:cNvGraphicFramePr>
            <a:graphic>
              <a:graphicData uri="http://schemas.openxmlformats.org/drawingml/2006/picture">
                <pic:pic>
                  <pic:nvPicPr>
                    <pic:cNvPr id="0" name="slice_source_page.png_1.png"/>
                    <pic:cNvPicPr/>
                  </pic:nvPicPr>
                  <pic:blipFill>
                    <a:blip r:embed="rId10"/>
                    <a:stretch>
                      <a:fillRect/>
                    </a:stretch>
                  </pic:blipFill>
                  <pic:spPr>
                    <a:xfrm>
                      <a:off x="0" y="0"/>
                      <a:ext cx="5760000" cy="1228000"/>
                    </a:xfrm>
                    <a:prstGeom prst="rect"/>
                  </pic:spPr>
                </pic:pic>
              </a:graphicData>
            </a:graphic>
          </wp:inline>
        </w:drawing>
      </w:r>
    </w:p>
    <w:p>
      <w:r>
        <w:t>(captura full-page, împărțită în 2 felii pentru lizibilitate)</w:t>
      </w:r>
    </w:p>
    <w:tbl>
      <w:tblPr>
        <w:tblStyle w:val="LightGrid-Accent1"/>
        <w:tblW w:type="auto" w:w="0"/>
        <w:tblLook w:firstColumn="1" w:firstRow="1" w:lastColumn="0" w:lastRow="0" w:noHBand="0" w:noVBand="1" w:val="04A0"/>
      </w:tblPr>
      <w:tblGrid>
        <w:gridCol w:w="4320"/>
        <w:gridCol w:w="4320"/>
      </w:tblGrid>
      <w:tr>
        <w:tc>
          <w:tcPr>
            <w:tcW w:type="dxa" w:w="4320"/>
          </w:tcPr>
          <w:p>
            <w:r>
              <w:t>URL</w:t>
            </w:r>
          </w:p>
        </w:tc>
        <w:tc>
          <w:tcPr>
            <w:tcW w:type="dxa" w:w="4320"/>
          </w:tcPr>
          <w:p>
            <w:r>
              <w:t>https://primaria.mogosoaia.ro/hotararea-131-din-29-09-2026/</w:t>
            </w:r>
          </w:p>
        </w:tc>
      </w:tr>
      <w:tr>
        <w:tc>
          <w:tcPr>
            <w:tcW w:type="dxa" w:w="4320"/>
          </w:tcPr>
          <w:p>
            <w:r>
              <w:t>Capturat la</w:t>
            </w:r>
          </w:p>
        </w:tc>
        <w:tc>
          <w:tcPr>
            <w:tcW w:type="dxa" w:w="4320"/>
          </w:tcPr>
          <w:p>
            <w:r>
              <w:t>2026-10-10T11:30:30+03:00</w:t>
            </w:r>
          </w:p>
        </w:tc>
      </w:tr>
      <w:tr>
        <w:tc>
          <w:tcPr>
            <w:tcW w:type="dxa" w:w="4320"/>
          </w:tcPr>
          <w:p>
            <w:r>
              <w:t>Cod HTTP</w:t>
            </w:r>
          </w:p>
        </w:tc>
        <w:tc>
          <w:tcPr>
            <w:tcW w:type="dxa" w:w="4320"/>
          </w:tcPr>
          <w:p>
            <w:r>
              <w:t>200</w:t>
            </w:r>
          </w:p>
        </w:tc>
      </w:tr>
      <w:tr>
        <w:tc>
          <w:tcPr>
            <w:tcW w:type="dxa" w:w="4320"/>
          </w:tcPr>
          <w:p>
            <w:r>
              <w:t>SHA-256 captură</w:t>
            </w:r>
          </w:p>
        </w:tc>
        <w:tc>
          <w:tcPr>
            <w:tcW w:type="dxa" w:w="4320"/>
          </w:tcPr>
          <w:p>
            <w:r>
              <w:t>d61ec83714edb9dbe18ee22e994893af00f42f1329b1f01e59e67d137a37ea83</w:t>
            </w:r>
          </w:p>
        </w:tc>
      </w:tr>
      <w:tr>
        <w:tc>
          <w:tcPr>
            <w:tcW w:type="dxa" w:w="4320"/>
          </w:tcPr>
          <w:p>
            <w:r>
              <w:t>Wayback Machine</w:t>
            </w:r>
          </w:p>
        </w:tc>
        <w:tc>
          <w:tcPr>
            <w:tcW w:type="dxa" w:w="4320"/>
          </w:tcPr>
          <w:p>
            <w:r>
              <w:t>https://web.archive.org/web/20261010083136/https://primaria.mogosoaia.ro/hotararea-131-din-29-09-2026/</w:t>
            </w:r>
          </w:p>
        </w:tc>
      </w:tr>
    </w:tbl>
    <w:p>
      <w:pPr>
        <w:pStyle w:val="Heading1"/>
      </w:pPr>
      <w:r>
        <w:t>8. Textul integral al anunțului</w:t>
      </w:r>
    </w:p>
    <w:p>
      <w:r>
        <w:t xml:space="preserve"> </w:t>
        <w:br/>
        <w:t xml:space="preserve">COMUNA  </w:t>
        <w:br/>
        <w:t xml:space="preserve">MOGOŞOAIA  </w:t>
        <w:br/>
        <w:t xml:space="preserve">CONSILIUL LOCAL AL COMUNEI MOGOŞOAIA  </w:t>
        <w:br/>
        <w:t xml:space="preserve">Adresă </w:t>
        <w:br/>
        <w:t xml:space="preserve"> </w:t>
        <w:br/>
        <w:t xml:space="preserve">Comuna Mogoșoaia </w:t>
        <w:br/>
        <w:t xml:space="preserve">Șos. București-Târgoviște 51 </w:t>
        <w:br/>
        <w:t xml:space="preserve">Județul Ilfov, România, 077135 </w:t>
        <w:br/>
        <w:t xml:space="preserve">Contact </w:t>
        <w:br/>
        <w:t xml:space="preserve"> </w:t>
        <w:br/>
        <w:t xml:space="preserve">Tel: 021.351.66.92 </w:t>
        <w:br/>
        <w:t xml:space="preserve">Fax: 021.351.66.95 </w:t>
        <w:br/>
        <w:t xml:space="preserve">primaria@mogosoaia.ro </w:t>
        <w:br/>
        <w:t xml:space="preserve"> </w:t>
        <w:br/>
        <w:t xml:space="preserve">HOTĂRÂRE | 131 | din data de 29.09.2026 </w:t>
        <w:br/>
        <w:t xml:space="preserve"> </w:t>
        <w:br/>
        <w:t xml:space="preserve">Pentru modificarea Hotărârii Consiliului Local nr. 116/28.09.2023 pentru </w:t>
        <w:br/>
        <w:t xml:space="preserve">aprobarea Regulamentului privind stabilirea unor măsuri pentru gospodărirea </w:t>
        <w:br/>
        <w:t xml:space="preserve">comunei Mogoșoaia, precum și constatarea și sancționarea faptelor ce constituie </w:t>
        <w:br/>
        <w:t xml:space="preserve">contravenții </w:t>
        <w:br/>
        <w:t xml:space="preserve"> </w:t>
        <w:br/>
        <w:t xml:space="preserve"> </w:t>
        <w:br/>
        <w:t xml:space="preserve"> </w:t>
        <w:br/>
        <w:t xml:space="preserve">AVÂND ÎN VEDERE: </w:t>
        <w:br/>
        <w:t xml:space="preserve">Referatul de aprobare a inițiatorului proiectului de hotărâre; </w:t>
        <w:br/>
        <w:t xml:space="preserve">Raportul compartimentului de specialitate; </w:t>
        <w:br/>
        <w:t xml:space="preserve">Avizul Comisiei de specialitate; </w:t>
        <w:br/>
        <w:t xml:space="preserve">Prevederile art. 8 alin. (2) lit. d) din Ordonanţa nr. 2/2001 privind regimul juridic al </w:t>
        <w:br/>
        <w:t xml:space="preserve">contravenţiilor  astfel cum a fost modificat prin Ordonanţa de urgenţă nr. 7/2026 </w:t>
        <w:br/>
        <w:t xml:space="preserve">pentru modificarea şi completarea unor acte normative, precum şi pentru adoptarea </w:t>
        <w:br/>
        <w:t>unor măsuri pentru creşterea capacităţii financiare a  unităţilor administrativ -</w:t>
        <w:br/>
        <w:t xml:space="preserve">teritoriale; </w:t>
        <w:br/>
        <w:t xml:space="preserve">În temeiul prevederilor art. 129 alin. (1), alin. (7), lit. b) și lit. j), art. 139 alin. (1), art. </w:t>
        <w:br/>
        <w:t xml:space="preserve">196 alin. (1) lit. a) din O.U.G. nr. 57/2019 privind Codul Administrativ, cu modificările </w:t>
        <w:br/>
        <w:t xml:space="preserve">și completările ulterioare </w:t>
        <w:br/>
        <w:t xml:space="preserve"> </w:t>
        <w:br/>
        <w:t xml:space="preserve">CONSILIUL LOCAL AL COMUNEI MOGOŞOAIA HOTĂRĂŞTE: </w:t>
        <w:br/>
        <w:t xml:space="preserve"> </w:t>
        <w:br/>
        <w:t xml:space="preserve"> </w:t>
        <w:br/>
        <w:t xml:space="preserve">Art. I Se modifică Anexa aprobată prin art. 1 din Hotărârea Consiliului Local nr. </w:t>
        <w:br/>
        <w:t xml:space="preserve">116/28.09.2023, în sensul actualizării Regulamentului privind stabilirea unor </w:t>
        <w:br/>
        <w:t xml:space="preserve">măsuri pentru gospodărirea comunei Mogoșoaia, precum și constatarea și </w:t>
        <w:br/>
        <w:t xml:space="preserve">sancționarea faptelor ce constituie contravenții, prin dublarea cuantumului </w:t>
        <w:br/>
        <w:t xml:space="preserve">amenzilor contravenționale prevăzute în cuprinsul acestuia, conform anexei care </w:t>
        <w:br/>
        <w:t xml:space="preserve">face parte integrantă din prezenta hotărâre. </w:t>
        <w:br/>
        <w:t xml:space="preserve">Art. II Celelalte prevederi ale Hotărârii Consiliului Local nr. 116/28.09.2023 pentru </w:t>
        <w:br/>
        <w:t xml:space="preserve">aprobarea Regulamentului privind stabilirea unor măsuri pentru gospodărirea </w:t>
        <w:br/>
        <w:t xml:space="preserve">comunei Mogoșoaia, precum și constatarea și sancționarea faptelor ce constituie </w:t>
        <w:br/>
        <w:t xml:space="preserve">contravenții rămân neschimbate. </w:t>
        <w:br/>
        <w:t xml:space="preserve">Art. III Primarul Comunei Mogoșoaia, prin compartimentul responsabil, va asigura </w:t>
        <w:br/>
        <w:t xml:space="preserve">executarea prevederilor prezentei hotărâri. </w:t>
        <w:br/>
        <w:t xml:space="preserve">Art. IV Secretarul general al comunei Mogosoaia va comunica prezenta hotărâre </w:t>
        <w:br/>
        <w:t xml:space="preserve">Prefecturii Județului Ilfov și o va afișa în locuri publice pentru a fi cunoscuta de către </w:t>
        <w:br/>
        <w:t xml:space="preserve">cetățeni. </w:t>
        <w:br/>
        <w:t xml:space="preserve"> </w:t>
        <w:br/>
        <w:t xml:space="preserve">Prezenta hotărâre a fost adoptată cu un număr de 14 voturi pentru dintr-un număr </w:t>
        <w:br/>
        <w:t xml:space="preserve">de 14 consilieri prezenți la ședință.  </w:t>
        <w:br/>
        <w:t xml:space="preserve"> </w:t>
        <w:br/>
        <w:t xml:space="preserve"> </w:t>
        <w:br/>
        <w:t xml:space="preserve">Preşedinte de şedinţă </w:t>
        <w:br/>
        <w:t xml:space="preserve">Alina Cătălin </w:t>
        <w:br/>
        <w:t xml:space="preserve"> </w:t>
        <w:br/>
        <w:t xml:space="preserve"> </w:t>
        <w:br/>
        <w:t xml:space="preserve">Contrasemnează </w:t>
        <w:br/>
        <w:t xml:space="preserve">Secretar General </w:t>
        <w:br/>
        <w:t xml:space="preserve">Roxana Cristina Bute </w:t>
        <w:br/>
        <w:t xml:space="preserve"> </w:t>
      </w:r>
    </w:p>
    <w:p>
      <w:pPr>
        <w:pStyle w:val="Heading1"/>
      </w:pPr>
      <w:r>
        <w:t>9. Textul integral al caietului de sarcini</w:t>
      </w:r>
    </w:p>
    <w:p>
      <w:r>
        <w:t>Caietul de sarcini nu este arhivat sau nu are text extractibil.</w:t>
      </w:r>
    </w:p>
    <w:p>
      <w:pPr>
        <w:pStyle w:val="Heading1"/>
      </w:pPr>
      <w:r>
        <w:t>10. Prima pagină a fiecărui document oficial</w:t>
      </w:r>
    </w:p>
    <w:p>
      <w:r>
        <w:rPr>
          <w:b/>
        </w:rPr>
        <w:t>hcl_131.pdf</w:t>
      </w:r>
    </w:p>
    <w:p>
      <w:r>
        <w:drawing>
          <wp:inline xmlns:a="http://schemas.openxmlformats.org/drawingml/2006/main" xmlns:pic="http://schemas.openxmlformats.org/drawingml/2006/picture">
            <wp:extent cx="5040000" cy="7128982"/>
            <wp:docPr id="3" name="Picture 3"/>
            <wp:cNvGraphicFramePr>
              <a:graphicFrameLocks noChangeAspect="1"/>
            </wp:cNvGraphicFramePr>
            <a:graphic>
              <a:graphicData uri="http://schemas.openxmlformats.org/drawingml/2006/picture">
                <pic:pic>
                  <pic:nvPicPr>
                    <pic:cNvPr id="0" name="hcl_131_p1.png"/>
                    <pic:cNvPicPr/>
                  </pic:nvPicPr>
                  <pic:blipFill>
                    <a:blip r:embed="rId11"/>
                    <a:stretch>
                      <a:fillRect/>
                    </a:stretch>
                  </pic:blipFill>
                  <pic:spPr>
                    <a:xfrm>
                      <a:off x="0" y="0"/>
                      <a:ext cx="5040000" cy="7128982"/>
                    </a:xfrm>
                    <a:prstGeom prst="rect"/>
                  </pic:spPr>
                </pic:pic>
              </a:graphicData>
            </a:graphic>
          </wp:inline>
        </w:drawing>
      </w:r>
    </w:p>
    <w:p>
      <w:r>
        <w:rPr>
          <w:b/>
        </w:rPr>
        <w:t>anexa_la_hcl_nr_131_din_29_09_2026_modificare_hcl_116_din_2026_1.pdf</w:t>
      </w:r>
    </w:p>
    <w:p>
      <w:r>
        <w:drawing>
          <wp:inline xmlns:a="http://schemas.openxmlformats.org/drawingml/2006/main" xmlns:pic="http://schemas.openxmlformats.org/drawingml/2006/picture">
            <wp:extent cx="5040000" cy="7125882"/>
            <wp:docPr id="4" name="Picture 4"/>
            <wp:cNvGraphicFramePr>
              <a:graphicFrameLocks noChangeAspect="1"/>
            </wp:cNvGraphicFramePr>
            <a:graphic>
              <a:graphicData uri="http://schemas.openxmlformats.org/drawingml/2006/picture">
                <pic:pic>
                  <pic:nvPicPr>
                    <pic:cNvPr id="0" name="anexa_la_hcl_nr_131_din_29_09_2026_modificare_hcl_116_din_2026_1_p1.png"/>
                    <pic:cNvPicPr/>
                  </pic:nvPicPr>
                  <pic:blipFill>
                    <a:blip r:embed="rId12"/>
                    <a:stretch>
                      <a:fillRect/>
                    </a:stretch>
                  </pic:blipFill>
                  <pic:spPr>
                    <a:xfrm>
                      <a:off x="0" y="0"/>
                      <a:ext cx="5040000" cy="7125882"/>
                    </a:xfrm>
                    <a:prstGeom prst="rect"/>
                  </pic:spPr>
                </pic:pic>
              </a:graphicData>
            </a:graphic>
          </wp:inline>
        </w:drawing>
      </w:r>
    </w:p>
    <w:p>
      <w:pPr>
        <w:pStyle w:val="Heading1"/>
      </w:pPr>
      <w:r>
        <w:t>11. Anexă: proveniență</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Fișier</w:t>
            </w:r>
          </w:p>
        </w:tc>
        <w:tc>
          <w:tcPr>
            <w:tcW w:type="dxa" w:w="2160"/>
          </w:tcPr>
          <w:p>
            <w:r>
              <w:t>Dimensiune</w:t>
            </w:r>
          </w:p>
        </w:tc>
        <w:tc>
          <w:tcPr>
            <w:tcW w:type="dxa" w:w="2160"/>
          </w:tcPr>
          <w:p>
            <w:r>
              <w:t>SHA-256</w:t>
            </w:r>
          </w:p>
        </w:tc>
        <w:tc>
          <w:tcPr>
            <w:tcW w:type="dxa" w:w="2160"/>
          </w:tcPr>
          <w:p>
            <w:r>
              <w:t>URL sursă</w:t>
            </w:r>
          </w:p>
        </w:tc>
      </w:tr>
      <w:tr>
        <w:tc>
          <w:tcPr>
            <w:tcW w:type="dxa" w:w="2160"/>
          </w:tcPr>
          <w:p>
            <w:r>
              <w:t>archive/2026/2026-10-09/11-ilfov-mogosoaia-amenzi-dublate-in-regulamentul-de-g/source_page.pdf</w:t>
            </w:r>
          </w:p>
        </w:tc>
        <w:tc>
          <w:tcPr>
            <w:tcW w:type="dxa" w:w="2160"/>
          </w:tcPr>
          <w:p>
            <w:r>
              <w:t>1095.6 KB</w:t>
            </w:r>
          </w:p>
        </w:tc>
        <w:tc>
          <w:tcPr>
            <w:tcW w:type="dxa" w:w="2160"/>
          </w:tcPr>
          <w:p>
            <w:r>
              <w:t>78d505b240f6df5a62ec187a3a7777542d72a56f1a73f011261550e609cae617</w:t>
            </w:r>
          </w:p>
        </w:tc>
        <w:tc>
          <w:tcPr>
            <w:tcW w:type="dxa" w:w="2160"/>
          </w:tcPr>
          <w:p>
            <w:r>
              <w:t>https://primaria.mogosoaia.ro/hotararea-131-din-29-09-2026/</w:t>
            </w:r>
          </w:p>
        </w:tc>
      </w:tr>
      <w:tr>
        <w:tc>
          <w:tcPr>
            <w:tcW w:type="dxa" w:w="2160"/>
          </w:tcPr>
          <w:p>
            <w:r>
              <w:t>archive/2026/2026-10-09/11-ilfov-mogosoaia-amenzi-dublate-in-regulamentul-de-g/source_page.png</w:t>
            </w:r>
          </w:p>
        </w:tc>
        <w:tc>
          <w:tcPr>
            <w:tcW w:type="dxa" w:w="2160"/>
          </w:tcPr>
          <w:p>
            <w:r>
              <w:t>624.9 KB</w:t>
            </w:r>
          </w:p>
        </w:tc>
        <w:tc>
          <w:tcPr>
            <w:tcW w:type="dxa" w:w="2160"/>
          </w:tcPr>
          <w:p>
            <w:r>
              <w:t>d61ec83714edb9dbe18ee22e994893af00f42f1329b1f01e59e67d137a37ea83</w:t>
            </w:r>
          </w:p>
        </w:tc>
        <w:tc>
          <w:tcPr>
            <w:tcW w:type="dxa" w:w="2160"/>
          </w:tcPr>
          <w:p>
            <w:r>
              <w:t>https://primaria.mogosoaia.ro/hotararea-131-din-29-09-2026/</w:t>
            </w:r>
          </w:p>
        </w:tc>
      </w:tr>
      <w:tr>
        <w:tc>
          <w:tcPr>
            <w:tcW w:type="dxa" w:w="2160"/>
          </w:tcPr>
          <w:p>
            <w:r>
              <w:t>archive/2026/2026-10-09/11-ilfov-mogosoaia-amenzi-dublate-in-regulamentul-de-g/source_page.html</w:t>
            </w:r>
          </w:p>
        </w:tc>
        <w:tc>
          <w:tcPr>
            <w:tcW w:type="dxa" w:w="2160"/>
          </w:tcPr>
          <w:p>
            <w:r>
              <w:t>86.4 KB</w:t>
            </w:r>
          </w:p>
        </w:tc>
        <w:tc>
          <w:tcPr>
            <w:tcW w:type="dxa" w:w="2160"/>
          </w:tcPr>
          <w:p>
            <w:r>
              <w:t>3091f5fd7750cc4af0e6ee58e36b379edfb5154eb64281615ff623286ec901ce</w:t>
            </w:r>
          </w:p>
        </w:tc>
        <w:tc>
          <w:tcPr>
            <w:tcW w:type="dxa" w:w="2160"/>
          </w:tcPr>
          <w:p>
            <w:r>
              <w:t>https://primaria.mogosoaia.ro/hotararea-131-din-29-09-2026/</w:t>
            </w:r>
          </w:p>
        </w:tc>
      </w:tr>
      <w:tr>
        <w:tc>
          <w:tcPr>
            <w:tcW w:type="dxa" w:w="2160"/>
          </w:tcPr>
          <w:p>
            <w:r>
              <w:t>archive/2026/2026-10-09/11-ilfov-mogosoaia-amenzi-dublate-in-regulamentul-de-g/hcl_131.pdf</w:t>
            </w:r>
          </w:p>
        </w:tc>
        <w:tc>
          <w:tcPr>
            <w:tcW w:type="dxa" w:w="2160"/>
          </w:tcPr>
          <w:p>
            <w:r>
              <w:t>25.1 KB</w:t>
            </w:r>
          </w:p>
        </w:tc>
        <w:tc>
          <w:tcPr>
            <w:tcW w:type="dxa" w:w="2160"/>
          </w:tcPr>
          <w:p>
            <w:r>
              <w:t>1f280a92ad3726e9c6e23cec06da01717c1f5ee52564e2868f7a0e34c5d399c4</w:t>
            </w:r>
          </w:p>
        </w:tc>
        <w:tc>
          <w:tcPr>
            <w:tcW w:type="dxa" w:w="2160"/>
          </w:tcPr>
          <w:p>
            <w:r>
              <w:t>https://primaria.mogosoaia.ro/wp-content/uploads/2026/09/HCL_131.pdf</w:t>
            </w:r>
          </w:p>
        </w:tc>
      </w:tr>
      <w:tr>
        <w:tc>
          <w:tcPr>
            <w:tcW w:type="dxa" w:w="2160"/>
          </w:tcPr>
          <w:p>
            <w:r>
              <w:t>archive/2026/2026-10-09/11-ilfov-mogosoaia-amenzi-dublate-in-regulamentul-de-g/anexa_la_hcl_nr_131_din_29_09_2026_modificare_hcl_116_din_2026_1.pdf</w:t>
            </w:r>
          </w:p>
        </w:tc>
        <w:tc>
          <w:tcPr>
            <w:tcW w:type="dxa" w:w="2160"/>
          </w:tcPr>
          <w:p>
            <w:r>
              <w:t>1227.4 KB</w:t>
            </w:r>
          </w:p>
        </w:tc>
        <w:tc>
          <w:tcPr>
            <w:tcW w:type="dxa" w:w="2160"/>
          </w:tcPr>
          <w:p>
            <w:r>
              <w:t>729caa9e4b078b9708ed76157f1c07c99c0903d13d515962ebeb6f1247327651</w:t>
            </w:r>
          </w:p>
        </w:tc>
        <w:tc>
          <w:tcPr>
            <w:tcW w:type="dxa" w:w="2160"/>
          </w:tcPr>
          <w:p>
            <w:r>
              <w:t>https://primaria.mogosoaia.ro/wp-content/uploads/2026/09/Anexa-la-HCL-nr.-131-din-29.09.2026-modificare-hcl-116-din-2026-1.pdf</w:t>
            </w:r>
          </w:p>
        </w:tc>
      </w:tr>
    </w:tbl>
    <w:p/>
    <w:p>
      <w:r>
        <w:rPr>
          <w:i/>
        </w:rPr>
        <w:t>Link-urile externe pot dispărea; sursa de încredere este arhiva de mai sus (fișierele originale + hash-urile SHA-256 + captura Wayback).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