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4" w:rsidRDefault="00F43284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 xml:space="preserve">Predictive Analysis of Weather Data via Diffusion Maps, Spectral Clustering, and </w:t>
      </w:r>
      <w:r w:rsidRPr="000F4F2A">
        <w:rPr>
          <w:color w:val="FF0000"/>
        </w:rPr>
        <w:t>SOMETHING</w:t>
      </w:r>
    </w:p>
    <w:p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F43284">
        <w:rPr>
          <w:color w:val="000000"/>
        </w:rPr>
        <w:t>Weather analysis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F43284">
        <w:rPr>
          <w:color w:val="000000"/>
        </w:rPr>
        <w:t>Stochastic Differential Equations, Diffusion Maps, Spectral Clustering, Weather, Data</w:t>
      </w:r>
      <w:r>
        <w:rPr>
          <w:color w:val="000000"/>
        </w:rPr>
        <w:t xml:space="preserve"> 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F43284" w:rsidRDefault="001071F7">
      <w:pPr>
        <w:pStyle w:val="PARAGRAPHnoindent"/>
        <w:rPr>
          <w:color w:val="000000"/>
        </w:rPr>
      </w:pPr>
      <w:r>
        <w:rPr>
          <w:color w:val="000000"/>
        </w:rPr>
        <w:lastRenderedPageBreak/>
        <w:t>Weather analysis and forecasting is a discipline that has been at the forefront of human curiosity since the time of the Babylonians.</w:t>
      </w:r>
      <w:r w:rsidR="00145444">
        <w:rPr>
          <w:color w:val="000000"/>
        </w:rPr>
        <w:t xml:space="preserve">  Due to their wide array of applic</w:t>
      </w:r>
      <w:r w:rsidR="00145444">
        <w:rPr>
          <w:color w:val="000000"/>
        </w:rPr>
        <w:t>a</w:t>
      </w:r>
      <w:r w:rsidR="00145444">
        <w:rPr>
          <w:color w:val="000000"/>
        </w:rPr>
        <w:t xml:space="preserve">tions and importance in daily life, weather </w:t>
      </w:r>
      <w:proofErr w:type="spellStart"/>
      <w:r w:rsidR="00145444">
        <w:rPr>
          <w:color w:val="000000"/>
        </w:rPr>
        <w:t>forcasting</w:t>
      </w:r>
      <w:proofErr w:type="spellEnd"/>
      <w:r w:rsidR="00145444">
        <w:rPr>
          <w:color w:val="000000"/>
        </w:rPr>
        <w:t xml:space="preserve"> models are continually improved and tested by researchers around the globe </w:t>
      </w:r>
      <w:r w:rsidR="00145444">
        <w:rPr>
          <w:color w:val="000000"/>
        </w:rPr>
        <w:t>[1]</w:t>
      </w:r>
      <w:r w:rsidR="00145444">
        <w:rPr>
          <w:color w:val="000000"/>
        </w:rPr>
        <w:t xml:space="preserve">.  </w:t>
      </w:r>
      <w:r w:rsidR="000F4F2A">
        <w:rPr>
          <w:color w:val="000000"/>
        </w:rPr>
        <w:t xml:space="preserve">Many of these models are very complicated given the number of variables necessary to make an accurate prediction.  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1.1 </w:t>
      </w:r>
      <w:r w:rsidR="00C01FD8">
        <w:rPr>
          <w:color w:val="000000"/>
        </w:rPr>
        <w:t>Diffusion Maps</w:t>
      </w:r>
    </w:p>
    <w:p w:rsidR="00F43284" w:rsidRP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Diffusion maps are a dimensionality reduction technique which is beneficial in data analysis due to its applicability to nonlinear data.  Additionally, diffusion maps are commonly used to discover underlying properties of a data set that would not necessarily be revealed by other dimens</w:t>
      </w:r>
      <w:r w:rsidR="001071F7">
        <w:rPr>
          <w:color w:val="000000"/>
        </w:rPr>
        <w:t>ionality reduction techniques [2</w:t>
      </w:r>
      <w:r w:rsidRPr="00F43284">
        <w:rPr>
          <w:color w:val="000000"/>
        </w:rPr>
        <w:t xml:space="preserve">].  </w:t>
      </w:r>
      <w:proofErr w:type="gramStart"/>
      <w:r w:rsidRPr="00F43284">
        <w:rPr>
          <w:b/>
          <w:color w:val="FF0000"/>
        </w:rPr>
        <w:t>More here?</w:t>
      </w:r>
      <w:proofErr w:type="gramEnd"/>
    </w:p>
    <w:p w:rsidR="00F43284" w:rsidRPr="00F43284" w:rsidRDefault="00F43284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The first step in implementing a diffusion map is to d</w:t>
      </w:r>
      <w:r w:rsidRPr="00F43284">
        <w:rPr>
          <w:color w:val="000000"/>
        </w:rPr>
        <w:t>e</w:t>
      </w:r>
      <w:r w:rsidRPr="00F43284">
        <w:rPr>
          <w:color w:val="000000"/>
        </w:rPr>
        <w:t>velop a kernel.  The kernel acts as a measure of similarity between two data points an</w:t>
      </w:r>
      <w:r w:rsidR="001071F7">
        <w:rPr>
          <w:color w:val="000000"/>
        </w:rPr>
        <w:t>d is often denoted as follows [3</w:t>
      </w:r>
      <w:r w:rsidRPr="00F43284">
        <w:rPr>
          <w:color w:val="000000"/>
        </w:rPr>
        <w:t>]:</w:t>
      </w:r>
    </w:p>
    <w:p w:rsidR="00F43284" w:rsidRDefault="00F43284" w:rsidP="00F43284">
      <w:pPr>
        <w:pStyle w:val="PARAGRAPH"/>
      </w:pPr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be a set of data.</m:t>
          </m:r>
        </m:oMath>
      </m:oMathPara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Then, the kernal is a function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k:  X×X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</w:rPr>
            <m:t xml:space="preserve"> → R </m:t>
          </m:r>
          <m:r>
            <w:rPr>
              <w:rFonts w:ascii="Cambria Math" w:hAnsi="Cambria Math" w:cs="Times New Roman"/>
              <w:sz w:val="20"/>
            </w:rPr>
            <m:t>such that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i.  k is symmetric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ii.  k is positivity preserving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≥0]</m:t>
          </m:r>
        </m:oMath>
      </m:oMathPara>
    </w:p>
    <w:p w:rsidR="00F43284" w:rsidRDefault="00F43284" w:rsidP="00F43284">
      <w:pPr>
        <w:pStyle w:val="PARAGRAPH"/>
      </w:pPr>
    </w:p>
    <w:p w:rsidR="00F43284" w:rsidRDefault="00F43284" w:rsidP="00C01FD8">
      <w:pPr>
        <w:pStyle w:val="PARAGRAPHnoindent"/>
        <w:rPr>
          <w:color w:val="000000"/>
        </w:rPr>
      </w:pPr>
      <w:r w:rsidRPr="00C01FD8">
        <w:rPr>
          <w:color w:val="000000"/>
        </w:rPr>
        <w:t xml:space="preserve">The measure of “similarity” between two data points can be defined in a variety of ways.  A common similarity measure is Euclidean distance in instances where data points can be described in terms of their coordinates in a Euclidean </w:t>
      </w:r>
      <w:proofErr w:type="gramStart"/>
      <w:r w:rsidRPr="00C01FD8">
        <w:rPr>
          <w:color w:val="000000"/>
        </w:rPr>
        <w:t xml:space="preserve">space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</w:rPr>
              <m:t>n</m:t>
            </m:r>
          </m:sup>
        </m:sSup>
      </m:oMath>
      <w:r w:rsidRPr="00C01FD8">
        <w:rPr>
          <w:color w:val="000000"/>
        </w:rPr>
        <w:t>.  However, sometimes overall sim</w:t>
      </w:r>
      <w:r w:rsidRPr="00C01FD8">
        <w:rPr>
          <w:color w:val="000000"/>
        </w:rPr>
        <w:t>i</w:t>
      </w:r>
      <w:r w:rsidRPr="00C01FD8">
        <w:rPr>
          <w:color w:val="000000"/>
        </w:rPr>
        <w:t>larity should account for other data attributes such a</w:t>
      </w:r>
      <w:r w:rsidR="001071F7">
        <w:rPr>
          <w:color w:val="000000"/>
        </w:rPr>
        <w:t>s color of pixels in an image</w:t>
      </w:r>
      <w:r w:rsidR="00576DF9">
        <w:rPr>
          <w:color w:val="000000"/>
        </w:rPr>
        <w:t xml:space="preserve"> </w:t>
      </w:r>
      <w:r w:rsidR="001071F7">
        <w:rPr>
          <w:color w:val="000000"/>
        </w:rPr>
        <w:t>[4</w:t>
      </w:r>
      <w:r w:rsidRPr="00C01FD8">
        <w:rPr>
          <w:color w:val="000000"/>
        </w:rPr>
        <w:t>].</w:t>
      </w:r>
    </w:p>
    <w:p w:rsidR="00576DF9" w:rsidRDefault="00576DF9" w:rsidP="00576DF9">
      <w:pPr>
        <w:pStyle w:val="PARAGRAPH"/>
        <w:ind w:firstLine="0"/>
      </w:pPr>
    </w:p>
    <w:p w:rsidR="00576DF9" w:rsidRDefault="00576DF9" w:rsidP="00576DF9">
      <w:pPr>
        <w:pStyle w:val="PARAGRAPH"/>
        <w:ind w:firstLine="0"/>
      </w:pPr>
      <w:r>
        <w:t>The first step in constructing the Diffusion Map is to cr</w:t>
      </w:r>
      <w:r>
        <w:t>e</w:t>
      </w:r>
      <w:r>
        <w:t>ate an affinity matrix based on the kernel function.  Given a set of “n” data</w:t>
      </w:r>
      <w:r w:rsidR="005F4980">
        <w:t xml:space="preserve"> </w:t>
      </w:r>
      <w:r>
        <w:t xml:space="preserve">points, the affinity matrix will be of size “n by n” </w:t>
      </w:r>
      <w:r w:rsidR="005F4980">
        <w:t>with the kernel being calculated for every poss</w:t>
      </w:r>
      <w:r w:rsidR="005F4980">
        <w:t>i</w:t>
      </w:r>
      <w:r w:rsidR="005F4980">
        <w:t>ble set of points in the dataset.  Using the notation pr</w:t>
      </w:r>
      <w:r w:rsidR="005F4980">
        <w:t>o</w:t>
      </w:r>
      <w:r w:rsidR="005F4980">
        <w:lastRenderedPageBreak/>
        <w:t xml:space="preserve">posed by </w:t>
      </w:r>
      <w:proofErr w:type="spellStart"/>
      <w:r w:rsidR="005F4980">
        <w:t>Farbman</w:t>
      </w:r>
      <w:proofErr w:type="spellEnd"/>
      <w:r w:rsidR="005F4980">
        <w:t xml:space="preserve"> </w:t>
      </w:r>
      <w:proofErr w:type="gramStart"/>
      <w:r w:rsidR="005F4980">
        <w:t>et</w:t>
      </w:r>
      <w:proofErr w:type="gramEnd"/>
      <w:r w:rsidR="005F4980">
        <w:t>. al., the affinity matrix will be d</w:t>
      </w:r>
      <w:r w:rsidR="005F4980">
        <w:t>e</w:t>
      </w:r>
      <w:r w:rsidR="005F4980">
        <w:t>noted as matrix “W” with elements given by:</w:t>
      </w:r>
    </w:p>
    <w:p w:rsidR="005F4980" w:rsidRDefault="005F4980" w:rsidP="00576DF9">
      <w:pPr>
        <w:pStyle w:val="PARAGRAPH"/>
        <w:ind w:firstLine="0"/>
      </w:pPr>
    </w:p>
    <w:p w:rsidR="005F4980" w:rsidRPr="005F4980" w:rsidRDefault="005F4980" w:rsidP="005F4980">
      <w:pPr>
        <w:pStyle w:val="PARAGRAPH"/>
        <w:spacing w:line="240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=k(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9E0DB2" w:rsidRPr="009E0DB2" w:rsidRDefault="009E0DB2" w:rsidP="009E0DB2">
      <w:pPr>
        <w:pStyle w:val="PARAGRAPHnoindent"/>
        <w:rPr>
          <w:color w:val="000000"/>
        </w:rPr>
      </w:pPr>
    </w:p>
    <w:p w:rsidR="00F43284" w:rsidRDefault="005F4980">
      <w:pPr>
        <w:pStyle w:val="PARAGRAPHnoindent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x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x</w:t>
      </w:r>
      <w:r w:rsidRPr="005F4980">
        <w:rPr>
          <w:color w:val="000000"/>
          <w:vertAlign w:val="subscript"/>
        </w:rPr>
        <w:t>j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being data points.</w:t>
      </w:r>
    </w:p>
    <w:p w:rsidR="005F4980" w:rsidRDefault="005F4980" w:rsidP="005F4980">
      <w:pPr>
        <w:pStyle w:val="PARAGRAPH"/>
        <w:ind w:firstLine="0"/>
      </w:pPr>
    </w:p>
    <w:p w:rsidR="005F4980" w:rsidRPr="005F4980" w:rsidRDefault="005F4980" w:rsidP="005F4980">
      <w:pPr>
        <w:pStyle w:val="PARAGRAPH"/>
        <w:ind w:firstLine="0"/>
      </w:pPr>
      <w:r>
        <w:t xml:space="preserve">The primary function of the affinity matrix is as a metric for </w:t>
      </w:r>
      <w:r w:rsidR="00821E4E">
        <w:t>measuring</w:t>
      </w:r>
      <w:r>
        <w:t xml:space="preserve"> the </w:t>
      </w:r>
      <w:r w:rsidR="00821E4E">
        <w:t>level of similarity</w:t>
      </w:r>
      <w:r>
        <w:t xml:space="preserve"> between each data point and the other points in the dataset.</w:t>
      </w:r>
    </w:p>
    <w:p w:rsidR="005F4980" w:rsidRPr="005F4980" w:rsidRDefault="005F4980" w:rsidP="005F4980">
      <w:pPr>
        <w:pStyle w:val="PARAGRAPH"/>
      </w:pPr>
    </w:p>
    <w:p w:rsidR="009E0DB2" w:rsidRDefault="009E0DB2" w:rsidP="009E0DB2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1.2 </w:t>
      </w:r>
      <w:proofErr w:type="spellStart"/>
      <w:r>
        <w:rPr>
          <w:color w:val="000000"/>
        </w:rPr>
        <w:t>Nystr</w:t>
      </w:r>
      <w:r w:rsidRPr="009E0DB2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</w:t>
      </w:r>
    </w:p>
    <w:p w:rsidR="009E0DB2" w:rsidRDefault="00585AC6" w:rsidP="009E0DB2">
      <w:pPr>
        <w:pStyle w:val="PARAGRAPHnoindent"/>
        <w:rPr>
          <w:color w:val="000000"/>
        </w:rPr>
      </w:pPr>
      <w:r>
        <w:rPr>
          <w:color w:val="000000"/>
        </w:rPr>
        <w:t xml:space="preserve">Diffusion Map calculations require an abundant amount of computational resources, especially for large image data sets.  It is possible to limit the resource requirements by applying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 to the pairwise affinity matrix, W, instead of explicitly calculating kernel values for each element of the matrix.  Several comput</w:t>
      </w:r>
      <w:r>
        <w:rPr>
          <w:color w:val="000000"/>
        </w:rPr>
        <w:t>a</w:t>
      </w:r>
      <w:r>
        <w:rPr>
          <w:color w:val="000000"/>
        </w:rPr>
        <w:t>tional pathways for this approximation are pr</w:t>
      </w:r>
      <w:r>
        <w:rPr>
          <w:color w:val="000000"/>
        </w:rPr>
        <w:t>e</w:t>
      </w:r>
      <w:r>
        <w:rPr>
          <w:color w:val="000000"/>
        </w:rPr>
        <w:t xml:space="preserve">sented by Fowlkes </w:t>
      </w:r>
      <w:proofErr w:type="gramStart"/>
      <w:r>
        <w:rPr>
          <w:color w:val="000000"/>
        </w:rPr>
        <w:t>et</w:t>
      </w:r>
      <w:proofErr w:type="gramEnd"/>
      <w:r w:rsidR="005F4980">
        <w:rPr>
          <w:color w:val="000000"/>
        </w:rPr>
        <w:t>.</w:t>
      </w:r>
      <w:r>
        <w:rPr>
          <w:color w:val="000000"/>
        </w:rPr>
        <w:t xml:space="preserve"> al. </w:t>
      </w:r>
      <w:r w:rsidR="009E0DB2">
        <w:rPr>
          <w:color w:val="000000"/>
        </w:rPr>
        <w:t>[4]</w:t>
      </w:r>
      <w:r>
        <w:rPr>
          <w:color w:val="000000"/>
        </w:rPr>
        <w:t>, the most basic of these pathways being an estimation of W using smaller matrices.  This is written in the form:</w:t>
      </w:r>
    </w:p>
    <w:p w:rsidR="00585AC6" w:rsidRPr="008F2B6E" w:rsidRDefault="00585AC6" w:rsidP="008F2B6E">
      <w:pPr>
        <w:pStyle w:val="PARAGRAPHnoindent"/>
        <w:rPr>
          <w:color w:val="000000"/>
        </w:rPr>
      </w:pPr>
    </w:p>
    <w:p w:rsidR="00585AC6" w:rsidRPr="008F2B6E" w:rsidRDefault="008F2B6E" w:rsidP="008F2B6E">
      <w:pPr>
        <w:pStyle w:val="PARAGRAPHnoindent"/>
        <w:spacing w:line="24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e>
                </m:mr>
              </m:m>
            </m:e>
          </m:d>
        </m:oMath>
      </m:oMathPara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Default="008F2B6E" w:rsidP="008F2B6E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Given an affinity matrix of size “n by n”, A is an “m by m” matrix of “sample” affinities and B is an “(n-m) by m” matrix of affinities between the remaining data points and those in the sample.  </w:t>
      </w:r>
      <w:proofErr w:type="spellStart"/>
      <w:r>
        <w:rPr>
          <w:color w:val="000000"/>
        </w:rPr>
        <w:t>W</w:t>
      </w:r>
      <w:proofErr w:type="spellEnd"/>
      <w:r>
        <w:rPr>
          <w:color w:val="000000"/>
        </w:rPr>
        <w:t xml:space="preserve"> can then be completed by estima</w:t>
      </w:r>
      <w:r>
        <w:rPr>
          <w:color w:val="000000"/>
        </w:rPr>
        <w:t>t</w:t>
      </w:r>
      <w:r>
        <w:rPr>
          <w:color w:val="000000"/>
        </w:rPr>
        <w:t>ing the remaining portion of the matrix, C, via the follo</w:t>
      </w:r>
      <w:r>
        <w:rPr>
          <w:color w:val="000000"/>
        </w:rPr>
        <w:t>w</w:t>
      </w:r>
      <w:r w:rsidR="005F4980">
        <w:rPr>
          <w:color w:val="000000"/>
        </w:rPr>
        <w:t>ing formula [5</w:t>
      </w:r>
      <w:r>
        <w:rPr>
          <w:color w:val="000000"/>
        </w:rPr>
        <w:t>]:</w:t>
      </w:r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Pr="008F2B6E" w:rsidRDefault="008F2B6E" w:rsidP="008F2B6E">
      <w:pPr>
        <w:pStyle w:val="PARAGRAPHnoindent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B</m:t>
          </m:r>
        </m:oMath>
      </m:oMathPara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Pr="00576DF9" w:rsidRDefault="00576DF9" w:rsidP="008F2B6E">
      <w:pPr>
        <w:pStyle w:val="PARAGRAPH"/>
        <w:ind w:firstLine="0"/>
      </w:pPr>
      <w:r>
        <w:rPr>
          <w:color w:val="000000"/>
        </w:rPr>
        <w:t>Thus, a very large problem (“n</w:t>
      </w:r>
      <w:r>
        <w:rPr>
          <w:color w:val="000000"/>
          <w:vertAlign w:val="superscript"/>
        </w:rPr>
        <w:t>2</w:t>
      </w:r>
      <w:proofErr w:type="gramStart"/>
      <w:r>
        <w:rPr>
          <w:color w:val="000000"/>
        </w:rPr>
        <w:t xml:space="preserve">“ </w:t>
      </w:r>
      <w:proofErr w:type="spellStart"/>
      <w:r>
        <w:rPr>
          <w:color w:val="000000"/>
        </w:rPr>
        <w:t>kernal</w:t>
      </w:r>
      <w:proofErr w:type="spellEnd"/>
      <w:proofErr w:type="gramEnd"/>
      <w:r>
        <w:rPr>
          <w:color w:val="000000"/>
        </w:rPr>
        <w:t xml:space="preserve"> computations) is </w:t>
      </w:r>
      <w:proofErr w:type="spellStart"/>
      <w:r>
        <w:rPr>
          <w:color w:val="000000"/>
        </w:rPr>
        <w:t>reducable</w:t>
      </w:r>
      <w:proofErr w:type="spellEnd"/>
      <w:r>
        <w:rPr>
          <w:color w:val="000000"/>
        </w:rPr>
        <w:t xml:space="preserve"> to something more manageable (“nm” kernel computations). </w:t>
      </w:r>
    </w:p>
    <w:p w:rsidR="009E0DB2" w:rsidRDefault="009E0DB2" w:rsidP="00F43284">
      <w:pPr>
        <w:pStyle w:val="Heading2"/>
        <w:spacing w:before="0"/>
        <w:rPr>
          <w:color w:val="000000"/>
        </w:rPr>
      </w:pPr>
    </w:p>
    <w:p w:rsidR="00F43284" w:rsidRDefault="009E0DB2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1.3</w:t>
      </w:r>
      <w:r w:rsidR="00F43284">
        <w:rPr>
          <w:color w:val="000000"/>
        </w:rPr>
        <w:t xml:space="preserve"> K-Means Clustering</w:t>
      </w:r>
    </w:p>
    <w:p w:rsidR="00F43284" w:rsidRDefault="00A5786A" w:rsidP="00A5786A">
      <w:pPr>
        <w:pStyle w:val="PARAGRAPH"/>
        <w:ind w:firstLine="0"/>
        <w:rPr>
          <w:color w:val="000000"/>
        </w:rPr>
      </w:pPr>
      <w:r>
        <w:rPr>
          <w:color w:val="000000"/>
        </w:rPr>
        <w:t>[6?]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9E0DB2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lastRenderedPageBreak/>
        <w:t>1.4</w:t>
      </w:r>
      <w:r w:rsidR="00F43284">
        <w:rPr>
          <w:color w:val="000000"/>
        </w:rPr>
        <w:t xml:space="preserve"> Predictive Analysis</w:t>
      </w:r>
    </w:p>
    <w:p w:rsidR="003410C8" w:rsidRDefault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:rsidR="00C01FD8" w:rsidRDefault="00C01FD8" w:rsidP="00C01FD8">
      <w:pPr>
        <w:pStyle w:val="PARAGRAPHnoindent"/>
      </w:pPr>
    </w:p>
    <w:p w:rsidR="00C01FD8" w:rsidRPr="008F2B6E" w:rsidRDefault="008F2B6E" w:rsidP="008F2B6E">
      <w:pPr>
        <w:pStyle w:val="Heading2"/>
        <w:spacing w:before="0"/>
        <w:rPr>
          <w:color w:val="000000"/>
        </w:rPr>
      </w:pPr>
      <w:r>
        <w:rPr>
          <w:color w:val="000000"/>
        </w:rPr>
        <w:t>2.1 Data Set</w:t>
      </w:r>
    </w:p>
    <w:p w:rsidR="00C01FD8" w:rsidRDefault="00C01FD8" w:rsidP="00C01FD8">
      <w:pPr>
        <w:pStyle w:val="PARAGRAPH"/>
      </w:pPr>
    </w:p>
    <w:p w:rsidR="00C01FD8" w:rsidRPr="00C01FD8" w:rsidRDefault="00C01FD8" w:rsidP="00C01FD8">
      <w:pPr>
        <w:pStyle w:val="PARAGRAPH"/>
      </w:pPr>
    </w:p>
    <w:p w:rsidR="003410C8" w:rsidRDefault="008F2B6E">
      <w:pPr>
        <w:pStyle w:val="Heading2"/>
        <w:spacing w:before="0"/>
        <w:rPr>
          <w:color w:val="000000"/>
        </w:rPr>
      </w:pPr>
      <w:r>
        <w:rPr>
          <w:color w:val="000000"/>
        </w:rPr>
        <w:t>2.2</w:t>
      </w:r>
      <w:r w:rsidR="003410C8">
        <w:rPr>
          <w:color w:val="000000"/>
        </w:rPr>
        <w:t xml:space="preserve"> </w:t>
      </w:r>
      <w:r w:rsidR="00C01FD8">
        <w:rPr>
          <w:color w:val="000000"/>
        </w:rPr>
        <w:t>Development of Python Model</w:t>
      </w:r>
    </w:p>
    <w:p w:rsidR="003410C8" w:rsidRPr="00021904" w:rsidRDefault="00B426B4" w:rsidP="00021904">
      <w:pPr>
        <w:pStyle w:val="PARAGRAPHnoindent"/>
        <w:rPr>
          <w:color w:val="000000"/>
        </w:rPr>
      </w:pPr>
      <w:r>
        <w:rPr>
          <w:color w:val="000000"/>
        </w:rPr>
        <w:t>A p</w:t>
      </w:r>
      <w:r w:rsidR="00C01FD8" w:rsidRPr="00021904">
        <w:rPr>
          <w:color w:val="000000"/>
        </w:rPr>
        <w:t>ython script was developed to p</w:t>
      </w:r>
      <w:r w:rsidR="003410C8" w:rsidRPr="00021904">
        <w:rPr>
          <w:color w:val="000000"/>
        </w:rPr>
        <w:t xml:space="preserve"> </w:t>
      </w:r>
    </w:p>
    <w:p w:rsidR="00021904" w:rsidRPr="00021904" w:rsidRDefault="00021904" w:rsidP="00021904">
      <w:pPr>
        <w:pStyle w:val="PARAGRAPHnoindent"/>
        <w:rPr>
          <w:color w:val="000000"/>
        </w:rPr>
      </w:pPr>
    </w:p>
    <w:p w:rsidR="00021904" w:rsidRPr="00021904" w:rsidRDefault="00021904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The kernel developed for this model is the same as that</w:t>
      </w:r>
      <w:r w:rsidR="001071F7">
        <w:rPr>
          <w:color w:val="000000"/>
        </w:rPr>
        <w:t xml:space="preserve"> developed by </w:t>
      </w:r>
      <w:proofErr w:type="spellStart"/>
      <w:r w:rsidR="001071F7">
        <w:rPr>
          <w:color w:val="000000"/>
        </w:rPr>
        <w:t>Farbman</w:t>
      </w:r>
      <w:proofErr w:type="spellEnd"/>
      <w:r w:rsidR="001071F7">
        <w:rPr>
          <w:color w:val="000000"/>
        </w:rPr>
        <w:t xml:space="preserve"> </w:t>
      </w:r>
      <w:proofErr w:type="gramStart"/>
      <w:r w:rsidR="001071F7">
        <w:rPr>
          <w:color w:val="000000"/>
        </w:rPr>
        <w:t>et</w:t>
      </w:r>
      <w:proofErr w:type="gramEnd"/>
      <w:r w:rsidR="001071F7">
        <w:rPr>
          <w:color w:val="000000"/>
        </w:rPr>
        <w:t>. al. [</w:t>
      </w:r>
      <w:r w:rsidR="005F4980">
        <w:rPr>
          <w:color w:val="000000"/>
        </w:rPr>
        <w:t>4</w:t>
      </w:r>
      <w:r w:rsidRPr="00021904">
        <w:rPr>
          <w:color w:val="000000"/>
        </w:rPr>
        <w:t>]:</w:t>
      </w:r>
    </w:p>
    <w:p w:rsidR="00021904" w:rsidRDefault="00021904" w:rsidP="00021904">
      <w:pPr>
        <w:pStyle w:val="NoSpacing"/>
        <w:rPr>
          <w:rFonts w:ascii="Times New Roman" w:hAnsi="Times New Roman" w:cs="Times New Roman"/>
          <w:sz w:val="24"/>
        </w:rPr>
      </w:pPr>
    </w:p>
    <w:p w:rsidR="00021904" w:rsidRDefault="00021904" w:rsidP="008F2B6E">
      <w:pPr>
        <w:pStyle w:val="NoSpacing"/>
        <w:tabs>
          <w:tab w:val="right" w:pos="4680"/>
        </w:tabs>
        <w:jc w:val="center"/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  <m:oMath>
        <m:r>
          <w:rPr>
            <w:rFonts w:ascii="Cambria Math" w:hAnsi="Cambria Math" w:cs="Times New Roman"/>
            <w:sz w:val="20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=exp⁡(-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/2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 w:rsidRPr="00021904">
        <w:rPr>
          <w:rFonts w:ascii="Cambria Math" w:hAnsi="Cambria Math" w:cs="Times New Roman"/>
          <w:i/>
          <w:sz w:val="20"/>
        </w:rPr>
        <w:t>)</w:t>
      </w:r>
      <w:r w:rsidR="0087522F">
        <w:rPr>
          <w:rFonts w:ascii="Cambria Math" w:hAnsi="Cambria Math" w:cs="Times New Roman"/>
          <w:i/>
          <w:sz w:val="20"/>
        </w:rPr>
        <w:tab/>
      </w:r>
      <w:r w:rsidR="0087522F" w:rsidRPr="0087522F"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(1)</w:t>
      </w: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  <w:proofErr w:type="gramStart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where</w:t>
      </w:r>
      <w:proofErr w:type="gramEnd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Palatino" w:eastAsia="Times New Roman" w:hAnsi="Palatino" w:cs="Times New Roman"/>
          <w:sz w:val="20"/>
        </w:rPr>
        <w:t xml:space="preserve"> is a scaling parameter,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j</m:t>
            </m:r>
          </m:sub>
        </m:sSub>
      </m:oMath>
      <w:r>
        <w:rPr>
          <w:rFonts w:ascii="Palatino" w:eastAsia="Times New Roman" w:hAnsi="Palatino" w:cs="Times New Roman"/>
          <w:sz w:val="20"/>
        </w:rPr>
        <w:t xml:space="preserve"> are data points.  </w:t>
      </w:r>
    </w:p>
    <w:p w:rsidR="007D0C1F" w:rsidRDefault="007D0C1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</w:p>
    <w:p w:rsidR="007D0C1F" w:rsidRPr="0087522F" w:rsidRDefault="007D0C1F" w:rsidP="0087522F">
      <w:pPr>
        <w:pStyle w:val="NoSpacing"/>
        <w:tabs>
          <w:tab w:val="right" w:pos="4680"/>
        </w:tabs>
        <w:rPr>
          <w:rFonts w:ascii="Cambria Math" w:hAnsi="Cambria Math" w:cs="Times New Roman"/>
          <w:sz w:val="20"/>
        </w:rPr>
      </w:pPr>
    </w:p>
    <w:p w:rsidR="00C01FD8" w:rsidRDefault="00C01FD8" w:rsidP="00021904">
      <w:pPr>
        <w:pStyle w:val="NoSpacing"/>
        <w:rPr>
          <w:rFonts w:ascii="Cambria Math" w:hAnsi="Cambria Math" w:cs="Times New Roman"/>
          <w:sz w:val="20"/>
        </w:rPr>
      </w:pPr>
    </w:p>
    <w:p w:rsidR="007D0C1F" w:rsidRDefault="007D0C1F" w:rsidP="007D0C1F">
      <w:pPr>
        <w:pStyle w:val="Heading2"/>
        <w:spacing w:before="0"/>
        <w:rPr>
          <w:color w:val="000000"/>
        </w:rPr>
      </w:pPr>
      <w:r>
        <w:rPr>
          <w:color w:val="000000"/>
        </w:rPr>
        <w:t>2.</w:t>
      </w:r>
      <w:r w:rsidR="008F2B6E">
        <w:rPr>
          <w:color w:val="000000"/>
        </w:rPr>
        <w:t>3</w:t>
      </w:r>
      <w:r>
        <w:rPr>
          <w:color w:val="000000"/>
        </w:rPr>
        <w:t xml:space="preserve"> Efficiency Improvement</w:t>
      </w:r>
    </w:p>
    <w:p w:rsidR="007D0C1F" w:rsidRPr="00021904" w:rsidRDefault="007D0C1F" w:rsidP="007D0C1F">
      <w:pPr>
        <w:pStyle w:val="PARAGRAPHnoindent"/>
        <w:rPr>
          <w:color w:val="000000"/>
        </w:rPr>
      </w:pPr>
      <w:r>
        <w:rPr>
          <w:color w:val="000000"/>
        </w:rPr>
        <w:t xml:space="preserve">Also drawn from </w:t>
      </w:r>
      <w:proofErr w:type="gramStart"/>
      <w:r>
        <w:rPr>
          <w:color w:val="000000"/>
        </w:rPr>
        <w:t xml:space="preserve">the </w:t>
      </w:r>
      <w:r w:rsidRPr="00021904">
        <w:rPr>
          <w:color w:val="000000"/>
        </w:rPr>
        <w:t xml:space="preserve"> </w:t>
      </w:r>
      <w:proofErr w:type="spellStart"/>
      <w:r>
        <w:rPr>
          <w:color w:val="000000"/>
        </w:rPr>
        <w:t>Farbman</w:t>
      </w:r>
      <w:proofErr w:type="spellEnd"/>
      <w:proofErr w:type="gramEnd"/>
      <w:r>
        <w:rPr>
          <w:color w:val="000000"/>
        </w:rPr>
        <w:t xml:space="preserve"> et. </w:t>
      </w:r>
      <w:proofErr w:type="gramStart"/>
      <w:r>
        <w:rPr>
          <w:color w:val="000000"/>
        </w:rPr>
        <w:t>al</w:t>
      </w:r>
      <w:proofErr w:type="gramEnd"/>
      <w:r w:rsidR="00585AC6">
        <w:rPr>
          <w:color w:val="000000"/>
        </w:rPr>
        <w:t xml:space="preserve"> paper [</w:t>
      </w:r>
      <w:r w:rsidR="005F4980">
        <w:rPr>
          <w:color w:val="000000"/>
        </w:rPr>
        <w:t>4</w:t>
      </w:r>
      <w:r>
        <w:rPr>
          <w:color w:val="000000"/>
        </w:rPr>
        <w:t xml:space="preserve">], is a well-known efficiency improvement that can be implemented via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approximation.</w:t>
      </w:r>
    </w:p>
    <w:p w:rsidR="007D0C1F" w:rsidRDefault="007D0C1F" w:rsidP="00021904">
      <w:pPr>
        <w:pStyle w:val="NoSpacing"/>
        <w:rPr>
          <w:rFonts w:ascii="Cambria Math" w:hAnsi="Cambria Math" w:cs="Times New Roman"/>
          <w:sz w:val="20"/>
        </w:rPr>
      </w:pPr>
    </w:p>
    <w:p w:rsidR="00B426B4" w:rsidRDefault="00B426B4" w:rsidP="00021904">
      <w:pPr>
        <w:pStyle w:val="NoSpacing"/>
        <w:rPr>
          <w:rFonts w:ascii="Cambria Math" w:hAnsi="Cambria Math" w:cs="Times New Roman"/>
          <w:sz w:val="20"/>
        </w:rPr>
      </w:pPr>
    </w:p>
    <w:p w:rsidR="00B426B4" w:rsidRPr="005F4980" w:rsidRDefault="00B426B4" w:rsidP="005F4980">
      <w:pPr>
        <w:pStyle w:val="PARAGRAPHnoindent"/>
        <w:rPr>
          <w:color w:val="000000"/>
        </w:rPr>
      </w:pPr>
      <w:r w:rsidRPr="005F4980">
        <w:rPr>
          <w:color w:val="000000"/>
        </w:rPr>
        <w:t>Additionally, the ‘</w:t>
      </w:r>
      <w:proofErr w:type="spellStart"/>
      <w:r w:rsidRPr="005F4980">
        <w:rPr>
          <w:color w:val="000000"/>
        </w:rPr>
        <w:t>numpy</w:t>
      </w:r>
      <w:proofErr w:type="spellEnd"/>
      <w:r w:rsidRPr="005F4980">
        <w:rPr>
          <w:color w:val="000000"/>
        </w:rPr>
        <w:t>’</w:t>
      </w:r>
      <w:r w:rsidR="001878D0">
        <w:rPr>
          <w:color w:val="000000"/>
        </w:rPr>
        <w:t xml:space="preserve"> and ‘</w:t>
      </w:r>
      <w:proofErr w:type="spellStart"/>
      <w:r w:rsidR="001878D0">
        <w:rPr>
          <w:color w:val="000000"/>
        </w:rPr>
        <w:t>tensorflow</w:t>
      </w:r>
      <w:proofErr w:type="spellEnd"/>
      <w:r w:rsidR="001878D0">
        <w:rPr>
          <w:color w:val="000000"/>
        </w:rPr>
        <w:t>’</w:t>
      </w:r>
      <w:r w:rsidRPr="005F4980">
        <w:rPr>
          <w:color w:val="000000"/>
        </w:rPr>
        <w:t xml:space="preserve"> python li</w:t>
      </w:r>
      <w:r w:rsidR="001878D0">
        <w:rPr>
          <w:color w:val="000000"/>
        </w:rPr>
        <w:t>bra</w:t>
      </w:r>
      <w:r w:rsidR="001878D0">
        <w:rPr>
          <w:color w:val="000000"/>
        </w:rPr>
        <w:t>r</w:t>
      </w:r>
      <w:r w:rsidR="001878D0">
        <w:rPr>
          <w:color w:val="000000"/>
        </w:rPr>
        <w:t>ies were</w:t>
      </w:r>
      <w:bookmarkStart w:id="0" w:name="_GoBack"/>
      <w:bookmarkEnd w:id="0"/>
      <w:r w:rsidRPr="005F4980">
        <w:rPr>
          <w:color w:val="000000"/>
        </w:rPr>
        <w:t xml:space="preserve"> used to handle all linear algebra computations.  Given 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Results</w:t>
      </w:r>
    </w:p>
    <w:p w:rsidR="00C01FD8" w:rsidRDefault="00A5786A" w:rsidP="00A5786A">
      <w:pPr>
        <w:pStyle w:val="PARAGRAPHnoindent"/>
        <w:rPr>
          <w:color w:val="000000"/>
          <w:spacing w:val="-2"/>
        </w:rPr>
      </w:pPr>
      <w:r w:rsidRPr="005F4980">
        <w:rPr>
          <w:color w:val="000000"/>
        </w:rPr>
        <w:t>Additionally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lastRenderedPageBreak/>
        <w:t>4</w:t>
      </w:r>
      <w:r>
        <w:rPr>
          <w:color w:val="000000"/>
        </w:rPr>
        <w:tab/>
      </w:r>
      <w:r w:rsidR="005F4980">
        <w:rPr>
          <w:color w:val="000000"/>
        </w:rPr>
        <w:t>Conclusion</w:t>
      </w:r>
    </w:p>
    <w:p w:rsidR="00C01FD8" w:rsidRDefault="00C01FD8" w:rsidP="005F4980">
      <w:pPr>
        <w:pStyle w:val="PARAGRAPH"/>
        <w:ind w:firstLine="0"/>
        <w:rPr>
          <w:color w:val="000000"/>
          <w:spacing w:val="-2"/>
        </w:rPr>
      </w:pPr>
    </w:p>
    <w:p w:rsidR="003410C8" w:rsidRDefault="003410C8" w:rsidP="00C01FD8">
      <w:pPr>
        <w:pStyle w:val="PARAGRAPHnoindent"/>
        <w:rPr>
          <w:color w:val="000000"/>
        </w:rPr>
      </w:pPr>
      <w:r>
        <w:rPr>
          <w:color w:val="000000"/>
        </w:rPr>
        <w:t xml:space="preserve">Although a conclusion may review the main points of the paper, do not replicate the abstract as the conclusion. A conclusion might elaborate on the importance of the work or suggest applications and extensions. Authors are strongly encouraged not to </w:t>
      </w:r>
      <w:r w:rsidR="00AB633F">
        <w:rPr>
          <w:color w:val="000000"/>
        </w:rPr>
        <w:t>reference</w:t>
      </w:r>
      <w:r>
        <w:rPr>
          <w:color w:val="000000"/>
        </w:rPr>
        <w:t xml:space="preserve"> multiple figures or tables in the conclusion—these should be referenced in the body of the paper.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:rsidR="003410C8" w:rsidRDefault="00A05D13">
      <w:pPr>
        <w:pStyle w:val="PARAGRAPHnoindent"/>
        <w:rPr>
          <w:color w:val="000000"/>
        </w:rPr>
      </w:pPr>
      <w:r>
        <w:rPr>
          <w:color w:val="000000"/>
        </w:rPr>
        <w:t xml:space="preserve">I’d like to thank Ms. Kathryn </w:t>
      </w:r>
      <w:proofErr w:type="spellStart"/>
      <w:r>
        <w:rPr>
          <w:color w:val="000000"/>
        </w:rPr>
        <w:t>Tadduni</w:t>
      </w:r>
      <w:proofErr w:type="spellEnd"/>
      <w:r>
        <w:rPr>
          <w:color w:val="000000"/>
        </w:rPr>
        <w:t xml:space="preserve"> for her continued support and contribution to the overall integrity of the python code.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1071F7" w:rsidRDefault="001071F7" w:rsidP="00145444">
      <w:pPr>
        <w:numPr>
          <w:ilvl w:val="0"/>
          <w:numId w:val="22"/>
        </w:numPr>
        <w:rPr>
          <w:color w:val="000000"/>
          <w:spacing w:val="-6"/>
        </w:rPr>
      </w:pPr>
      <w:r w:rsidRPr="001071F7">
        <w:rPr>
          <w:color w:val="000000"/>
          <w:spacing w:val="-6"/>
        </w:rPr>
        <w:t xml:space="preserve">Steve Graham, </w:t>
      </w:r>
      <w:r w:rsidR="00585AC6">
        <w:rPr>
          <w:color w:val="000000"/>
          <w:spacing w:val="-6"/>
        </w:rPr>
        <w:t>et al</w:t>
      </w:r>
      <w:r>
        <w:rPr>
          <w:color w:val="000000"/>
          <w:spacing w:val="-6"/>
        </w:rPr>
        <w:t>.  “Weather Forecas</w:t>
      </w:r>
      <w:r w:rsidR="00A5786A">
        <w:rPr>
          <w:color w:val="000000"/>
          <w:spacing w:val="-6"/>
        </w:rPr>
        <w:t xml:space="preserve">ting Through the Ages.”  </w:t>
      </w:r>
      <w:r w:rsidR="00A5786A">
        <w:rPr>
          <w:i/>
          <w:color w:val="000000"/>
          <w:spacing w:val="-6"/>
        </w:rPr>
        <w:t>NASA, Earth Observatory.</w:t>
      </w:r>
      <w:r w:rsidR="00A5786A">
        <w:rPr>
          <w:color w:val="000000"/>
          <w:spacing w:val="-6"/>
        </w:rPr>
        <w:t xml:space="preserve">  25 February 2002. Web. </w:t>
      </w:r>
      <w:r w:rsidR="00145444">
        <w:rPr>
          <w:color w:val="000000"/>
          <w:spacing w:val="-6"/>
        </w:rPr>
        <w:t xml:space="preserve">18 August 2018. </w:t>
      </w:r>
      <w:r w:rsidR="00145444" w:rsidRPr="00145444">
        <w:rPr>
          <w:color w:val="000000"/>
          <w:spacing w:val="-6"/>
        </w:rPr>
        <w:t>https://earthobservatory.nasa.gov/Features/WxForecasting/wx2.php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J. de la Porte,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“An Introduction to Diffusion Maps.”</w:t>
      </w:r>
    </w:p>
    <w:p w:rsid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Ronald R. </w:t>
      </w:r>
      <w:proofErr w:type="spellStart"/>
      <w:r w:rsidRPr="00F43284">
        <w:rPr>
          <w:color w:val="000000"/>
          <w:spacing w:val="-6"/>
        </w:rPr>
        <w:t>Coifman</w:t>
      </w:r>
      <w:proofErr w:type="spellEnd"/>
      <w:r w:rsidRPr="00F43284">
        <w:rPr>
          <w:color w:val="000000"/>
          <w:spacing w:val="-6"/>
        </w:rPr>
        <w:t xml:space="preserve"> and Stephane </w:t>
      </w:r>
      <w:proofErr w:type="spellStart"/>
      <w:r w:rsidRPr="00F43284">
        <w:rPr>
          <w:color w:val="000000"/>
          <w:spacing w:val="-6"/>
        </w:rPr>
        <w:t>Lafon</w:t>
      </w:r>
      <w:proofErr w:type="spellEnd"/>
      <w:r w:rsidRPr="00F43284">
        <w:rPr>
          <w:color w:val="000000"/>
          <w:spacing w:val="-6"/>
        </w:rPr>
        <w:t>.  “Diffusion Maps.”</w:t>
      </w:r>
    </w:p>
    <w:p w:rsidR="005F4980" w:rsidRPr="005F4980" w:rsidRDefault="005F4980" w:rsidP="005F4980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Zeev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Farbman</w:t>
      </w:r>
      <w:proofErr w:type="spellEnd"/>
      <w:r w:rsidRPr="00F43284">
        <w:rPr>
          <w:color w:val="000000"/>
          <w:spacing w:val="-6"/>
        </w:rPr>
        <w:t xml:space="preserve">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“Diffusion Maps for Edge-Aware Image Editing.”</w:t>
      </w:r>
    </w:p>
    <w:p w:rsidR="00585AC6" w:rsidRDefault="00585AC6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Charless</w:t>
      </w:r>
      <w:proofErr w:type="spellEnd"/>
      <w:r>
        <w:rPr>
          <w:color w:val="000000"/>
          <w:spacing w:val="-6"/>
        </w:rPr>
        <w:t xml:space="preserve"> Fowlkes, et al. “Spectral Grouping Using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Method.” </w:t>
      </w:r>
      <w:r>
        <w:rPr>
          <w:i/>
          <w:color w:val="000000"/>
        </w:rPr>
        <w:t>IEEE Transactions on Pattern Ana</w:t>
      </w:r>
      <w:r>
        <w:rPr>
          <w:i/>
          <w:color w:val="000000"/>
        </w:rPr>
        <w:t>l</w:t>
      </w:r>
      <w:r>
        <w:rPr>
          <w:i/>
          <w:color w:val="000000"/>
        </w:rPr>
        <w:t>ysis and Machine Intelligence.</w:t>
      </w:r>
      <w:r>
        <w:rPr>
          <w:color w:val="000000"/>
        </w:rPr>
        <w:t xml:space="preserve"> February</w:t>
      </w:r>
      <w:r>
        <w:rPr>
          <w:color w:val="000000"/>
          <w:spacing w:val="-6"/>
        </w:rPr>
        <w:t xml:space="preserve"> 2004.</w:t>
      </w:r>
    </w:p>
    <w:p w:rsidR="00A5786A" w:rsidRPr="00F43284" w:rsidRDefault="00A5786A" w:rsidP="00A5786A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Mubaris</w:t>
      </w:r>
      <w:proofErr w:type="spellEnd"/>
      <w:r>
        <w:rPr>
          <w:color w:val="000000"/>
          <w:spacing w:val="-6"/>
        </w:rPr>
        <w:t xml:space="preserve"> NK. “K-Means Clustering in Python.”  1 October 2017. Web. 16 August 2018. </w:t>
      </w:r>
      <w:r w:rsidRPr="00A5786A">
        <w:rPr>
          <w:color w:val="000000"/>
          <w:spacing w:val="-6"/>
        </w:rPr>
        <w:t>https://mubaris.com/2017/10/01/kmeans-clustering-in-python/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F43284" w:rsidRDefault="00F43284" w:rsidP="00F43284">
      <w:pPr>
        <w:pStyle w:val="ART"/>
        <w:framePr w:w="10186" w:h="6286" w:hRule="exact" w:wrap="around" w:vAnchor="page" w:hAnchor="page" w:x="661" w:y="3901"/>
        <w:spacing w:before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3167DE9" wp14:editId="30E9132F">
            <wp:extent cx="2489200" cy="1879600"/>
            <wp:effectExtent l="19050" t="0" r="6350" b="0"/>
            <wp:docPr id="5" name="Picture 5" descr="Word template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template Fig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84" w:rsidRDefault="00F43284" w:rsidP="00F43284">
      <w:pPr>
        <w:pStyle w:val="FIGURECAPTION"/>
        <w:framePr w:w="10186" w:h="6286" w:hRule="exact" w:wrap="around" w:vAnchor="page" w:hAnchor="page" w:x="661" w:y="3901"/>
        <w:rPr>
          <w:color w:val="000000"/>
        </w:rPr>
      </w:pPr>
      <w:proofErr w:type="gramStart"/>
      <w:r>
        <w:rPr>
          <w:color w:val="000000"/>
        </w:rPr>
        <w:t>Fig. 1.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Magnetization as a function of applied field.</w:t>
      </w:r>
      <w:proofErr w:type="gramEnd"/>
      <w:r>
        <w:rPr>
          <w:color w:val="000000"/>
        </w:rPr>
        <w:t xml:space="preserve"> Note that “Fig.” is abbreviated. There is a period after the figure number, followed by one space. It is good practice to briefly explain the significance of the figure in the caption. 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9D" w:rsidRDefault="0063149D">
      <w:r>
        <w:separator/>
      </w:r>
    </w:p>
  </w:endnote>
  <w:endnote w:type="continuationSeparator" w:id="0">
    <w:p w:rsidR="0063149D" w:rsidRDefault="0063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9D" w:rsidRDefault="0063149D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63149D" w:rsidRDefault="00631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</w:t>
    </w:r>
    <w:proofErr w:type="gramStart"/>
    <w:r w:rsidR="00E12B17">
      <w:t>,  vol</w:t>
    </w:r>
    <w:proofErr w:type="gramEnd"/>
    <w:r w:rsidR="00E12B17">
      <w:t>.  #</w:t>
    </w:r>
    <w:proofErr w:type="gramStart"/>
    <w:r w:rsidR="00E12B17">
      <w:t>,  no</w:t>
    </w:r>
    <w:proofErr w:type="gramEnd"/>
    <w:r w:rsidR="00E12B17">
      <w:t>.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>
      <w:rPr>
        <w:noProof/>
      </w:rPr>
      <w:t>3</w:t>
    </w:r>
    <w:r w:rsidR="00F9741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F97416">
      <w:fldChar w:fldCharType="begin"/>
    </w:r>
    <w:r w:rsidR="00F97416">
      <w:instrText xml:space="preserve"> PAGE </w:instrText>
    </w:r>
    <w:r w:rsidR="00F97416">
      <w:fldChar w:fldCharType="separate"/>
    </w:r>
    <w:r w:rsidR="000F4F2A">
      <w:rPr>
        <w:noProof/>
      </w:rPr>
      <w:t>1</w:t>
    </w:r>
    <w:r w:rsidR="00F97416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 w:rsidP="00C01FD8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1878D0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 w:rsidR="00A5786A">
      <w:rPr>
        <w:noProof/>
      </w:rPr>
      <w:t>3</w:t>
    </w:r>
    <w:r w:rsidR="00F9741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C"/>
    <w:rsid w:val="00021904"/>
    <w:rsid w:val="000F4F2A"/>
    <w:rsid w:val="001071F7"/>
    <w:rsid w:val="00145444"/>
    <w:rsid w:val="00177B9E"/>
    <w:rsid w:val="001878D0"/>
    <w:rsid w:val="002522DF"/>
    <w:rsid w:val="0027695E"/>
    <w:rsid w:val="002D46B5"/>
    <w:rsid w:val="002E799D"/>
    <w:rsid w:val="003410C8"/>
    <w:rsid w:val="005348DB"/>
    <w:rsid w:val="00576DF9"/>
    <w:rsid w:val="00585AC6"/>
    <w:rsid w:val="005F4980"/>
    <w:rsid w:val="0063149D"/>
    <w:rsid w:val="0069250A"/>
    <w:rsid w:val="0071239C"/>
    <w:rsid w:val="0073587B"/>
    <w:rsid w:val="0074172D"/>
    <w:rsid w:val="00753F24"/>
    <w:rsid w:val="007D0C1F"/>
    <w:rsid w:val="00821E4E"/>
    <w:rsid w:val="00850C4C"/>
    <w:rsid w:val="0087522F"/>
    <w:rsid w:val="00887762"/>
    <w:rsid w:val="008F2B6E"/>
    <w:rsid w:val="0093564C"/>
    <w:rsid w:val="009848F6"/>
    <w:rsid w:val="009E0DB2"/>
    <w:rsid w:val="00A05D13"/>
    <w:rsid w:val="00A211B7"/>
    <w:rsid w:val="00A5786A"/>
    <w:rsid w:val="00A64EB7"/>
    <w:rsid w:val="00A76BBC"/>
    <w:rsid w:val="00AB633F"/>
    <w:rsid w:val="00B17F63"/>
    <w:rsid w:val="00B23D4B"/>
    <w:rsid w:val="00B426B4"/>
    <w:rsid w:val="00B538EB"/>
    <w:rsid w:val="00C01FD8"/>
    <w:rsid w:val="00D546C6"/>
    <w:rsid w:val="00D96813"/>
    <w:rsid w:val="00DD3B3D"/>
    <w:rsid w:val="00DE2722"/>
    <w:rsid w:val="00E12B17"/>
    <w:rsid w:val="00F43284"/>
    <w:rsid w:val="00F964F4"/>
    <w:rsid w:val="00F9741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C049-791A-462B-A088-7F33EAE4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328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5685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Erin Espriu</dc:creator>
  <cp:keywords/>
  <dc:description/>
  <cp:lastModifiedBy>Branden</cp:lastModifiedBy>
  <cp:revision>3</cp:revision>
  <cp:lastPrinted>2003-04-30T17:12:00Z</cp:lastPrinted>
  <dcterms:created xsi:type="dcterms:W3CDTF">2018-08-19T15:21:00Z</dcterms:created>
  <dcterms:modified xsi:type="dcterms:W3CDTF">2018-08-19T22:12:00Z</dcterms:modified>
</cp:coreProperties>
</file>