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2400"/>
        <w:jc w:val="center"/>
      </w:pPr>
      <w:r>
        <w:rPr>
          <w:b/>
          <w:bCs/>
          <w:color w:val="1F3A5F"/>
          <w:sz w:val="36"/>
          <w:szCs w:val="36"/>
        </w:rPr>
        <w:t xml:space="preserve">CARIBBEAN CHARTER CATAMARAN BUSINESS</w:t>
      </w:r>
    </w:p>
    <w:p>
      <w:pPr>
        <w:spacing w:after="400" w:before="100"/>
        <w:jc w:val="center"/>
      </w:pPr>
      <w:r>
        <w:rPr>
          <w:b/>
          <w:bCs/>
          <w:sz w:val="28"/>
          <w:szCs w:val="28"/>
        </w:rPr>
        <w:t xml:space="preserve">Worst-Case Scenario Memo &amp; Red-Team Review Pack</w:t>
      </w:r>
    </w:p>
    <w:p>
      <w:pPr>
        <w:spacing w:after="100" w:before="100"/>
        <w:jc w:val="center"/>
      </w:pPr>
      <w:r>
        <w:rPr>
          <w:i/>
          <w:iCs/>
          <w:color w:val="595959"/>
          <w:sz w:val="24"/>
          <w:szCs w:val="24"/>
        </w:rPr>
        <w:t xml:space="preserve">Prepared for partner review and objection</w:t>
      </w:r>
    </w:p>
    <w:p>
      <w:pPr>
        <w:spacing w:after="2400" w:before="100"/>
        <w:jc w:val="center"/>
      </w:pPr>
      <w:r>
        <w:rPr>
          <w:color w:val="595959"/>
          <w:sz w:val="22"/>
          <w:szCs w:val="22"/>
        </w:rPr>
        <w:t xml:space="preserve">April 22, 2026</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F3A5F" w:sz="12"/>
              <w:left w:val="single" w:color="1F3A5F" w:sz="12"/>
              <w:bottom w:val="single" w:color="1F3A5F" w:sz="12"/>
              <w:right w:val="single" w:color="1F3A5F" w:sz="12"/>
            </w:tcBorders>
            <w:shd w:fill="EAF1FA" w:val="clear"/>
            <w:tcMar>
              <w:top w:type="dxa" w:w="200"/>
              <w:left w:type="dxa" w:w="240"/>
              <w:bottom w:type="dxa" w:w="200"/>
              <w:right w:type="dxa" w:w="240"/>
            </w:tcMar>
          </w:tcPr>
          <w:p>
            <w:pPr>
              <w:spacing w:after="80" w:before="40"/>
            </w:pPr>
            <w:r>
              <w:rPr>
                <w:b/>
                <w:bCs/>
                <w:color w:val="1F3A5F"/>
                <w:sz w:val="26"/>
                <w:szCs w:val="26"/>
              </w:rPr>
              <w:t xml:space="preserve">How to use this document</w:t>
            </w:r>
          </w:p>
          <w:p>
            <w:pPr>
              <w:spacing w:after="80" w:before="40"/>
            </w:pPr>
            <w:r>
              <w:t xml:space="preserve">This is not the business plan. This is the deliberate pressure-test of the plan. Every section is written to help a skeptical partner find weaknesses, not to sell the deal. The final section is a numbered list of objection prompts — each one cites a real market data point and asks the partner to challenge a specific assumption in the underlying plan.</w:t>
            </w:r>
          </w:p>
          <w:p>
            <w:pPr>
              <w:spacing w:after="40" w:before="40"/>
            </w:pPr>
            <w:r>
              <w:rPr>
                <w:b/>
                <w:bCs/>
              </w:rPr>
              <w:t xml:space="preserve">Workflow: </w:t>
            </w:r>
            <w:r>
              <w:t xml:space="preserve">Read sections 1–3 for the updated market reality (much has changed since the plan was written). Read section 4 for the stress-tested financials. Then go through the numbered objection prompts in section 5 and note your answers and disagreements.</w:t>
            </w:r>
          </w:p>
        </w:tc>
      </w:tr>
    </w:tbl>
    <w:p>
      <w:r>
        <w:br w:type="page"/>
      </w:r>
    </w:p>
    <w:p>
      <w:pPr>
        <w:pStyle w:val="Heading1"/>
        <w:spacing w:after="160" w:before="360"/>
      </w:pPr>
      <w:r>
        <w:rPr>
          <w:b/>
          <w:bCs/>
        </w:rPr>
        <w:t xml:space="preserve">1. Executive Summary: What Has Changed</w:t>
      </w:r>
    </w:p>
    <w:p>
      <w:pPr>
        <w:spacing w:after="80" w:before="80"/>
      </w:pPr>
      <w:r>
        <w:t xml:space="preserve">The business plan dated earlier in 2026 was built on three load-bearing assumptions. As of April 22, 2026, market data shows that two of those three assumptions are already weaker than the plan describes, and the third is normal-but-not-easy. A fair partner-level review should start from current reality, not the plan's stated reality.</w:t>
      </w:r>
    </w:p>
    <w:p>
      <w:pPr>
        <w:pStyle w:val="Heading3"/>
        <w:spacing w:after="80" w:before="200"/>
      </w:pPr>
      <w:r>
        <w:rPr>
          <w:b/>
          <w:bCs/>
        </w:rPr>
        <w:t xml:space="preserve">The three load-bearing assumptions — and where they stand today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5460"/>
        <w:gridCol w:w="1300"/>
      </w:tblGrid>
      <w:tr>
        <w:trPr>
          <w:tblHeader/>
        </w:trPr>
        <w:tc>
          <w:tcPr>
            <w:tcW w:type="dxa" w:w="2600"/>
            <w:tcBorders>
              <w:top w:val="single" w:color="BFBFBF" w:sz="4"/>
              <w:left w:val="single" w:color="BFBFBF" w:sz="4"/>
              <w:bottom w:val="single" w:color="BFBFBF" w:sz="4"/>
              <w:right w:val="single" w:color="BFBFBF" w:sz="4"/>
            </w:tcBorders>
            <w:shd w:fill="1F3A5F" w:val="clear"/>
            <w:tcMar>
              <w:top w:type="dxa" w:w="100"/>
              <w:left w:type="dxa" w:w="140"/>
              <w:bottom w:type="dxa" w:w="100"/>
              <w:right w:type="dxa" w:w="140"/>
            </w:tcMar>
          </w:tcPr>
          <w:p>
            <w:r>
              <w:rPr>
                <w:b/>
                <w:bCs/>
                <w:color w:val="FFFFFF"/>
              </w:rPr>
              <w:t xml:space="preserve">Plan assumption</w:t>
            </w:r>
          </w:p>
        </w:tc>
        <w:tc>
          <w:tcPr>
            <w:tcW w:type="dxa" w:w="5460"/>
            <w:tcBorders>
              <w:top w:val="single" w:color="BFBFBF" w:sz="4"/>
              <w:left w:val="single" w:color="BFBFBF" w:sz="4"/>
              <w:bottom w:val="single" w:color="BFBFBF" w:sz="4"/>
              <w:right w:val="single" w:color="BFBFBF" w:sz="4"/>
            </w:tcBorders>
            <w:shd w:fill="1F3A5F" w:val="clear"/>
            <w:tcMar>
              <w:top w:type="dxa" w:w="100"/>
              <w:left w:type="dxa" w:w="140"/>
              <w:bottom w:type="dxa" w:w="100"/>
              <w:right w:type="dxa" w:w="140"/>
            </w:tcMar>
          </w:tcPr>
          <w:p>
            <w:r>
              <w:rPr>
                <w:b/>
                <w:bCs/>
                <w:color w:val="FFFFFF"/>
              </w:rPr>
              <w:t xml:space="preserve">Current reality (Apr 2026)</w:t>
            </w:r>
          </w:p>
        </w:tc>
        <w:tc>
          <w:tcPr>
            <w:tcW w:type="dxa" w:w="1300"/>
            <w:tcBorders>
              <w:top w:val="single" w:color="BFBFBF" w:sz="4"/>
              <w:left w:val="single" w:color="BFBFBF" w:sz="4"/>
              <w:bottom w:val="single" w:color="BFBFBF" w:sz="4"/>
              <w:right w:val="single" w:color="BFBFBF" w:sz="4"/>
            </w:tcBorders>
            <w:shd w:fill="1F3A5F" w:val="clear"/>
            <w:tcMar>
              <w:top w:type="dxa" w:w="100"/>
              <w:left w:type="dxa" w:w="140"/>
              <w:bottom w:type="dxa" w:w="100"/>
              <w:right w:type="dxa" w:w="140"/>
            </w:tcMar>
          </w:tcPr>
          <w:p>
            <w:r>
              <w:rPr>
                <w:b/>
                <w:bCs/>
                <w:color w:val="FFFFFF"/>
              </w:rPr>
              <w:t xml:space="preserve">Status</w:t>
            </w:r>
          </w:p>
        </w:tc>
      </w:tr>
      <w:tr>
        <w:tc>
          <w:tcPr>
            <w:tcW w:type="dxa" w:w="2600"/>
            <w:tcBorders>
              <w:top w:val="single" w:color="BFBFBF" w:sz="4"/>
              <w:left w:val="single" w:color="BFBFBF" w:sz="4"/>
              <w:bottom w:val="single" w:color="BFBFBF" w:sz="4"/>
              <w:right w:val="single" w:color="BFBFBF" w:sz="4"/>
            </w:tcBorders>
            <w:tcMar>
              <w:top w:type="dxa" w:w="100"/>
              <w:left w:type="dxa" w:w="140"/>
              <w:bottom w:type="dxa" w:w="100"/>
              <w:right w:type="dxa" w:w="140"/>
            </w:tcMar>
          </w:tcPr>
          <w:p>
            <w:r>
              <w:t xml:space="preserve">US import tariff on foreign-built catamarans is 20–25%, creating a large arbitrage window.</w:t>
            </w:r>
          </w:p>
        </w:tc>
        <w:tc>
          <w:tcPr>
            <w:tcW w:type="dxa" w:w="5460"/>
            <w:tcBorders>
              <w:top w:val="single" w:color="BFBFBF" w:sz="4"/>
              <w:left w:val="single" w:color="BFBFBF" w:sz="4"/>
              <w:bottom w:val="single" w:color="BFBFBF" w:sz="4"/>
              <w:right w:val="single" w:color="BFBFBF" w:sz="4"/>
            </w:tcBorders>
            <w:tcMar>
              <w:top w:type="dxa" w:w="100"/>
              <w:left w:type="dxa" w:w="140"/>
              <w:bottom w:type="dxa" w:w="100"/>
              <w:right w:type="dxa" w:w="140"/>
            </w:tcMar>
          </w:tcPr>
          <w:p>
            <w:r>
              <w:t xml:space="preserve">Supreme Court struck down the IEEPA tariffs on Feb 20, 2026. They were replaced Feb 24 with Section 122 tariffs at 10% for 150 days, with Treasury signaling a possible increase to 15%. IEEPA-era tariff payments are being refunded via the CBP CAPE portal (live April 20, 2026).</w:t>
            </w:r>
          </w:p>
        </w:tc>
        <w:tc>
          <w:tcPr>
            <w:tcW w:type="dxa" w:w="1300"/>
            <w:tcBorders>
              <w:top w:val="single" w:color="BFBFBF" w:sz="4"/>
              <w:left w:val="single" w:color="BFBFBF" w:sz="4"/>
              <w:bottom w:val="single" w:color="BFBFBF" w:sz="4"/>
              <w:right w:val="single" w:color="BFBFBF" w:sz="4"/>
            </w:tcBorders>
            <w:tcMar>
              <w:top w:type="dxa" w:w="100"/>
              <w:left w:type="dxa" w:w="140"/>
              <w:bottom w:type="dxa" w:w="100"/>
              <w:right w:type="dxa" w:w="140"/>
            </w:tcMar>
          </w:tcPr>
          <w:p>
            <w:r>
              <w:t xml:space="preserve">WEAKER — arbitrage cut in half; expiry/change risk is acute.</w:t>
            </w:r>
          </w:p>
        </w:tc>
      </w:tr>
      <w:tr>
        <w:tc>
          <w:tcPr>
            <w:tcW w:type="dxa" w:w="260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tcPr>
          <w:p>
            <w:r>
              <w:t xml:space="preserve">Used 40–45ft catamaran prices have fallen, creating a buy-low / sell-high spread into US retail at $550–600K.</w:t>
            </w:r>
          </w:p>
        </w:tc>
        <w:tc>
          <w:tcPr>
            <w:tcW w:type="dxa" w:w="546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tcPr>
          <w:p>
            <w:r>
              <w:t xml:space="preserve">Used catamaran market is in broad price decline. Lagoon 42 (7–8 yr, 4-cabin): was ~€300K, now sub-€250K. 3-cabin owner-version supply at record highs. Ex-charter 4-cabin boats losing value faster. 249 Leopards currently on YachtWorld.</w:t>
            </w:r>
          </w:p>
        </w:tc>
        <w:tc>
          <w:tcPr>
            <w:tcW w:type="dxa" w:w="130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tcPr>
          <w:p>
            <w:r>
              <w:t xml:space="preserve">PARTIAL — entry prices are real, but exit prices are softening too. Spread is narrower than the plan models.</w:t>
            </w:r>
          </w:p>
        </w:tc>
      </w:tr>
      <w:tr>
        <w:tc>
          <w:tcPr>
            <w:tcW w:type="dxa" w:w="2600"/>
            <w:tcBorders>
              <w:top w:val="single" w:color="BFBFBF" w:sz="4"/>
              <w:left w:val="single" w:color="BFBFBF" w:sz="4"/>
              <w:bottom w:val="single" w:color="BFBFBF" w:sz="4"/>
              <w:right w:val="single" w:color="BFBFBF" w:sz="4"/>
            </w:tcBorders>
            <w:tcMar>
              <w:top w:type="dxa" w:w="100"/>
              <w:left w:type="dxa" w:w="140"/>
              <w:bottom w:type="dxa" w:w="100"/>
              <w:right w:type="dxa" w:w="140"/>
            </w:tcMar>
          </w:tcPr>
          <w:p>
            <w:r>
              <w:t xml:space="preserve">BVI charter occupancy of 60–70% is a reasonable base case, 55% is breakeven.</w:t>
            </w:r>
          </w:p>
        </w:tc>
        <w:tc>
          <w:tcPr>
            <w:tcW w:type="dxa" w:w="5460"/>
            <w:tcBorders>
              <w:top w:val="single" w:color="BFBFBF" w:sz="4"/>
              <w:left w:val="single" w:color="BFBFBF" w:sz="4"/>
              <w:bottom w:val="single" w:color="BFBFBF" w:sz="4"/>
              <w:right w:val="single" w:color="BFBFBF" w:sz="4"/>
            </w:tcBorders>
            <w:tcMar>
              <w:top w:type="dxa" w:w="100"/>
              <w:left w:type="dxa" w:w="140"/>
              <w:bottom w:type="dxa" w:w="100"/>
              <w:right w:type="dxa" w:w="140"/>
            </w:tcMar>
          </w:tcPr>
          <w:p>
            <w:r>
              <w:t xml:space="preserve">BVI demand is genuinely strong post-2024 (1.09M visitors, +9.8%) and top-tier boats book 12–18 months out. But published occupancy data for individual owner boats in fleet programs is not public, and realized occupancy varies widely with boat age, reviews, and fleet manager priority for their owned tonnage.</w:t>
            </w:r>
          </w:p>
        </w:tc>
        <w:tc>
          <w:tcPr>
            <w:tcW w:type="dxa" w:w="1300"/>
            <w:tcBorders>
              <w:top w:val="single" w:color="BFBFBF" w:sz="4"/>
              <w:left w:val="single" w:color="BFBFBF" w:sz="4"/>
              <w:bottom w:val="single" w:color="BFBFBF" w:sz="4"/>
              <w:right w:val="single" w:color="BFBFBF" w:sz="4"/>
            </w:tcBorders>
            <w:tcMar>
              <w:top w:type="dxa" w:w="100"/>
              <w:left w:type="dxa" w:w="140"/>
              <w:bottom w:type="dxa" w:w="100"/>
              <w:right w:type="dxa" w:w="140"/>
            </w:tcMar>
          </w:tcPr>
          <w:p>
            <w:r>
              <w:t xml:space="preserve">PLAUSIBLE — but the 60–70% figure is an industry ceiling, not a guaranteed floor.</w:t>
            </w:r>
          </w:p>
        </w:tc>
      </w:tr>
    </w:tbl>
    <w:p>
      <w:pPr>
        <w:pStyle w:val="Heading3"/>
        <w:spacing w:after="80" w:before="200"/>
      </w:pPr>
      <w:r>
        <w:rPr>
          <w:b/>
          <w:bCs/>
        </w:rPr>
        <w:t xml:space="preserve">Headline risk stack (in order of severity for this business)</w:t>
      </w:r>
    </w:p>
    <w:p>
      <w:pPr>
        <w:pStyle w:val="ListParagraph"/>
        <w:numPr>
          <w:ilvl w:val="0"/>
          <w:numId w:val="2"/>
        </w:numPr>
        <w:spacing w:after="60" w:before="60"/>
      </w:pPr>
      <w:r>
        <w:t xml:space="preserve">Tariff thesis collapse (already partially materialized, Feb 2026). The flip margin the plan uses — ~$145–200K per boat — assumed a 20% duty. At 10%, the same $309K boat's landed US cost drops by ~$31K, which helps any US buyer who now imports themselves and directly compresses the spread this business is trying to capture.</w:t>
      </w:r>
    </w:p>
    <w:p>
      <w:pPr>
        <w:pStyle w:val="ListParagraph"/>
        <w:numPr>
          <w:ilvl w:val="0"/>
          <w:numId w:val="2"/>
        </w:numPr>
        <w:spacing w:after="60" w:before="60"/>
      </w:pPr>
      <w:r>
        <w:t xml:space="preserve">Hurricane / total-loss event. Historical precedent is not theoretical: Hurricane Irma (2017) caused 179 Moorings/Sunsail vessels to be declared constructive total loss in a single storm. 2024 Caribbean major-hurricane probability was forecast at 66%; 2025 at 56%. The business thesis concentrates exposure in the single highest-hurricane-risk region of the Atlantic basin.</w:t>
      </w:r>
    </w:p>
    <w:p>
      <w:pPr>
        <w:pStyle w:val="ListParagraph"/>
        <w:numPr>
          <w:ilvl w:val="0"/>
          <w:numId w:val="2"/>
        </w:numPr>
        <w:spacing w:after="60" w:before="60"/>
      </w:pPr>
      <w:r>
        <w:t xml:space="preserve">Resale market softening + days-on-market. The plan models the flip as a decision to sell at will. In a declining market, the decision is often to keep chartering because the spread has compressed — which turns this into a lifestyle/charter business, not the dual-engine profit business pitched.</w:t>
      </w:r>
    </w:p>
    <w:p>
      <w:pPr>
        <w:pStyle w:val="ListParagraph"/>
        <w:numPr>
          <w:ilvl w:val="0"/>
          <w:numId w:val="2"/>
        </w:numPr>
        <w:spacing w:after="60" w:before="60"/>
      </w:pPr>
      <w:r>
        <w:t xml:space="preserve">Insurance availability and named-storm deductible reality. The Caribbean marine insurance market has consolidated from 4+ A-rated insurers (2018) to 2 today. Named-storm deductibles in the region are commonly 15–20% of hull value, not 2–5%. On a $309K boat, that's $46–62K out of pocket per claim, before the business sees a check.</w:t>
      </w:r>
    </w:p>
    <w:p>
      <w:pPr>
        <w:pStyle w:val="ListParagraph"/>
        <w:numPr>
          <w:ilvl w:val="0"/>
          <w:numId w:val="2"/>
        </w:numPr>
        <w:spacing w:after="60" w:before="60"/>
      </w:pPr>
      <w:r>
        <w:t xml:space="preserve">Debt cascade on a personally-guaranteed structure. Both partners are personal guarantors on the SBA loan. In a bad year, a negative cash-flow LLC with a hurricane deductible to pay plus debt service can force capital calls, friends-and-family default, and, if liquidation doesn't fully cover, lawsuits against the guarantors personally.</w:t>
      </w:r>
    </w:p>
    <w:p>
      <w:r>
        <w:br w:type="page"/>
      </w:r>
    </w:p>
    <w:p>
      <w:pPr>
        <w:pStyle w:val="Heading1"/>
        <w:spacing w:after="160" w:before="360"/>
      </w:pPr>
      <w:r>
        <w:rPr>
          <w:b/>
          <w:bCs/>
        </w:rPr>
        <w:t xml:space="preserve">2. Tariff &amp; Policy Reality (April 2026)</w:t>
      </w:r>
    </w:p>
    <w:p>
      <w:pPr>
        <w:spacing w:after="80" w:before="80"/>
      </w:pPr>
      <w:r>
        <w:t xml:space="preserve">The single biggest change in the business environment between when the plan was drafted and today is the collapse of the IEEPA tariff regime. The plan's competitive advantage language — "tariff arbitrage" — needs to be rebuilt around what is actually in effect now.</w:t>
      </w:r>
    </w:p>
    <w:p>
      <w:pPr>
        <w:pStyle w:val="Heading2"/>
        <w:spacing w:after="120" w:before="280"/>
      </w:pPr>
      <w:r>
        <w:rPr>
          <w:b/>
          <w:bCs/>
        </w:rPr>
        <w:t xml:space="preserve">2.1 Timeline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4960"/>
        <w:gridCol w:w="3000"/>
      </w:tblGrid>
      <w:tr>
        <w:trPr>
          <w:tblHeader/>
        </w:trPr>
        <w:tc>
          <w:tcPr>
            <w:tcW w:type="dxa" w:w="1400"/>
            <w:tcBorders>
              <w:top w:val="single" w:color="BFBFBF" w:sz="4"/>
              <w:left w:val="single" w:color="BFBFBF" w:sz="4"/>
              <w:bottom w:val="single" w:color="BFBFBF" w:sz="4"/>
              <w:right w:val="single" w:color="BFBFBF" w:sz="4"/>
            </w:tcBorders>
            <w:shd w:fill="1F3A5F" w:val="clear"/>
            <w:tcMar>
              <w:top w:type="dxa" w:w="100"/>
              <w:left w:type="dxa" w:w="140"/>
              <w:bottom w:type="dxa" w:w="100"/>
              <w:right w:type="dxa" w:w="140"/>
            </w:tcMar>
          </w:tcPr>
          <w:p>
            <w:r>
              <w:rPr>
                <w:b/>
                <w:bCs/>
                <w:color w:val="FFFFFF"/>
              </w:rPr>
              <w:t xml:space="preserve">Date</w:t>
            </w:r>
          </w:p>
        </w:tc>
        <w:tc>
          <w:tcPr>
            <w:tcW w:type="dxa" w:w="4960"/>
            <w:tcBorders>
              <w:top w:val="single" w:color="BFBFBF" w:sz="4"/>
              <w:left w:val="single" w:color="BFBFBF" w:sz="4"/>
              <w:bottom w:val="single" w:color="BFBFBF" w:sz="4"/>
              <w:right w:val="single" w:color="BFBFBF" w:sz="4"/>
            </w:tcBorders>
            <w:shd w:fill="1F3A5F" w:val="clear"/>
            <w:tcMar>
              <w:top w:type="dxa" w:w="100"/>
              <w:left w:type="dxa" w:w="140"/>
              <w:bottom w:type="dxa" w:w="100"/>
              <w:right w:type="dxa" w:w="140"/>
            </w:tcMar>
          </w:tcPr>
          <w:p>
            <w:r>
              <w:rPr>
                <w:b/>
                <w:bCs/>
                <w:color w:val="FFFFFF"/>
              </w:rPr>
              <w:t xml:space="preserve">Event</w:t>
            </w:r>
          </w:p>
        </w:tc>
        <w:tc>
          <w:tcPr>
            <w:tcW w:type="dxa" w:w="3000"/>
            <w:tcBorders>
              <w:top w:val="single" w:color="BFBFBF" w:sz="4"/>
              <w:left w:val="single" w:color="BFBFBF" w:sz="4"/>
              <w:bottom w:val="single" w:color="BFBFBF" w:sz="4"/>
              <w:right w:val="single" w:color="BFBFBF" w:sz="4"/>
            </w:tcBorders>
            <w:shd w:fill="1F3A5F" w:val="clear"/>
            <w:tcMar>
              <w:top w:type="dxa" w:w="100"/>
              <w:left w:type="dxa" w:w="140"/>
              <w:bottom w:type="dxa" w:w="100"/>
              <w:right w:type="dxa" w:w="140"/>
            </w:tcMar>
          </w:tcPr>
          <w:p>
            <w:r>
              <w:rPr>
                <w:b/>
                <w:bCs/>
                <w:color w:val="FFFFFF"/>
              </w:rPr>
              <w:t xml:space="preserve">Effect on the plan</w:t>
            </w:r>
          </w:p>
        </w:tc>
      </w:tr>
      <w:tr>
        <w:tc>
          <w:tcPr>
            <w:tcW w:type="dxa" w:w="1400"/>
            <w:tcBorders>
              <w:top w:val="single" w:color="BFBFBF" w:sz="4"/>
              <w:left w:val="single" w:color="BFBFBF" w:sz="4"/>
              <w:bottom w:val="single" w:color="BFBFBF" w:sz="4"/>
              <w:right w:val="single" w:color="BFBFBF" w:sz="4"/>
            </w:tcBorders>
            <w:tcMar>
              <w:top w:type="dxa" w:w="100"/>
              <w:left w:type="dxa" w:w="140"/>
              <w:bottom w:type="dxa" w:w="100"/>
              <w:right w:type="dxa" w:w="140"/>
            </w:tcMar>
          </w:tcPr>
          <w:p>
            <w:r>
              <w:t xml:space="preserve">Apr 2025</w:t>
            </w:r>
          </w:p>
        </w:tc>
        <w:tc>
          <w:tcPr>
            <w:tcW w:type="dxa" w:w="4960"/>
            <w:tcBorders>
              <w:top w:val="single" w:color="BFBFBF" w:sz="4"/>
              <w:left w:val="single" w:color="BFBFBF" w:sz="4"/>
              <w:bottom w:val="single" w:color="BFBFBF" w:sz="4"/>
              <w:right w:val="single" w:color="BFBFBF" w:sz="4"/>
            </w:tcBorders>
            <w:tcMar>
              <w:top w:type="dxa" w:w="100"/>
              <w:left w:type="dxa" w:w="140"/>
              <w:bottom w:type="dxa" w:w="100"/>
              <w:right w:type="dxa" w:w="140"/>
            </w:tcMar>
          </w:tcPr>
          <w:p>
            <w:r>
              <w:t xml:space="preserve">Trump administration imposed IEEPA reciprocal tariffs: 10% baseline plus country premiums. South Africa-built boats (Leopard/Robertson &amp; Caine): ~20–25%. French-built (Lagoon/Bali/FP): ~20%.</w:t>
            </w:r>
          </w:p>
        </w:tc>
        <w:tc>
          <w:tcPr>
            <w:tcW w:type="dxa" w:w="3000"/>
            <w:tcBorders>
              <w:top w:val="single" w:color="BFBFBF" w:sz="4"/>
              <w:left w:val="single" w:color="BFBFBF" w:sz="4"/>
              <w:bottom w:val="single" w:color="BFBFBF" w:sz="4"/>
              <w:right w:val="single" w:color="BFBFBF" w:sz="4"/>
            </w:tcBorders>
            <w:tcMar>
              <w:top w:type="dxa" w:w="100"/>
              <w:left w:type="dxa" w:w="140"/>
              <w:bottom w:type="dxa" w:w="100"/>
              <w:right w:type="dxa" w:w="140"/>
            </w:tcMar>
          </w:tcPr>
          <w:p>
            <w:r>
              <w:t xml:space="preserve">This created the arbitrage window the plan was built on.</w:t>
            </w:r>
          </w:p>
        </w:tc>
      </w:tr>
      <w:tr>
        <w:tc>
          <w:tcPr>
            <w:tcW w:type="dxa" w:w="140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tcPr>
          <w:p>
            <w:r>
              <w:t xml:space="preserve">Nov 2025</w:t>
            </w:r>
          </w:p>
        </w:tc>
        <w:tc>
          <w:tcPr>
            <w:tcW w:type="dxa" w:w="496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tcPr>
          <w:p>
            <w:r>
              <w:t xml:space="preserve">Supreme Court hears oral argument on IEEPA constitutionality.</w:t>
            </w:r>
          </w:p>
        </w:tc>
        <w:tc>
          <w:tcPr>
            <w:tcW w:type="dxa" w:w="300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tcPr>
          <w:p>
            <w:r>
              <w:t xml:space="preserve">Signal that the regime was fragile.</w:t>
            </w:r>
          </w:p>
        </w:tc>
      </w:tr>
      <w:tr>
        <w:tc>
          <w:tcPr>
            <w:tcW w:type="dxa" w:w="1400"/>
            <w:tcBorders>
              <w:top w:val="single" w:color="BFBFBF" w:sz="4"/>
              <w:left w:val="single" w:color="BFBFBF" w:sz="4"/>
              <w:bottom w:val="single" w:color="BFBFBF" w:sz="4"/>
              <w:right w:val="single" w:color="BFBFBF" w:sz="4"/>
            </w:tcBorders>
            <w:tcMar>
              <w:top w:type="dxa" w:w="100"/>
              <w:left w:type="dxa" w:w="140"/>
              <w:bottom w:type="dxa" w:w="100"/>
              <w:right w:type="dxa" w:w="140"/>
            </w:tcMar>
          </w:tcPr>
          <w:p>
            <w:r>
              <w:t xml:space="preserve">Feb 20, 2026</w:t>
            </w:r>
          </w:p>
        </w:tc>
        <w:tc>
          <w:tcPr>
            <w:tcW w:type="dxa" w:w="4960"/>
            <w:tcBorders>
              <w:top w:val="single" w:color="BFBFBF" w:sz="4"/>
              <w:left w:val="single" w:color="BFBFBF" w:sz="4"/>
              <w:bottom w:val="single" w:color="BFBFBF" w:sz="4"/>
              <w:right w:val="single" w:color="BFBFBF" w:sz="4"/>
            </w:tcBorders>
            <w:tcMar>
              <w:top w:type="dxa" w:w="100"/>
              <w:left w:type="dxa" w:w="140"/>
              <w:bottom w:type="dxa" w:w="100"/>
              <w:right w:type="dxa" w:w="140"/>
            </w:tcMar>
          </w:tcPr>
          <w:p>
            <w:r>
              <w:t xml:space="preserve">Supreme Court ruled IEEPA does not authorize tariffs. 6-3 decision, Chief Justice Roberts writing.</w:t>
            </w:r>
          </w:p>
        </w:tc>
        <w:tc>
          <w:tcPr>
            <w:tcW w:type="dxa" w:w="3000"/>
            <w:tcBorders>
              <w:top w:val="single" w:color="BFBFBF" w:sz="4"/>
              <w:left w:val="single" w:color="BFBFBF" w:sz="4"/>
              <w:bottom w:val="single" w:color="BFBFBF" w:sz="4"/>
              <w:right w:val="single" w:color="BFBFBF" w:sz="4"/>
            </w:tcBorders>
            <w:tcMar>
              <w:top w:type="dxa" w:w="100"/>
              <w:left w:type="dxa" w:w="140"/>
              <w:bottom w:type="dxa" w:w="100"/>
              <w:right w:type="dxa" w:w="140"/>
            </w:tcMar>
          </w:tcPr>
          <w:p>
            <w:r>
              <w:t xml:space="preserve">Arbitrage window begins to close.</w:t>
            </w:r>
          </w:p>
        </w:tc>
      </w:tr>
      <w:tr>
        <w:tc>
          <w:tcPr>
            <w:tcW w:type="dxa" w:w="140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tcPr>
          <w:p>
            <w:r>
              <w:t xml:space="preserve">Feb 24, 2026</w:t>
            </w:r>
          </w:p>
        </w:tc>
        <w:tc>
          <w:tcPr>
            <w:tcW w:type="dxa" w:w="496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tcPr>
          <w:p>
            <w:r>
              <w:t xml:space="preserve">Executive order imposes new Section 122 tariffs at 10% on goods from all countries for 150 days (expiring ~July 23, 2026). Civil aircraft exempted; no specific boat exemption in public text.</w:t>
            </w:r>
          </w:p>
        </w:tc>
        <w:tc>
          <w:tcPr>
            <w:tcW w:type="dxa" w:w="300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tcPr>
          <w:p>
            <w:r>
              <w:t xml:space="preserve">Arbitrage window halved. Legal authority is different (Section 122 of Trade Act of 1974) and can be extended or changed.</w:t>
            </w:r>
          </w:p>
        </w:tc>
      </w:tr>
      <w:tr>
        <w:tc>
          <w:tcPr>
            <w:tcW w:type="dxa" w:w="1400"/>
            <w:tcBorders>
              <w:top w:val="single" w:color="BFBFBF" w:sz="4"/>
              <w:left w:val="single" w:color="BFBFBF" w:sz="4"/>
              <w:bottom w:val="single" w:color="BFBFBF" w:sz="4"/>
              <w:right w:val="single" w:color="BFBFBF" w:sz="4"/>
            </w:tcBorders>
            <w:tcMar>
              <w:top w:type="dxa" w:w="100"/>
              <w:left w:type="dxa" w:w="140"/>
              <w:bottom w:type="dxa" w:w="100"/>
              <w:right w:type="dxa" w:w="140"/>
            </w:tcMar>
          </w:tcPr>
          <w:p>
            <w:r>
              <w:t xml:space="preserve">Mar 4, 2026</w:t>
            </w:r>
          </w:p>
        </w:tc>
        <w:tc>
          <w:tcPr>
            <w:tcW w:type="dxa" w:w="4960"/>
            <w:tcBorders>
              <w:top w:val="single" w:color="BFBFBF" w:sz="4"/>
              <w:left w:val="single" w:color="BFBFBF" w:sz="4"/>
              <w:bottom w:val="single" w:color="BFBFBF" w:sz="4"/>
              <w:right w:val="single" w:color="BFBFBF" w:sz="4"/>
            </w:tcBorders>
            <w:tcMar>
              <w:top w:type="dxa" w:w="100"/>
              <w:left w:type="dxa" w:w="140"/>
              <w:bottom w:type="dxa" w:w="100"/>
              <w:right w:type="dxa" w:w="140"/>
            </w:tcMar>
          </w:tcPr>
          <w:p>
            <w:r>
              <w:t xml:space="preserve">Court of International Trade orders CBP to process refunds of IEEPA-era tariffs with interest.</w:t>
            </w:r>
          </w:p>
        </w:tc>
        <w:tc>
          <w:tcPr>
            <w:tcW w:type="dxa" w:w="3000"/>
            <w:tcBorders>
              <w:top w:val="single" w:color="BFBFBF" w:sz="4"/>
              <w:left w:val="single" w:color="BFBFBF" w:sz="4"/>
              <w:bottom w:val="single" w:color="BFBFBF" w:sz="4"/>
              <w:right w:val="single" w:color="BFBFBF" w:sz="4"/>
            </w:tcBorders>
            <w:tcMar>
              <w:top w:type="dxa" w:w="100"/>
              <w:left w:type="dxa" w:w="140"/>
              <w:bottom w:type="dxa" w:w="100"/>
              <w:right w:type="dxa" w:w="140"/>
            </w:tcMar>
          </w:tcPr>
          <w:p>
            <w:r>
              <w:t xml:space="preserve">Anyone who already imported under IEEPA is getting money back — existing US inventory cost basis is dropping.</w:t>
            </w:r>
          </w:p>
        </w:tc>
      </w:tr>
      <w:tr>
        <w:tc>
          <w:tcPr>
            <w:tcW w:type="dxa" w:w="140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tcPr>
          <w:p>
            <w:r>
              <w:t xml:space="preserve">Mar 4, 2026</w:t>
            </w:r>
          </w:p>
        </w:tc>
        <w:tc>
          <w:tcPr>
            <w:tcW w:type="dxa" w:w="496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tcPr>
          <w:p>
            <w:r>
              <w:t xml:space="preserve">Treasury Secretary signals Section 122 may rise to 15%.</w:t>
            </w:r>
          </w:p>
        </w:tc>
        <w:tc>
          <w:tcPr>
            <w:tcW w:type="dxa" w:w="300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tcPr>
          <w:p>
            <w:r>
              <w:t xml:space="preserve">Policy direction uncertain; pricing a business model around any specific rate is risky.</w:t>
            </w:r>
          </w:p>
        </w:tc>
      </w:tr>
      <w:tr>
        <w:tc>
          <w:tcPr>
            <w:tcW w:type="dxa" w:w="1400"/>
            <w:tcBorders>
              <w:top w:val="single" w:color="BFBFBF" w:sz="4"/>
              <w:left w:val="single" w:color="BFBFBF" w:sz="4"/>
              <w:bottom w:val="single" w:color="BFBFBF" w:sz="4"/>
              <w:right w:val="single" w:color="BFBFBF" w:sz="4"/>
            </w:tcBorders>
            <w:tcMar>
              <w:top w:type="dxa" w:w="100"/>
              <w:left w:type="dxa" w:w="140"/>
              <w:bottom w:type="dxa" w:w="100"/>
              <w:right w:type="dxa" w:w="140"/>
            </w:tcMar>
          </w:tcPr>
          <w:p>
            <w:r>
              <w:t xml:space="preserve">Apr 20, 2026</w:t>
            </w:r>
          </w:p>
        </w:tc>
        <w:tc>
          <w:tcPr>
            <w:tcW w:type="dxa" w:w="4960"/>
            <w:tcBorders>
              <w:top w:val="single" w:color="BFBFBF" w:sz="4"/>
              <w:left w:val="single" w:color="BFBFBF" w:sz="4"/>
              <w:bottom w:val="single" w:color="BFBFBF" w:sz="4"/>
              <w:right w:val="single" w:color="BFBFBF" w:sz="4"/>
            </w:tcBorders>
            <w:tcMar>
              <w:top w:type="dxa" w:w="100"/>
              <w:left w:type="dxa" w:w="140"/>
              <w:bottom w:type="dxa" w:w="100"/>
              <w:right w:type="dxa" w:w="140"/>
            </w:tcMar>
          </w:tcPr>
          <w:p>
            <w:r>
              <w:t xml:space="preserve">CBP's CAPE refund portal goes live.</w:t>
            </w:r>
          </w:p>
        </w:tc>
        <w:tc>
          <w:tcPr>
            <w:tcW w:type="dxa" w:w="3000"/>
            <w:tcBorders>
              <w:top w:val="single" w:color="BFBFBF" w:sz="4"/>
              <w:left w:val="single" w:color="BFBFBF" w:sz="4"/>
              <w:bottom w:val="single" w:color="BFBFBF" w:sz="4"/>
              <w:right w:val="single" w:color="BFBFBF" w:sz="4"/>
            </w:tcBorders>
            <w:tcMar>
              <w:top w:type="dxa" w:w="100"/>
              <w:left w:type="dxa" w:w="140"/>
              <w:bottom w:type="dxa" w:w="100"/>
              <w:right w:type="dxa" w:w="140"/>
            </w:tcMar>
          </w:tcPr>
          <w:p>
            <w:r>
              <w:t xml:space="preserve">Refund channel now operational.</w:t>
            </w:r>
          </w:p>
        </w:tc>
      </w:tr>
    </w:tbl>
    <w:p>
      <w:pPr>
        <w:pStyle w:val="Heading2"/>
        <w:spacing w:after="120" w:before="280"/>
      </w:pPr>
      <w:r>
        <w:rPr>
          <w:b/>
          <w:bCs/>
        </w:rPr>
        <w:t xml:space="preserve">2.2 What the current 10% tariff does to the flip math</w:t>
      </w:r>
    </w:p>
    <w:p>
      <w:pPr>
        <w:spacing w:after="80" w:before="80"/>
      </w:pPr>
      <w:r>
        <w:t xml:space="preserve">Rebuilding the plan's own "flip economics" table at today's tariff of 10% on transaction value: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2100"/>
        <w:gridCol w:w="2050"/>
        <w:gridCol w:w="2010"/>
      </w:tblGrid>
      <w:tr>
        <w:trPr>
          <w:tblHeader/>
        </w:trPr>
        <w:tc>
          <w:tcPr>
            <w:tcW w:type="dxa" w:w="3200"/>
            <w:tcBorders>
              <w:top w:val="single" w:color="BFBFBF" w:sz="4"/>
              <w:left w:val="single" w:color="BFBFBF" w:sz="4"/>
              <w:bottom w:val="single" w:color="BFBFBF" w:sz="4"/>
              <w:right w:val="single" w:color="BFBFBF" w:sz="4"/>
            </w:tcBorders>
            <w:shd w:fill="1F3A5F" w:val="clear"/>
            <w:tcMar>
              <w:top w:type="dxa" w:w="100"/>
              <w:left w:type="dxa" w:w="140"/>
              <w:bottom w:type="dxa" w:w="100"/>
              <w:right w:type="dxa" w:w="140"/>
            </w:tcMar>
          </w:tcPr>
          <w:p>
            <w:r>
              <w:rPr>
                <w:b/>
                <w:bCs/>
                <w:color w:val="FFFFFF"/>
              </w:rPr>
              <w:t xml:space="preserve">Line item</w:t>
            </w:r>
          </w:p>
        </w:tc>
        <w:tc>
          <w:tcPr>
            <w:tcW w:type="dxa" w:w="2100"/>
            <w:tcBorders>
              <w:top w:val="single" w:color="BFBFBF" w:sz="4"/>
              <w:left w:val="single" w:color="BFBFBF" w:sz="4"/>
              <w:bottom w:val="single" w:color="BFBFBF" w:sz="4"/>
              <w:right w:val="single" w:color="BFBFBF" w:sz="4"/>
            </w:tcBorders>
            <w:shd w:fill="1F3A5F" w:val="clear"/>
            <w:tcMar>
              <w:top w:type="dxa" w:w="100"/>
              <w:left w:type="dxa" w:w="140"/>
              <w:bottom w:type="dxa" w:w="100"/>
              <w:right w:type="dxa" w:w="140"/>
            </w:tcMar>
          </w:tcPr>
          <w:p>
            <w:r>
              <w:rPr>
                <w:b/>
                <w:bCs/>
                <w:color w:val="FFFFFF"/>
              </w:rPr>
              <w:t xml:space="preserve">Plan (20% tariff)</w:t>
            </w:r>
          </w:p>
        </w:tc>
        <w:tc>
          <w:tcPr>
            <w:tcW w:type="dxa" w:w="2050"/>
            <w:tcBorders>
              <w:top w:val="single" w:color="BFBFBF" w:sz="4"/>
              <w:left w:val="single" w:color="BFBFBF" w:sz="4"/>
              <w:bottom w:val="single" w:color="BFBFBF" w:sz="4"/>
              <w:right w:val="single" w:color="BFBFBF" w:sz="4"/>
            </w:tcBorders>
            <w:shd w:fill="1F3A5F" w:val="clear"/>
            <w:tcMar>
              <w:top w:type="dxa" w:w="100"/>
              <w:left w:type="dxa" w:w="140"/>
              <w:bottom w:type="dxa" w:w="100"/>
              <w:right w:type="dxa" w:w="140"/>
            </w:tcMar>
          </w:tcPr>
          <w:p>
            <w:r>
              <w:rPr>
                <w:b/>
                <w:bCs/>
                <w:color w:val="FFFFFF"/>
              </w:rPr>
              <w:t xml:space="preserve">Current (10% tariff)</w:t>
            </w:r>
          </w:p>
        </w:tc>
        <w:tc>
          <w:tcPr>
            <w:tcW w:type="dxa" w:w="2010"/>
            <w:tcBorders>
              <w:top w:val="single" w:color="BFBFBF" w:sz="4"/>
              <w:left w:val="single" w:color="BFBFBF" w:sz="4"/>
              <w:bottom w:val="single" w:color="BFBFBF" w:sz="4"/>
              <w:right w:val="single" w:color="BFBFBF" w:sz="4"/>
            </w:tcBorders>
            <w:shd w:fill="1F3A5F" w:val="clear"/>
            <w:tcMar>
              <w:top w:type="dxa" w:w="100"/>
              <w:left w:type="dxa" w:w="140"/>
              <w:bottom w:type="dxa" w:w="100"/>
              <w:right w:type="dxa" w:w="140"/>
            </w:tcMar>
          </w:tcPr>
          <w:p>
            <w:r>
              <w:rPr>
                <w:b/>
                <w:bCs/>
                <w:color w:val="FFFFFF"/>
              </w:rPr>
              <w:t xml:space="preserve">If tariff rises to 15%</w:t>
            </w:r>
          </w:p>
        </w:tc>
      </w:tr>
      <w:tr>
        <w:tc>
          <w:tcPr>
            <w:tcW w:type="dxa" w:w="320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b/>
                <w:bCs/>
              </w:rPr>
              <w:t xml:space="preserve">Purchase price (BVI)</w:t>
            </w:r>
          </w:p>
        </w:tc>
        <w:tc>
          <w:tcPr>
            <w:tcW w:type="dxa" w:w="210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b w:val="false"/>
                <w:bCs w:val="false"/>
              </w:rPr>
              <w:t xml:space="preserve">$309,000</w:t>
            </w:r>
          </w:p>
        </w:tc>
        <w:tc>
          <w:tcPr>
            <w:tcW w:type="dxa" w:w="205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b w:val="false"/>
                <w:bCs w:val="false"/>
              </w:rPr>
              <w:t xml:space="preserve">$309,000</w:t>
            </w:r>
          </w:p>
        </w:tc>
        <w:tc>
          <w:tcPr>
            <w:tcW w:type="dxa" w:w="201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b w:val="false"/>
                <w:bCs w:val="false"/>
              </w:rPr>
              <w:t xml:space="preserve">$309,000</w:t>
            </w:r>
          </w:p>
        </w:tc>
      </w:tr>
      <w:tr>
        <w:tc>
          <w:tcPr>
            <w:tcW w:type="dxa" w:w="320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tcPr>
          <w:p>
            <w:r>
              <w:rPr>
                <w:b/>
                <w:bCs/>
              </w:rPr>
              <w:t xml:space="preserve">Survey / cosmetics / prep</w:t>
            </w:r>
          </w:p>
        </w:tc>
        <w:tc>
          <w:tcPr>
            <w:tcW w:type="dxa" w:w="210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tcPr>
          <w:p>
            <w:r>
              <w:rPr>
                <w:b w:val="false"/>
                <w:bCs w:val="false"/>
              </w:rPr>
              <w:t xml:space="preserve">$12,500</w:t>
            </w:r>
          </w:p>
        </w:tc>
        <w:tc>
          <w:tcPr>
            <w:tcW w:type="dxa" w:w="205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tcPr>
          <w:p>
            <w:r>
              <w:rPr>
                <w:b w:val="false"/>
                <w:bCs w:val="false"/>
              </w:rPr>
              <w:t xml:space="preserve">$12,500</w:t>
            </w:r>
          </w:p>
        </w:tc>
        <w:tc>
          <w:tcPr>
            <w:tcW w:type="dxa" w:w="201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tcPr>
          <w:p>
            <w:r>
              <w:rPr>
                <w:b w:val="false"/>
                <w:bCs w:val="false"/>
              </w:rPr>
              <w:t xml:space="preserve">$12,500</w:t>
            </w:r>
          </w:p>
        </w:tc>
      </w:tr>
      <w:tr>
        <w:tc>
          <w:tcPr>
            <w:tcW w:type="dxa" w:w="320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b/>
                <w:bCs/>
              </w:rPr>
              <w:t xml:space="preserve">Import duty</w:t>
            </w:r>
          </w:p>
        </w:tc>
        <w:tc>
          <w:tcPr>
            <w:tcW w:type="dxa" w:w="210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b w:val="false"/>
                <w:bCs w:val="false"/>
              </w:rPr>
              <w:t xml:space="preserve">$61,800</w:t>
            </w:r>
          </w:p>
        </w:tc>
        <w:tc>
          <w:tcPr>
            <w:tcW w:type="dxa" w:w="205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b w:val="false"/>
                <w:bCs w:val="false"/>
              </w:rPr>
              <w:t xml:space="preserve">$30,900</w:t>
            </w:r>
          </w:p>
        </w:tc>
        <w:tc>
          <w:tcPr>
            <w:tcW w:type="dxa" w:w="201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b w:val="false"/>
                <w:bCs w:val="false"/>
              </w:rPr>
              <w:t xml:space="preserve">$46,350</w:t>
            </w:r>
          </w:p>
        </w:tc>
      </w:tr>
      <w:tr>
        <w:tc>
          <w:tcPr>
            <w:tcW w:type="dxa" w:w="320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tcPr>
          <w:p>
            <w:r>
              <w:rPr>
                <w:b/>
                <w:bCs/>
              </w:rPr>
              <w:t xml:space="preserve">Delivery (BVI → FL)</w:t>
            </w:r>
          </w:p>
        </w:tc>
        <w:tc>
          <w:tcPr>
            <w:tcW w:type="dxa" w:w="210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tcPr>
          <w:p>
            <w:r>
              <w:rPr>
                <w:b w:val="false"/>
                <w:bCs w:val="false"/>
              </w:rPr>
              <w:t xml:space="preserve">$11,500</w:t>
            </w:r>
          </w:p>
        </w:tc>
        <w:tc>
          <w:tcPr>
            <w:tcW w:type="dxa" w:w="205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tcPr>
          <w:p>
            <w:r>
              <w:rPr>
                <w:b w:val="false"/>
                <w:bCs w:val="false"/>
              </w:rPr>
              <w:t xml:space="preserve">$11,500</w:t>
            </w:r>
          </w:p>
        </w:tc>
        <w:tc>
          <w:tcPr>
            <w:tcW w:type="dxa" w:w="201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tcPr>
          <w:p>
            <w:r>
              <w:rPr>
                <w:b w:val="false"/>
                <w:bCs w:val="false"/>
              </w:rPr>
              <w:t xml:space="preserve">$11,500</w:t>
            </w:r>
          </w:p>
        </w:tc>
      </w:tr>
      <w:tr>
        <w:tc>
          <w:tcPr>
            <w:tcW w:type="dxa" w:w="320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b/>
                <w:bCs/>
              </w:rPr>
              <w:t xml:space="preserve">Customs broker</w:t>
            </w:r>
          </w:p>
        </w:tc>
        <w:tc>
          <w:tcPr>
            <w:tcW w:type="dxa" w:w="210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b w:val="false"/>
                <w:bCs w:val="false"/>
              </w:rPr>
              <w:t xml:space="preserve">$2,500</w:t>
            </w:r>
          </w:p>
        </w:tc>
        <w:tc>
          <w:tcPr>
            <w:tcW w:type="dxa" w:w="205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b w:val="false"/>
                <w:bCs w:val="false"/>
              </w:rPr>
              <w:t xml:space="preserve">$2,500</w:t>
            </w:r>
          </w:p>
        </w:tc>
        <w:tc>
          <w:tcPr>
            <w:tcW w:type="dxa" w:w="201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b w:val="false"/>
                <w:bCs w:val="false"/>
              </w:rPr>
              <w:t xml:space="preserve">$2,500</w:t>
            </w:r>
          </w:p>
        </w:tc>
      </w:tr>
      <w:tr>
        <w:tc>
          <w:tcPr>
            <w:tcW w:type="dxa" w:w="320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tcPr>
          <w:p>
            <w:r>
              <w:rPr>
                <w:b/>
                <w:bCs/>
              </w:rPr>
              <w:t xml:space="preserve">Total landed US cost</w:t>
            </w:r>
          </w:p>
        </w:tc>
        <w:tc>
          <w:tcPr>
            <w:tcW w:type="dxa" w:w="210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tcPr>
          <w:p>
            <w:r>
              <w:rPr>
                <w:b w:val="false"/>
                <w:bCs w:val="false"/>
              </w:rPr>
              <w:t xml:space="preserve">$397,300</w:t>
            </w:r>
          </w:p>
        </w:tc>
        <w:tc>
          <w:tcPr>
            <w:tcW w:type="dxa" w:w="205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tcPr>
          <w:p>
            <w:r>
              <w:rPr>
                <w:b w:val="false"/>
                <w:bCs w:val="false"/>
              </w:rPr>
              <w:t xml:space="preserve">$366,400</w:t>
            </w:r>
          </w:p>
        </w:tc>
        <w:tc>
          <w:tcPr>
            <w:tcW w:type="dxa" w:w="201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tcPr>
          <w:p>
            <w:r>
              <w:rPr>
                <w:b w:val="false"/>
                <w:bCs w:val="false"/>
              </w:rPr>
              <w:t xml:space="preserve">$381,850</w:t>
            </w:r>
          </w:p>
        </w:tc>
      </w:tr>
      <w:tr>
        <w:tc>
          <w:tcPr>
            <w:tcW w:type="dxa" w:w="320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b/>
                <w:bCs/>
              </w:rPr>
              <w:t xml:space="preserve">Assumed US retail (duty-paid)</w:t>
            </w:r>
          </w:p>
        </w:tc>
        <w:tc>
          <w:tcPr>
            <w:tcW w:type="dxa" w:w="210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b w:val="false"/>
                <w:bCs w:val="false"/>
              </w:rPr>
              <w:t xml:space="preserve">$575,000</w:t>
            </w:r>
          </w:p>
        </w:tc>
        <w:tc>
          <w:tcPr>
            <w:tcW w:type="dxa" w:w="205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b w:val="false"/>
                <w:bCs w:val="false"/>
              </w:rPr>
              <w:t xml:space="preserve">$550,000</w:t>
            </w:r>
          </w:p>
        </w:tc>
        <w:tc>
          <w:tcPr>
            <w:tcW w:type="dxa" w:w="201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b w:val="false"/>
                <w:bCs w:val="false"/>
              </w:rPr>
              <w:t xml:space="preserve">$550,000</w:t>
            </w:r>
          </w:p>
        </w:tc>
      </w:tr>
      <w:tr>
        <w:tc>
          <w:tcPr>
            <w:tcW w:type="dxa" w:w="320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tcPr>
          <w:p>
            <w:r>
              <w:rPr>
                <w:b/>
                <w:bCs/>
              </w:rPr>
              <w:t xml:space="preserve">Gross profit per flip</w:t>
            </w:r>
          </w:p>
        </w:tc>
        <w:tc>
          <w:tcPr>
            <w:tcW w:type="dxa" w:w="210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tcPr>
          <w:p>
            <w:r>
              <w:rPr>
                <w:b w:val="false"/>
                <w:bCs w:val="false"/>
              </w:rPr>
              <w:t xml:space="preserve">$177,700</w:t>
            </w:r>
          </w:p>
        </w:tc>
        <w:tc>
          <w:tcPr>
            <w:tcW w:type="dxa" w:w="205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tcPr>
          <w:p>
            <w:r>
              <w:rPr>
                <w:b w:val="false"/>
                <w:bCs w:val="false"/>
              </w:rPr>
              <w:t xml:space="preserve">$183,600</w:t>
            </w:r>
          </w:p>
        </w:tc>
        <w:tc>
          <w:tcPr>
            <w:tcW w:type="dxa" w:w="201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tcPr>
          <w:p>
            <w:r>
              <w:rPr>
                <w:b w:val="false"/>
                <w:bCs w:val="false"/>
              </w:rPr>
              <w:t xml:space="preserve">$168,150</w:t>
            </w:r>
          </w:p>
        </w:tc>
      </w:tr>
    </w:tbl>
    <w:p>
      <w:pPr>
        <w:spacing w:after="80" w:before="80"/>
      </w:pPr>
      <w:r>
        <w:rPr>
          <w:i/>
          <w:iCs/>
        </w:rPr>
        <w:t xml:space="preserve">At first glance, a lower tariff looks like it helps the flip. It does not, and here's why: the $550–600K US retail assumption was itself predicated on US buyers being unwilling or unable to import cheaply. If US buyers can now import at 10% themselves — or if sellers who were sitting on $309K BVI boats now start shipping them to the US under 10%, flooding US inventory — the US retail price drops toward parity with (BVI price + 10% + shipping). That is a real, observable dynamic in commoditized boat classes.</w:t>
      </w:r>
    </w:p>
    <w:p>
      <w:pPr>
        <w:spacing w:after="80" w:before="80"/>
      </w:pPr>
      <w:r>
        <w:rPr>
          <w:b/>
          <w:bCs/>
        </w:rPr>
        <w:t xml:space="preserve">Red-team translation: the flip is only profitable as long as US buyers still find it easier/cheaper to buy a boat that someone else has imported than to import one themselves. At 20–25% tariffs, that was obviously true. At 10%, it is a narrower value-add (customs logistics, delivery, inspection) and a smaller price premium. The "$150–200K gross margin per flip" is almost certainly too high under today's tariff.</w:t>
      </w:r>
    </w:p>
    <w:p>
      <w:pPr>
        <w:pStyle w:val="Heading2"/>
        <w:spacing w:after="120" w:before="280"/>
      </w:pPr>
      <w:r>
        <w:rPr>
          <w:b/>
          <w:bCs/>
        </w:rPr>
        <w:t xml:space="preserve">2.3 The Section 122 clock: the biggest single risk in this plan</w:t>
      </w:r>
    </w:p>
    <w:p>
      <w:pPr>
        <w:spacing w:after="80" w:before="80"/>
      </w:pPr>
      <w:r>
        <w:t xml:space="preserve">The Section 122 tariffs in effect today were issued for a 150-day term expiring in late July 2026. They can be extended, raised (Treasury already signaled 15%), reduced, or replaced with tariffs issued under Section 301 or other authorities. The plan does not model this uncertainty. It treats tariff as a static advantage.</w:t>
      </w:r>
    </w:p>
    <w:p>
      <w:pPr>
        <w:spacing w:after="80" w:before="80"/>
      </w:pPr>
      <w:r>
        <w:rPr>
          <w:b/>
          <w:bCs/>
        </w:rPr>
        <w:t xml:space="preserve">Red-team translation: a 5-year financial model with hurricane reserves and debt service has no right to also assume a 2026 tariff rate. The plan should run three tariff paths (0%, 10%, 15%+) and only commit if all three still work.</w:t>
      </w:r>
    </w:p>
    <w:p>
      <w:r>
        <w:br w:type="page"/>
      </w:r>
    </w:p>
    <w:p>
      <w:pPr>
        <w:pStyle w:val="Heading1"/>
        <w:spacing w:after="160" w:before="360"/>
      </w:pPr>
      <w:r>
        <w:rPr>
          <w:b/>
          <w:bCs/>
        </w:rPr>
        <w:t xml:space="preserve">3. Core Risk Deep-Dives</w:t>
      </w:r>
    </w:p>
    <w:p>
      <w:pPr>
        <w:pStyle w:val="Heading2"/>
        <w:spacing w:after="120" w:before="280"/>
      </w:pPr>
      <w:r>
        <w:rPr>
          <w:b/>
          <w:bCs/>
        </w:rPr>
        <w:t xml:space="preserve">3.1 Hurricane / Total Loss</w:t>
      </w:r>
    </w:p>
    <w:p>
      <w:pPr>
        <w:pStyle w:val="Heading3"/>
        <w:spacing w:after="80" w:before="200"/>
      </w:pPr>
      <w:r>
        <w:rPr>
          <w:b/>
          <w:bCs/>
        </w:rPr>
        <w:t xml:space="preserve">Historical base rates</w:t>
      </w:r>
    </w:p>
    <w:p>
      <w:pPr>
        <w:spacing w:after="80" w:before="80"/>
      </w:pPr>
      <w:r>
        <w:t xml:space="preserve">Atlantic major-hurricane risk in the Caribbean is not rare:</w:t>
      </w:r>
    </w:p>
    <w:p>
      <w:pPr>
        <w:pStyle w:val="ListParagraph"/>
        <w:numPr>
          <w:ilvl w:val="0"/>
          <w:numId w:val="3"/>
        </w:numPr>
        <w:spacing w:after="40" w:before="40"/>
      </w:pPr>
      <w:r>
        <w:t xml:space="preserve">2024 season forecast: 66% probability of a major hurricane tracking through the Caribbean Sea (long-period average is ~47%).</w:t>
      </w:r>
    </w:p>
    <w:p>
      <w:pPr>
        <w:pStyle w:val="ListParagraph"/>
        <w:numPr>
          <w:ilvl w:val="0"/>
          <w:numId w:val="3"/>
        </w:numPr>
        <w:spacing w:after="40" w:before="40"/>
      </w:pPr>
      <w:r>
        <w:t xml:space="preserve">2025 season forecast: ~56% probability. Accumulated Cyclone Energy projected at ~115% of long-term average.</w:t>
      </w:r>
    </w:p>
    <w:p>
      <w:pPr>
        <w:pStyle w:val="ListParagraph"/>
        <w:numPr>
          <w:ilvl w:val="0"/>
          <w:numId w:val="3"/>
        </w:numPr>
        <w:spacing w:after="40" w:before="40"/>
      </w:pPr>
      <w:r>
        <w:t xml:space="preserve">Hurricane Irma (Sep 2017): Moorings + Sunsail together declared 179 vessels constructive total loss in one storm. Essentially every charter company in BVI had bulk-of-fleet damage. Full recovery into charter operations took until late 2018 for most operators.</w:t>
      </w:r>
    </w:p>
    <w:p>
      <w:pPr>
        <w:pStyle w:val="ListParagraph"/>
        <w:numPr>
          <w:ilvl w:val="0"/>
          <w:numId w:val="3"/>
        </w:numPr>
        <w:spacing w:after="40" w:before="40"/>
      </w:pPr>
      <w:r>
        <w:t xml:space="preserve">Hurricane Beryl (Aug 2024): passed ~188 km northeast of Road Town — near-miss, but a reminder that the geographic exposure is unchanged.</w:t>
      </w:r>
    </w:p>
    <w:p>
      <w:pPr>
        <w:pStyle w:val="Heading3"/>
        <w:spacing w:after="80" w:before="200"/>
      </w:pPr>
      <w:r>
        <w:rPr>
          <w:b/>
          <w:bCs/>
        </w:rPr>
        <w:t xml:space="preserve">What a direct-hit scenario does to this business</w:t>
      </w:r>
    </w:p>
    <w:p>
      <w:pPr>
        <w:spacing w:after="80" w:before="80"/>
      </w:pPr>
      <w:r>
        <w:t xml:space="preserve">Assume an Irma-class storm causes a constructive total loss of the business's single boat in, say, year 3, when the mortgage balance is roughly $225K and the SBA balance is roughly $17K: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760"/>
        <w:gridCol w:w="3600"/>
      </w:tblGrid>
      <w:tr>
        <w:trPr>
          <w:tblHeader/>
        </w:trPr>
        <w:tc>
          <w:tcPr>
            <w:tcW w:type="dxa" w:w="5760"/>
            <w:tcBorders>
              <w:top w:val="single" w:color="BFBFBF" w:sz="4"/>
              <w:left w:val="single" w:color="BFBFBF" w:sz="4"/>
              <w:bottom w:val="single" w:color="BFBFBF" w:sz="4"/>
              <w:right w:val="single" w:color="BFBFBF" w:sz="4"/>
            </w:tcBorders>
            <w:shd w:fill="1F3A5F" w:val="clear"/>
            <w:tcMar>
              <w:top w:type="dxa" w:w="100"/>
              <w:left w:type="dxa" w:w="140"/>
              <w:bottom w:type="dxa" w:w="100"/>
              <w:right w:type="dxa" w:w="140"/>
            </w:tcMar>
          </w:tcPr>
          <w:p>
            <w:r>
              <w:rPr>
                <w:b/>
                <w:bCs/>
                <w:color w:val="FFFFFF"/>
              </w:rPr>
              <w:t xml:space="preserve">Line item</w:t>
            </w:r>
          </w:p>
        </w:tc>
        <w:tc>
          <w:tcPr>
            <w:tcW w:type="dxa" w:w="3600"/>
            <w:tcBorders>
              <w:top w:val="single" w:color="BFBFBF" w:sz="4"/>
              <w:left w:val="single" w:color="BFBFBF" w:sz="4"/>
              <w:bottom w:val="single" w:color="BFBFBF" w:sz="4"/>
              <w:right w:val="single" w:color="BFBFBF" w:sz="4"/>
            </w:tcBorders>
            <w:shd w:fill="1F3A5F" w:val="clear"/>
            <w:tcMar>
              <w:top w:type="dxa" w:w="100"/>
              <w:left w:type="dxa" w:w="140"/>
              <w:bottom w:type="dxa" w:w="100"/>
              <w:right w:type="dxa" w:w="140"/>
            </w:tcMar>
          </w:tcPr>
          <w:p>
            <w:r>
              <w:rPr>
                <w:b/>
                <w:bCs/>
                <w:color w:val="FFFFFF"/>
              </w:rPr>
              <w:t xml:space="preserve">Realistic downside</w:t>
            </w:r>
          </w:p>
        </w:tc>
      </w:tr>
      <w:tr>
        <w:tc>
          <w:tcPr>
            <w:tcW w:type="dxa" w:w="576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b/>
                <w:bCs/>
              </w:rPr>
              <w:t xml:space="preserve">Agreed hull value insured</w:t>
            </w:r>
          </w:p>
        </w:tc>
        <w:tc>
          <w:tcPr>
            <w:tcW w:type="dxa" w:w="360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b w:val="false"/>
                <w:bCs w:val="false"/>
              </w:rPr>
              <w:t xml:space="preserve">$300,000</w:t>
            </w:r>
          </w:p>
        </w:tc>
      </w:tr>
      <w:tr>
        <w:tc>
          <w:tcPr>
            <w:tcW w:type="dxa" w:w="576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tcPr>
          <w:p>
            <w:r>
              <w:rPr>
                <w:b/>
                <w:bCs/>
              </w:rPr>
              <w:t xml:space="preserve">Named-storm deductible (Caribbean standard 15%)</w:t>
            </w:r>
          </w:p>
        </w:tc>
        <w:tc>
          <w:tcPr>
            <w:tcW w:type="dxa" w:w="360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tcPr>
          <w:p>
            <w:r>
              <w:rPr>
                <w:b w:val="false"/>
                <w:bCs w:val="false"/>
              </w:rPr>
              <w:t xml:space="preserve">–$45,000</w:t>
            </w:r>
          </w:p>
        </w:tc>
      </w:tr>
      <w:tr>
        <w:tc>
          <w:tcPr>
            <w:tcW w:type="dxa" w:w="576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b/>
                <w:bCs/>
              </w:rPr>
              <w:t xml:space="preserve">Net insurance payout</w:t>
            </w:r>
          </w:p>
        </w:tc>
        <w:tc>
          <w:tcPr>
            <w:tcW w:type="dxa" w:w="360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b w:val="false"/>
                <w:bCs w:val="false"/>
              </w:rPr>
              <w:t xml:space="preserve">$255,000</w:t>
            </w:r>
          </w:p>
        </w:tc>
      </w:tr>
      <w:tr>
        <w:tc>
          <w:tcPr>
            <w:tcW w:type="dxa" w:w="576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tcPr>
          <w:p>
            <w:r>
              <w:rPr>
                <w:b/>
                <w:bCs/>
              </w:rPr>
              <w:t xml:space="preserve">Marine mortgage payoff (year 3)</w:t>
            </w:r>
          </w:p>
        </w:tc>
        <w:tc>
          <w:tcPr>
            <w:tcW w:type="dxa" w:w="360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tcPr>
          <w:p>
            <w:r>
              <w:rPr>
                <w:b w:val="false"/>
                <w:bCs w:val="false"/>
              </w:rPr>
              <w:t xml:space="preserve">–$225,000</w:t>
            </w:r>
          </w:p>
        </w:tc>
      </w:tr>
      <w:tr>
        <w:tc>
          <w:tcPr>
            <w:tcW w:type="dxa" w:w="576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b/>
                <w:bCs/>
              </w:rPr>
              <w:t xml:space="preserve">SBA loan payoff (year 3)</w:t>
            </w:r>
          </w:p>
        </w:tc>
        <w:tc>
          <w:tcPr>
            <w:tcW w:type="dxa" w:w="360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b w:val="false"/>
                <w:bCs w:val="false"/>
              </w:rPr>
              <w:t xml:space="preserve">–$17,000</w:t>
            </w:r>
          </w:p>
        </w:tc>
      </w:tr>
      <w:tr>
        <w:tc>
          <w:tcPr>
            <w:tcW w:type="dxa" w:w="576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tcPr>
          <w:p>
            <w:r>
              <w:rPr>
                <w:b/>
                <w:bCs/>
              </w:rPr>
              <w:t xml:space="preserve">Remaining to LLC / friends-family / partners</w:t>
            </w:r>
          </w:p>
        </w:tc>
        <w:tc>
          <w:tcPr>
            <w:tcW w:type="dxa" w:w="360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tcPr>
          <w:p>
            <w:r>
              <w:rPr>
                <w:b w:val="false"/>
                <w:bCs w:val="false"/>
              </w:rPr>
              <w:t xml:space="preserve">$13,000</w:t>
            </w:r>
          </w:p>
        </w:tc>
      </w:tr>
      <w:tr>
        <w:tc>
          <w:tcPr>
            <w:tcW w:type="dxa" w:w="576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b/>
                <w:bCs/>
              </w:rPr>
              <w:t xml:space="preserve">Charter revenue lost Year 3 (post-storm through next season)</w:t>
            </w:r>
          </w:p>
        </w:tc>
        <w:tc>
          <w:tcPr>
            <w:tcW w:type="dxa" w:w="360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b w:val="false"/>
                <w:bCs w:val="false"/>
              </w:rPr>
              <w:t xml:space="preserve">~$40–60K NOI foregone</w:t>
            </w:r>
          </w:p>
        </w:tc>
      </w:tr>
      <w:tr>
        <w:tc>
          <w:tcPr>
            <w:tcW w:type="dxa" w:w="576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tcPr>
          <w:p>
            <w:r>
              <w:rPr>
                <w:b/>
                <w:bCs/>
              </w:rPr>
              <w:t xml:space="preserve">LLC cash reserve needed to cover deductible before payout</w:t>
            </w:r>
          </w:p>
        </w:tc>
        <w:tc>
          <w:tcPr>
            <w:tcW w:type="dxa" w:w="360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tcPr>
          <w:p>
            <w:r>
              <w:rPr>
                <w:b w:val="false"/>
                <w:bCs w:val="false"/>
              </w:rPr>
              <w:t xml:space="preserve">$45,000</w:t>
            </w:r>
          </w:p>
        </w:tc>
      </w:tr>
      <w:tr>
        <w:tc>
          <w:tcPr>
            <w:tcW w:type="dxa" w:w="576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b/>
                <w:bCs/>
              </w:rPr>
              <w:t xml:space="preserve">Friends &amp; family $30–40K promissory notes outstanding</w:t>
            </w:r>
          </w:p>
        </w:tc>
        <w:tc>
          <w:tcPr>
            <w:tcW w:type="dxa" w:w="360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b w:val="false"/>
                <w:bCs w:val="false"/>
              </w:rPr>
              <w:t xml:space="preserve">Likely unpaid from residual $13K</w:t>
            </w:r>
          </w:p>
        </w:tc>
      </w:tr>
    </w:tbl>
    <w:p>
      <w:pPr>
        <w:spacing w:after="80" w:before="80"/>
      </w:pPr>
      <w:r>
        <w:rPr>
          <w:i/>
          <w:iCs/>
        </w:rPr>
        <w:t xml:space="preserve">Note: The plan describes its worst-case as "partners walk away having lost time but limited personal capital." That is only true if three things go right: (a) insurance pays promptly, (b) the agreed value is set high enough to cover all debt, and (c) the LLC has the deductible in cash. Miss any of those and the personal guarantees are live.</w:t>
      </w:r>
    </w:p>
    <w:p>
      <w:pPr>
        <w:pStyle w:val="Heading3"/>
        <w:spacing w:after="80" w:before="200"/>
      </w:pPr>
      <w:r>
        <w:rPr>
          <w:b/>
          <w:bCs/>
        </w:rPr>
        <w:t xml:space="preserve">The insurance market itself is a risk</w:t>
      </w:r>
    </w:p>
    <w:p>
      <w:pPr>
        <w:pStyle w:val="ListParagraph"/>
        <w:numPr>
          <w:ilvl w:val="0"/>
          <w:numId w:val="3"/>
        </w:numPr>
        <w:spacing w:after="40" w:before="40"/>
      </w:pPr>
      <w:r>
        <w:t xml:space="preserve">Caribbean marine insurance market has consolidated from 4+ A-rated insurers (2018) to 2 A-rated insurers today. That is structural capacity loss driven by claim volume.</w:t>
      </w:r>
    </w:p>
    <w:p>
      <w:pPr>
        <w:pStyle w:val="ListParagraph"/>
        <w:numPr>
          <w:ilvl w:val="0"/>
          <w:numId w:val="3"/>
        </w:numPr>
        <w:spacing w:after="40" w:before="40"/>
      </w:pPr>
      <w:r>
        <w:t xml:space="preserve">Named-storm deductibles in the Caribbean are commonly 15–20% of hull value, not the 2–5% the plan mentions. On a $309K boat, the out-of-pocket before any payout can be $46K–$62K.</w:t>
      </w:r>
    </w:p>
    <w:p>
      <w:pPr>
        <w:pStyle w:val="ListParagraph"/>
        <w:numPr>
          <w:ilvl w:val="0"/>
          <w:numId w:val="3"/>
        </w:numPr>
        <w:spacing w:after="40" w:before="40"/>
      </w:pPr>
      <w:r>
        <w:t xml:space="preserve">Charter (commercial) coverage is typically 2–4x private-use premium. The plan's $7–9K premium estimate is on the low end for a charter-endorsed BVI-based catamaran with named-storm coverage.</w:t>
      </w:r>
    </w:p>
    <w:p>
      <w:pPr>
        <w:pStyle w:val="ListParagraph"/>
        <w:numPr>
          <w:ilvl w:val="0"/>
          <w:numId w:val="3"/>
        </w:numPr>
        <w:spacing w:after="40" w:before="40"/>
      </w:pPr>
      <w:r>
        <w:t xml:space="preserve">Most common claim denial reason: undisclosed charter use. The plan does describe a commercial endorsement, but the partnership must never let a weekend private-use slip the endorsement.</w:t>
      </w:r>
    </w:p>
    <w:p>
      <w:pPr>
        <w:pStyle w:val="Heading2"/>
        <w:spacing w:after="120" w:before="280"/>
      </w:pPr>
      <w:r>
        <w:rPr>
          <w:b/>
          <w:bCs/>
        </w:rPr>
        <w:t xml:space="preserve">3.2 Occupancy Shortfall</w:t>
      </w:r>
    </w:p>
    <w:p>
      <w:pPr>
        <w:spacing w:after="80" w:before="80"/>
      </w:pPr>
      <w:r>
        <w:t xml:space="preserve">The base plan runs a breakeven at 55% occupancy (23 weeks booked) and a base case at 65% (27 weeks). A partner should stress-test both numbers.</w:t>
      </w:r>
    </w:p>
    <w:p>
      <w:pPr>
        <w:pStyle w:val="Heading3"/>
        <w:spacing w:after="80" w:before="200"/>
      </w:pPr>
      <w:r>
        <w:rPr>
          <w:b/>
          <w:bCs/>
        </w:rPr>
        <w:t xml:space="preserve">What the data actually shows</w:t>
      </w:r>
    </w:p>
    <w:p>
      <w:pPr>
        <w:pStyle w:val="ListParagraph"/>
        <w:numPr>
          <w:ilvl w:val="0"/>
          <w:numId w:val="3"/>
        </w:numPr>
        <w:spacing w:after="40" w:before="40"/>
      </w:pPr>
      <w:r>
        <w:t xml:space="preserve">The headline figure — "catamarans 85% average occupancy vs 75% for monohulls" (Booking Manager) — is a fleet-wide, across-all-destinations marketing figure. It is not a realized number for a single ex-charter boat in its first year in performance program.</w:t>
      </w:r>
    </w:p>
    <w:p>
      <w:pPr>
        <w:pStyle w:val="ListParagraph"/>
        <w:numPr>
          <w:ilvl w:val="0"/>
          <w:numId w:val="3"/>
        </w:numPr>
        <w:spacing w:after="40" w:before="40"/>
      </w:pPr>
      <w:r>
        <w:t xml:space="preserve">The 12–18 months advance booking windows you see quoted apply to top-of-fleet crewed boats and premium bareboats. Ex-charter phase-out boats in year 1 of a new program are typically booked last, by price-sensitive customers, into shoulder-season weeks.</w:t>
      </w:r>
    </w:p>
    <w:p>
      <w:pPr>
        <w:pStyle w:val="ListParagraph"/>
        <w:numPr>
          <w:ilvl w:val="0"/>
          <w:numId w:val="3"/>
        </w:numPr>
        <w:spacing w:after="40" w:before="40"/>
      </w:pPr>
      <w:r>
        <w:t xml:space="preserve">No fleet manager publishes realized per-boat occupancy in their performance program. This is the single most important number the partnership has to diligence in writing before close — not accept verbally.</w:t>
      </w:r>
    </w:p>
    <w:p>
      <w:pPr>
        <w:pStyle w:val="Heading3"/>
        <w:spacing w:after="80" w:before="200"/>
      </w:pPr>
      <w:r>
        <w:rPr>
          <w:b/>
          <w:bCs/>
        </w:rPr>
        <w:t xml:space="preserve">The realistic bear case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2860"/>
        <w:gridCol w:w="2850"/>
        <w:gridCol w:w="2850"/>
      </w:tblGrid>
      <w:tr>
        <w:trPr>
          <w:tblHeader/>
        </w:trPr>
        <w:tc>
          <w:tcPr>
            <w:tcW w:type="dxa" w:w="800"/>
            <w:tcBorders>
              <w:top w:val="single" w:color="BFBFBF" w:sz="4"/>
              <w:left w:val="single" w:color="BFBFBF" w:sz="4"/>
              <w:bottom w:val="single" w:color="BFBFBF" w:sz="4"/>
              <w:right w:val="single" w:color="BFBFBF" w:sz="4"/>
            </w:tcBorders>
            <w:shd w:fill="1F3A5F" w:val="clear"/>
            <w:tcMar>
              <w:top w:type="dxa" w:w="100"/>
              <w:left w:type="dxa" w:w="140"/>
              <w:bottom w:type="dxa" w:w="100"/>
              <w:right w:type="dxa" w:w="140"/>
            </w:tcMar>
          </w:tcPr>
          <w:p>
            <w:r>
              <w:rPr>
                <w:b/>
                <w:bCs/>
                <w:color w:val="FFFFFF"/>
              </w:rPr>
              <w:t xml:space="preserve">Year</w:t>
            </w:r>
          </w:p>
        </w:tc>
        <w:tc>
          <w:tcPr>
            <w:tcW w:type="dxa" w:w="2860"/>
            <w:tcBorders>
              <w:top w:val="single" w:color="BFBFBF" w:sz="4"/>
              <w:left w:val="single" w:color="BFBFBF" w:sz="4"/>
              <w:bottom w:val="single" w:color="BFBFBF" w:sz="4"/>
              <w:right w:val="single" w:color="BFBFBF" w:sz="4"/>
            </w:tcBorders>
            <w:shd w:fill="1F3A5F" w:val="clear"/>
            <w:tcMar>
              <w:top w:type="dxa" w:w="100"/>
              <w:left w:type="dxa" w:w="140"/>
              <w:bottom w:type="dxa" w:w="100"/>
              <w:right w:type="dxa" w:w="140"/>
            </w:tcMar>
          </w:tcPr>
          <w:p>
            <w:r>
              <w:rPr>
                <w:b/>
                <w:bCs/>
                <w:color w:val="FFFFFF"/>
              </w:rPr>
              <w:t xml:space="preserve">Plan base (65%)</w:t>
            </w:r>
          </w:p>
        </w:tc>
        <w:tc>
          <w:tcPr>
            <w:tcW w:type="dxa" w:w="2850"/>
            <w:tcBorders>
              <w:top w:val="single" w:color="BFBFBF" w:sz="4"/>
              <w:left w:val="single" w:color="BFBFBF" w:sz="4"/>
              <w:bottom w:val="single" w:color="BFBFBF" w:sz="4"/>
              <w:right w:val="single" w:color="BFBFBF" w:sz="4"/>
            </w:tcBorders>
            <w:shd w:fill="1F3A5F" w:val="clear"/>
            <w:tcMar>
              <w:top w:type="dxa" w:w="100"/>
              <w:left w:type="dxa" w:w="140"/>
              <w:bottom w:type="dxa" w:w="100"/>
              <w:right w:type="dxa" w:w="140"/>
            </w:tcMar>
          </w:tcPr>
          <w:p>
            <w:r>
              <w:rPr>
                <w:b/>
                <w:bCs/>
                <w:color w:val="FFFFFF"/>
              </w:rPr>
              <w:t xml:space="preserve">Realistic bear (45% Y1 → 55% steady)</w:t>
            </w:r>
          </w:p>
        </w:tc>
        <w:tc>
          <w:tcPr>
            <w:tcW w:type="dxa" w:w="2850"/>
            <w:tcBorders>
              <w:top w:val="single" w:color="BFBFBF" w:sz="4"/>
              <w:left w:val="single" w:color="BFBFBF" w:sz="4"/>
              <w:bottom w:val="single" w:color="BFBFBF" w:sz="4"/>
              <w:right w:val="single" w:color="BFBFBF" w:sz="4"/>
            </w:tcBorders>
            <w:shd w:fill="1F3A5F" w:val="clear"/>
            <w:tcMar>
              <w:top w:type="dxa" w:w="100"/>
              <w:left w:type="dxa" w:w="140"/>
              <w:bottom w:type="dxa" w:w="100"/>
              <w:right w:type="dxa" w:w="140"/>
            </w:tcMar>
          </w:tcPr>
          <w:p>
            <w:r>
              <w:rPr>
                <w:b/>
                <w:bCs/>
                <w:color w:val="FFFFFF"/>
              </w:rPr>
              <w:t xml:space="preserve">Hurricane-hit year (0% post-storm partial season)</w:t>
            </w:r>
          </w:p>
        </w:tc>
      </w:tr>
      <w:tr>
        <w:tc>
          <w:tcPr>
            <w:tcW w:type="dxa" w:w="80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b/>
                <w:bCs/>
              </w:rPr>
              <w:t xml:space="preserve">1</w:t>
            </w:r>
          </w:p>
        </w:tc>
        <w:tc>
          <w:tcPr>
            <w:tcW w:type="dxa" w:w="286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b w:val="false"/>
                <w:bCs w:val="false"/>
              </w:rPr>
              <w:t xml:space="preserve">+$16,002</w:t>
            </w:r>
          </w:p>
        </w:tc>
        <w:tc>
          <w:tcPr>
            <w:tcW w:type="dxa" w:w="285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b w:val="false"/>
                <w:bCs w:val="false"/>
              </w:rPr>
              <w:t xml:space="preserve">–$19,000 (est)</w:t>
            </w:r>
          </w:p>
        </w:tc>
        <w:tc>
          <w:tcPr>
            <w:tcW w:type="dxa" w:w="285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b w:val="false"/>
                <w:bCs w:val="false"/>
              </w:rPr>
              <w:t xml:space="preserve">N/A</w:t>
            </w:r>
          </w:p>
        </w:tc>
      </w:tr>
      <w:tr>
        <w:tc>
          <w:tcPr>
            <w:tcW w:type="dxa" w:w="80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tcPr>
          <w:p>
            <w:r>
              <w:rPr>
                <w:b/>
                <w:bCs/>
              </w:rPr>
              <w:t xml:space="preserve">2</w:t>
            </w:r>
          </w:p>
        </w:tc>
        <w:tc>
          <w:tcPr>
            <w:tcW w:type="dxa" w:w="286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tcPr>
          <w:p>
            <w:r>
              <w:rPr>
                <w:b w:val="false"/>
                <w:bCs w:val="false"/>
              </w:rPr>
              <w:t xml:space="preserve">+$16,969</w:t>
            </w:r>
          </w:p>
        </w:tc>
        <w:tc>
          <w:tcPr>
            <w:tcW w:type="dxa" w:w="285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tcPr>
          <w:p>
            <w:r>
              <w:rPr>
                <w:b w:val="false"/>
                <w:bCs w:val="false"/>
              </w:rPr>
              <w:t xml:space="preserve">+$1,000 (breakeven)</w:t>
            </w:r>
          </w:p>
        </w:tc>
        <w:tc>
          <w:tcPr>
            <w:tcW w:type="dxa" w:w="285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tcPr>
          <w:p>
            <w:r>
              <w:rPr>
                <w:b w:val="false"/>
                <w:bCs w:val="false"/>
              </w:rPr>
              <w:t xml:space="preserve">N/A</w:t>
            </w:r>
          </w:p>
        </w:tc>
      </w:tr>
      <w:tr>
        <w:tc>
          <w:tcPr>
            <w:tcW w:type="dxa" w:w="80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b/>
                <w:bCs/>
              </w:rPr>
              <w:t xml:space="preserve">3</w:t>
            </w:r>
          </w:p>
        </w:tc>
        <w:tc>
          <w:tcPr>
            <w:tcW w:type="dxa" w:w="286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b w:val="false"/>
                <w:bCs w:val="false"/>
              </w:rPr>
              <w:t xml:space="preserve">+$17,951</w:t>
            </w:r>
          </w:p>
        </w:tc>
        <w:tc>
          <w:tcPr>
            <w:tcW w:type="dxa" w:w="285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b w:val="false"/>
                <w:bCs w:val="false"/>
              </w:rPr>
              <w:t xml:space="preserve">+$5,000</w:t>
            </w:r>
          </w:p>
        </w:tc>
        <w:tc>
          <w:tcPr>
            <w:tcW w:type="dxa" w:w="285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b w:val="false"/>
                <w:bCs w:val="false"/>
              </w:rPr>
              <w:t xml:space="preserve">Total loss scenario (see 3.1)</w:t>
            </w:r>
          </w:p>
        </w:tc>
      </w:tr>
      <w:tr>
        <w:tc>
          <w:tcPr>
            <w:tcW w:type="dxa" w:w="80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tcPr>
          <w:p>
            <w:r>
              <w:rPr>
                <w:b/>
                <w:bCs/>
              </w:rPr>
              <w:t xml:space="preserve">4</w:t>
            </w:r>
          </w:p>
        </w:tc>
        <w:tc>
          <w:tcPr>
            <w:tcW w:type="dxa" w:w="286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tcPr>
          <w:p>
            <w:r>
              <w:rPr>
                <w:b w:val="false"/>
                <w:bCs w:val="false"/>
              </w:rPr>
              <w:t xml:space="preserve">+$18,947</w:t>
            </w:r>
          </w:p>
        </w:tc>
        <w:tc>
          <w:tcPr>
            <w:tcW w:type="dxa" w:w="285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tcPr>
          <w:p>
            <w:r>
              <w:rPr>
                <w:b w:val="false"/>
                <w:bCs w:val="false"/>
              </w:rPr>
              <w:t xml:space="preserve">+$9,000</w:t>
            </w:r>
          </w:p>
        </w:tc>
        <w:tc>
          <w:tcPr>
            <w:tcW w:type="dxa" w:w="285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tcPr>
          <w:p>
            <w:r>
              <w:rPr>
                <w:b w:val="false"/>
                <w:bCs w:val="false"/>
              </w:rPr>
              <w:t xml:space="preserve">—</w:t>
            </w:r>
          </w:p>
        </w:tc>
      </w:tr>
      <w:tr>
        <w:tc>
          <w:tcPr>
            <w:tcW w:type="dxa" w:w="80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b/>
                <w:bCs/>
              </w:rPr>
              <w:t xml:space="preserve">5</w:t>
            </w:r>
          </w:p>
        </w:tc>
        <w:tc>
          <w:tcPr>
            <w:tcW w:type="dxa" w:w="286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b w:val="false"/>
                <w:bCs w:val="false"/>
              </w:rPr>
              <w:t xml:space="preserve">+$19,958</w:t>
            </w:r>
          </w:p>
        </w:tc>
        <w:tc>
          <w:tcPr>
            <w:tcW w:type="dxa" w:w="285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b w:val="false"/>
                <w:bCs w:val="false"/>
              </w:rPr>
              <w:t xml:space="preserve">+$13,000</w:t>
            </w:r>
          </w:p>
        </w:tc>
        <w:tc>
          <w:tcPr>
            <w:tcW w:type="dxa" w:w="285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b w:val="false"/>
                <w:bCs w:val="false"/>
              </w:rPr>
              <w:t xml:space="preserve">—</w:t>
            </w:r>
          </w:p>
        </w:tc>
      </w:tr>
      <w:tr>
        <w:tc>
          <w:tcPr>
            <w:tcW w:type="dxa" w:w="80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tcPr>
          <w:p>
            <w:r>
              <w:rPr>
                <w:b/>
                <w:bCs/>
              </w:rPr>
              <w:t xml:space="preserve">Cum 5-yr</w:t>
            </w:r>
          </w:p>
        </w:tc>
        <w:tc>
          <w:tcPr>
            <w:tcW w:type="dxa" w:w="286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tcPr>
          <w:p>
            <w:r>
              <w:rPr>
                <w:b w:val="false"/>
                <w:bCs w:val="false"/>
              </w:rPr>
              <w:t xml:space="preserve">+$89,827</w:t>
            </w:r>
          </w:p>
        </w:tc>
        <w:tc>
          <w:tcPr>
            <w:tcW w:type="dxa" w:w="285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tcPr>
          <w:p>
            <w:r>
              <w:rPr>
                <w:b w:val="false"/>
                <w:bCs w:val="false"/>
              </w:rPr>
              <w:t xml:space="preserve">+$9,000</w:t>
            </w:r>
          </w:p>
        </w:tc>
        <w:tc>
          <w:tcPr>
            <w:tcW w:type="dxa" w:w="285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tcPr>
          <w:p>
            <w:r>
              <w:rPr>
                <w:b w:val="false"/>
                <w:bCs w:val="false"/>
              </w:rPr>
              <w:t xml:space="preserve">Loss + debt wind-down</w:t>
            </w:r>
          </w:p>
        </w:tc>
      </w:tr>
    </w:tbl>
    <w:p>
      <w:pPr>
        <w:spacing w:after="80" w:before="80"/>
      </w:pPr>
      <w:r>
        <w:rPr>
          <w:i/>
          <w:iCs/>
        </w:rPr>
        <w:t xml:space="preserve">The realistic bear case is what a partner should assume when underwriting the friends-and-family notes. It produces break-even, not disaster — which is actually the plan's own sales line. But it also means the $30–40K friends-and-family notes don't get repaid in the first 18 months the way Section 9.2 of the plan implies; they get repaid on a 4–5 year tail if at all.</w:t>
      </w:r>
    </w:p>
    <w:p>
      <w:pPr>
        <w:pStyle w:val="Heading2"/>
        <w:spacing w:after="120" w:before="280"/>
      </w:pPr>
      <w:r>
        <w:rPr>
          <w:b/>
          <w:bCs/>
        </w:rPr>
        <w:t xml:space="preserve">3.3 Resale / Flip Market Softening</w:t>
      </w:r>
    </w:p>
    <w:p>
      <w:pPr>
        <w:pStyle w:val="Heading3"/>
        <w:spacing w:after="80" w:before="200"/>
      </w:pPr>
      <w:r>
        <w:rPr>
          <w:b/>
          <w:bCs/>
        </w:rPr>
        <w:t xml:space="preserve">Current state of the used catamaran market</w:t>
      </w:r>
    </w:p>
    <w:p>
      <w:pPr>
        <w:pStyle w:val="ListParagraph"/>
        <w:numPr>
          <w:ilvl w:val="0"/>
          <w:numId w:val="3"/>
        </w:numPr>
        <w:spacing w:after="40" w:before="40"/>
      </w:pPr>
      <w:r>
        <w:t xml:space="preserve">249 Leopards listed on YachtWorld as of April 2026. 246 pre-owned. Inventory is wide in both BVI and US.</w:t>
      </w:r>
    </w:p>
    <w:p>
      <w:pPr>
        <w:pStyle w:val="ListParagraph"/>
        <w:numPr>
          <w:ilvl w:val="0"/>
          <w:numId w:val="3"/>
        </w:numPr>
        <w:spacing w:after="40" w:before="40"/>
      </w:pPr>
      <w:r>
        <w:t xml:space="preserve">Prices visibly declining in 2025 and 2026. 7–8 year old 4-cabin Lagoon 42s trading sub-€250K vs. ~€300K a year ago.</w:t>
      </w:r>
    </w:p>
    <w:p>
      <w:pPr>
        <w:pStyle w:val="ListParagraph"/>
        <w:numPr>
          <w:ilvl w:val="0"/>
          <w:numId w:val="3"/>
        </w:numPr>
        <w:spacing w:after="40" w:before="40"/>
      </w:pPr>
      <w:r>
        <w:t xml:space="preserve">Supply of 3-cabin owner-version boats (traditionally the scarce/premium configuration) is at record highs, compressing the premium that 3-cabin boats used to command.</w:t>
      </w:r>
    </w:p>
    <w:p>
      <w:pPr>
        <w:pStyle w:val="ListParagraph"/>
        <w:numPr>
          <w:ilvl w:val="0"/>
          <w:numId w:val="3"/>
        </w:numPr>
        <w:spacing w:after="40" w:before="40"/>
      </w:pPr>
      <w:r>
        <w:t xml:space="preserve">Ex-charter 4-cabin boats — which is exactly the target inventory of this business — are the segment losing value fastest.</w:t>
      </w:r>
    </w:p>
    <w:p>
      <w:pPr>
        <w:pStyle w:val="ListParagraph"/>
        <w:numPr>
          <w:ilvl w:val="0"/>
          <w:numId w:val="3"/>
        </w:numPr>
        <w:spacing w:after="40" w:before="40"/>
      </w:pPr>
      <w:r>
        <w:t xml:space="preserve">Industry rule of thumb from charter ownership studies: ~60–65% of original value after 5 years in charter. On a $459K-new Leopard 40, that is $275–299K — which is approximately where the plan's acquisitions are priced. The plan's entry price is NOT a bargain versus norm; it is the norm.</w:t>
      </w:r>
    </w:p>
    <w:p>
      <w:pPr>
        <w:pStyle w:val="Heading3"/>
        <w:spacing w:after="80" w:before="200"/>
      </w:pPr>
      <w:r>
        <w:rPr>
          <w:b/>
          <w:bCs/>
        </w:rPr>
        <w:t xml:space="preserve">What this does to the flip thesis</w:t>
      </w:r>
    </w:p>
    <w:p>
      <w:pPr>
        <w:spacing w:after="80" w:before="80"/>
      </w:pPr>
      <w:r>
        <w:t xml:space="preserve">The plan's flip assumes a $550–600K US retail duty-paid value. Every piece of recent data compresses that number:</w:t>
      </w:r>
    </w:p>
    <w:p>
      <w:pPr>
        <w:pStyle w:val="ListParagraph"/>
        <w:numPr>
          <w:ilvl w:val="0"/>
          <w:numId w:val="3"/>
        </w:numPr>
        <w:spacing w:after="40" w:before="40"/>
      </w:pPr>
      <w:r>
        <w:t xml:space="preserve">Tariff reduction from 20% to 10% reduces what US retail can sustain (see Section 2.2).</w:t>
      </w:r>
    </w:p>
    <w:p>
      <w:pPr>
        <w:pStyle w:val="ListParagraph"/>
        <w:numPr>
          <w:ilvl w:val="0"/>
          <w:numId w:val="3"/>
        </w:numPr>
        <w:spacing w:after="40" w:before="40"/>
      </w:pPr>
      <w:r>
        <w:t xml:space="preserve">IEEPA refunds re-inject cheap imported inventory into the US market over the next 6–12 months.</w:t>
      </w:r>
    </w:p>
    <w:p>
      <w:pPr>
        <w:pStyle w:val="ListParagraph"/>
        <w:numPr>
          <w:ilvl w:val="0"/>
          <w:numId w:val="3"/>
        </w:numPr>
        <w:spacing w:after="40" w:before="40"/>
      </w:pPr>
      <w:r>
        <w:t xml:space="preserve">Broad softening of used catamaran prices reduces replacement-cost anchor for appraisals.</w:t>
      </w:r>
    </w:p>
    <w:p>
      <w:pPr>
        <w:pStyle w:val="ListParagraph"/>
        <w:numPr>
          <w:ilvl w:val="0"/>
          <w:numId w:val="3"/>
        </w:numPr>
        <w:spacing w:after="40" w:before="40"/>
      </w:pPr>
      <w:r>
        <w:t xml:space="preserve">Rising days-on-market in a declining market means flipping turns into carrying — which is fine if charter keeps paying, but it is not the dual-engine model pitched.</w:t>
      </w:r>
    </w:p>
    <w:p>
      <w:pPr>
        <w:pStyle w:val="Heading2"/>
        <w:spacing w:after="120" w:before="280"/>
      </w:pPr>
      <w:r>
        <w:rPr>
          <w:b/>
          <w:bCs/>
        </w:rPr>
        <w:t xml:space="preserve">3.4 Debt Stack &amp; Personal Exposure</w:t>
      </w:r>
    </w:p>
    <w:p>
      <w:pPr>
        <w:pStyle w:val="Heading3"/>
        <w:spacing w:after="80" w:before="200"/>
      </w:pPr>
      <w:r>
        <w:rPr>
          <w:b/>
          <w:bCs/>
        </w:rPr>
        <w:t xml:space="preserve">Current rate environment</w:t>
      </w:r>
    </w:p>
    <w:p>
      <w:pPr>
        <w:pStyle w:val="ListParagraph"/>
        <w:numPr>
          <w:ilvl w:val="0"/>
          <w:numId w:val="3"/>
        </w:numPr>
        <w:spacing w:after="40" w:before="40"/>
      </w:pPr>
      <w:r>
        <w:t xml:space="preserve">Prime rate April 2026: 6.75%.</w:t>
      </w:r>
    </w:p>
    <w:p>
      <w:pPr>
        <w:pStyle w:val="ListParagraph"/>
        <w:numPr>
          <w:ilvl w:val="0"/>
          <w:numId w:val="3"/>
        </w:numPr>
        <w:spacing w:after="40" w:before="40"/>
      </w:pPr>
      <w:r>
        <w:t xml:space="preserve">SBA 7(a) rate range in April 2026: approximately 6.75% to 9.75% for loans over $350K. The plan assumes ~10%, which is at the high end of today's market — so the debt service may actually be lower than modeled, a positive surprise.</w:t>
      </w:r>
    </w:p>
    <w:p>
      <w:pPr>
        <w:pStyle w:val="ListParagraph"/>
        <w:numPr>
          <w:ilvl w:val="0"/>
          <w:numId w:val="3"/>
        </w:numPr>
        <w:spacing w:after="40" w:before="40"/>
      </w:pPr>
      <w:r>
        <w:t xml:space="preserve">Marine mortgage at 9% over 15 years for BVI-based charter asset remains realistic; some lenders require US-flagging and/or will not lend against a BVI-domiciled commercial vessel at all, which narrows lender pool.</w:t>
      </w:r>
    </w:p>
    <w:p>
      <w:pPr>
        <w:pStyle w:val="Heading3"/>
        <w:spacing w:after="80" w:before="200"/>
      </w:pPr>
      <w:r>
        <w:rPr>
          <w:b/>
          <w:bCs/>
        </w:rPr>
        <w:t xml:space="preserve">What default actually looks like</w:t>
      </w:r>
    </w:p>
    <w:p>
      <w:pPr>
        <w:pStyle w:val="ListParagraph"/>
        <w:numPr>
          <w:ilvl w:val="0"/>
          <w:numId w:val="3"/>
        </w:numPr>
        <w:spacing w:after="40" w:before="40"/>
      </w:pPr>
      <w:r>
        <w:t xml:space="preserve">If LLC defaults on either loan, the lender files for guaranty payment after 60 days. SBA pays the guaranteed portion to the lender; then SBA pursues collection from the LLC.</w:t>
      </w:r>
    </w:p>
    <w:p>
      <w:pPr>
        <w:pStyle w:val="ListParagraph"/>
        <w:numPr>
          <w:ilvl w:val="0"/>
          <w:numId w:val="3"/>
        </w:numPr>
        <w:spacing w:after="40" w:before="40"/>
      </w:pPr>
      <w:r>
        <w:t xml:space="preserve">Collateral is liquidated first — in this case, the boat. BVI-located, foreign-flagged boat collateral is harder/slower to liquidate than US-based.</w:t>
      </w:r>
    </w:p>
    <w:p>
      <w:pPr>
        <w:pStyle w:val="ListParagraph"/>
        <w:numPr>
          <w:ilvl w:val="0"/>
          <w:numId w:val="3"/>
        </w:numPr>
        <w:spacing w:after="40" w:before="40"/>
      </w:pPr>
      <w:r>
        <w:t xml:space="preserve">After liquidation, if there is a shortfall, lender files suit against personal guarantors, obtains judgment, and the SBA debt converts to secured personal debt pursued through wage garnishment, liens, and asset seizure.</w:t>
      </w:r>
    </w:p>
    <w:p>
      <w:pPr>
        <w:pStyle w:val="ListParagraph"/>
        <w:numPr>
          <w:ilvl w:val="0"/>
          <w:numId w:val="3"/>
        </w:numPr>
        <w:spacing w:after="40" w:before="40"/>
      </w:pPr>
      <w:r>
        <w:t xml:space="preserve">There is no walk-away on personally-guaranteed SBA debt — it follows both partners even through Chapter 7 in many cases (SBA debt is often non-dischargeable depending on circumstances of default).</w:t>
      </w:r>
    </w:p>
    <w:p>
      <w:pPr>
        <w:pStyle w:val="Heading2"/>
        <w:spacing w:after="120" w:before="280"/>
      </w:pPr>
      <w:r>
        <w:rPr>
          <w:b/>
          <w:bCs/>
        </w:rPr>
        <w:t xml:space="preserve">3.5 Partnership / Operational Risk</w:t>
      </w:r>
    </w:p>
    <w:p>
      <w:pPr>
        <w:pStyle w:val="ListParagraph"/>
        <w:numPr>
          <w:ilvl w:val="0"/>
          <w:numId w:val="3"/>
        </w:numPr>
        <w:spacing w:after="40" w:before="40"/>
      </w:pPr>
      <w:r>
        <w:t xml:space="preserve">Captain's license is a genuine operational asset — but it only helps if the captain partner actually captains. If the partner holds the license but rarely makes the crewed charter trips, the premium revenue never materializes, and the partnership bears operating cost for a benefit it doesn't harvest.</w:t>
      </w:r>
    </w:p>
    <w:p>
      <w:pPr>
        <w:pStyle w:val="ListParagraph"/>
        <w:numPr>
          <w:ilvl w:val="0"/>
          <w:numId w:val="3"/>
        </w:numPr>
        <w:spacing w:after="40" w:before="40"/>
      </w:pPr>
      <w:r>
        <w:t xml:space="preserve">Fleet manager selection is decisive and reversible only at contract milestones. A mid-season exit from Conch/TMM/Seabbatical is not clean and leaves the boat stranded during peak weeks.</w:t>
      </w:r>
    </w:p>
    <w:p>
      <w:pPr>
        <w:pStyle w:val="ListParagraph"/>
        <w:numPr>
          <w:ilvl w:val="0"/>
          <w:numId w:val="3"/>
        </w:numPr>
        <w:spacing w:after="40" w:before="40"/>
      </w:pPr>
      <w:r>
        <w:t xml:space="preserve">BVI operational friction: parts, skilled labor, haul-out slots, customs for spares — all are slower and more expensive than US Florida equivalents. Annual maintenance reserve at 3% of hull value ($9,720) is a realistic minimum, and the plan correctly includes it, but unbudgeted repair events ($15–30K) are common and not reserved.</w:t>
      </w:r>
    </w:p>
    <w:p>
      <w:pPr>
        <w:pStyle w:val="ListParagraph"/>
        <w:numPr>
          <w:ilvl w:val="0"/>
          <w:numId w:val="3"/>
        </w:numPr>
        <w:spacing w:after="40" w:before="40"/>
      </w:pPr>
      <w:r>
        <w:t xml:space="preserve">The operating agreement must handle: a partner disability/death; a partner wanting out early; a disagreement on whether to flip or hold; an insurance-claim dispute. If it doesn't, a partner fight becomes a boat sale under duress.</w:t>
      </w:r>
    </w:p>
    <w:p>
      <w:r>
        <w:br w:type="page"/>
      </w:r>
    </w:p>
    <w:p>
      <w:pPr>
        <w:pStyle w:val="Heading1"/>
        <w:spacing w:after="160" w:before="360"/>
      </w:pPr>
      <w:r>
        <w:rPr>
          <w:b/>
          <w:bCs/>
        </w:rPr>
        <w:t xml:space="preserve">4. Stress-Tested Financials</w:t>
      </w:r>
    </w:p>
    <w:p>
      <w:pPr>
        <w:spacing w:after="80" w:before="80"/>
      </w:pPr>
      <w:r>
        <w:t xml:space="preserve">This section rebuilds the key financial lines under a realistic downside scenario. Every number is tied to a source in Section 6.</w:t>
      </w:r>
    </w:p>
    <w:p>
      <w:pPr>
        <w:pStyle w:val="Heading2"/>
        <w:spacing w:after="120" w:before="280"/>
      </w:pPr>
      <w:r>
        <w:rPr>
          <w:b/>
          <w:bCs/>
        </w:rPr>
        <w:t xml:space="preserve">4.1 Downside P&amp;L — Year 1 (single boat, bareboat, BVI performance program)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760"/>
        <w:gridCol w:w="1800"/>
        <w:gridCol w:w="1800"/>
        <w:gridCol w:w="3000"/>
      </w:tblGrid>
      <w:tr>
        <w:trPr>
          <w:tblHeader/>
        </w:trPr>
        <w:tc>
          <w:tcPr>
            <w:tcW w:type="dxa" w:w="2760"/>
            <w:tcBorders>
              <w:top w:val="single" w:color="BFBFBF" w:sz="4"/>
              <w:left w:val="single" w:color="BFBFBF" w:sz="4"/>
              <w:bottom w:val="single" w:color="BFBFBF" w:sz="4"/>
              <w:right w:val="single" w:color="BFBFBF" w:sz="4"/>
            </w:tcBorders>
            <w:shd w:fill="1F3A5F" w:val="clear"/>
            <w:tcMar>
              <w:top w:type="dxa" w:w="100"/>
              <w:left w:type="dxa" w:w="140"/>
              <w:bottom w:type="dxa" w:w="100"/>
              <w:right w:type="dxa" w:w="140"/>
            </w:tcMar>
          </w:tcPr>
          <w:p>
            <w:r>
              <w:rPr>
                <w:b/>
                <w:bCs/>
                <w:color w:val="FFFFFF"/>
              </w:rPr>
              <w:t xml:space="preserve">Line</w:t>
            </w:r>
          </w:p>
        </w:tc>
        <w:tc>
          <w:tcPr>
            <w:tcW w:type="dxa" w:w="1800"/>
            <w:tcBorders>
              <w:top w:val="single" w:color="BFBFBF" w:sz="4"/>
              <w:left w:val="single" w:color="BFBFBF" w:sz="4"/>
              <w:bottom w:val="single" w:color="BFBFBF" w:sz="4"/>
              <w:right w:val="single" w:color="BFBFBF" w:sz="4"/>
            </w:tcBorders>
            <w:shd w:fill="1F3A5F" w:val="clear"/>
            <w:tcMar>
              <w:top w:type="dxa" w:w="100"/>
              <w:left w:type="dxa" w:w="140"/>
              <w:bottom w:type="dxa" w:w="100"/>
              <w:right w:type="dxa" w:w="140"/>
            </w:tcMar>
          </w:tcPr>
          <w:p>
            <w:r>
              <w:rPr>
                <w:b/>
                <w:bCs/>
                <w:color w:val="FFFFFF"/>
              </w:rPr>
              <w:t xml:space="preserve">Plan base case</w:t>
            </w:r>
          </w:p>
        </w:tc>
        <w:tc>
          <w:tcPr>
            <w:tcW w:type="dxa" w:w="1800"/>
            <w:tcBorders>
              <w:top w:val="single" w:color="BFBFBF" w:sz="4"/>
              <w:left w:val="single" w:color="BFBFBF" w:sz="4"/>
              <w:bottom w:val="single" w:color="BFBFBF" w:sz="4"/>
              <w:right w:val="single" w:color="BFBFBF" w:sz="4"/>
            </w:tcBorders>
            <w:shd w:fill="1F3A5F" w:val="clear"/>
            <w:tcMar>
              <w:top w:type="dxa" w:w="100"/>
              <w:left w:type="dxa" w:w="140"/>
              <w:bottom w:type="dxa" w:w="100"/>
              <w:right w:type="dxa" w:w="140"/>
            </w:tcMar>
          </w:tcPr>
          <w:p>
            <w:r>
              <w:rPr>
                <w:b/>
                <w:bCs/>
                <w:color w:val="FFFFFF"/>
              </w:rPr>
              <w:t xml:space="preserve">Realistic downside</w:t>
            </w:r>
          </w:p>
        </w:tc>
        <w:tc>
          <w:tcPr>
            <w:tcW w:type="dxa" w:w="3000"/>
            <w:tcBorders>
              <w:top w:val="single" w:color="BFBFBF" w:sz="4"/>
              <w:left w:val="single" w:color="BFBFBF" w:sz="4"/>
              <w:bottom w:val="single" w:color="BFBFBF" w:sz="4"/>
              <w:right w:val="single" w:color="BFBFBF" w:sz="4"/>
            </w:tcBorders>
            <w:shd w:fill="1F3A5F" w:val="clear"/>
            <w:tcMar>
              <w:top w:type="dxa" w:w="100"/>
              <w:left w:type="dxa" w:w="140"/>
              <w:bottom w:type="dxa" w:w="100"/>
              <w:right w:type="dxa" w:w="140"/>
            </w:tcMar>
          </w:tcPr>
          <w:p>
            <w:r>
              <w:rPr>
                <w:b/>
                <w:bCs/>
                <w:color w:val="FFFFFF"/>
              </w:rPr>
              <w:t xml:space="preserve">Source / rationale</w:t>
            </w:r>
          </w:p>
        </w:tc>
      </w:tr>
      <w:tr>
        <w:tc>
          <w:tcPr>
            <w:tcW w:type="dxa" w:w="276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b/>
                <w:bCs/>
              </w:rPr>
              <w:t xml:space="preserve">Occupancy</w:t>
            </w:r>
          </w:p>
        </w:tc>
        <w:tc>
          <w:tcPr>
            <w:tcW w:type="dxa" w:w="180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b w:val="false"/>
                <w:bCs w:val="false"/>
              </w:rPr>
              <w:t xml:space="preserve">65% (27 weeks)</w:t>
            </w:r>
          </w:p>
        </w:tc>
        <w:tc>
          <w:tcPr>
            <w:tcW w:type="dxa" w:w="180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b w:val="false"/>
                <w:bCs w:val="false"/>
              </w:rPr>
              <w:t xml:space="preserve">45% (19 weeks)</w:t>
            </w:r>
          </w:p>
        </w:tc>
        <w:tc>
          <w:tcPr>
            <w:tcW w:type="dxa" w:w="300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b w:val="false"/>
                <w:bCs w:val="false"/>
              </w:rPr>
              <w:t xml:space="preserve">Year 1 ramp; ex-charter boat in new program; no reviews yet</w:t>
            </w:r>
          </w:p>
        </w:tc>
      </w:tr>
      <w:tr>
        <w:tc>
          <w:tcPr>
            <w:tcW w:type="dxa" w:w="276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tcPr>
          <w:p>
            <w:r>
              <w:rPr>
                <w:b/>
                <w:bCs/>
              </w:rPr>
              <w:t xml:space="preserve">Gross weekly charter rate (blended)</w:t>
            </w:r>
          </w:p>
        </w:tc>
        <w:tc>
          <w:tcPr>
            <w:tcW w:type="dxa" w:w="180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tcPr>
          <w:p>
            <w:r>
              <w:rPr>
                <w:b w:val="false"/>
                <w:bCs w:val="false"/>
              </w:rPr>
              <w:t xml:space="preserve">$4,800</w:t>
            </w:r>
          </w:p>
        </w:tc>
        <w:tc>
          <w:tcPr>
            <w:tcW w:type="dxa" w:w="180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tcPr>
          <w:p>
            <w:r>
              <w:rPr>
                <w:b w:val="false"/>
                <w:bCs w:val="false"/>
              </w:rPr>
              <w:t xml:space="preserve">$4,400</w:t>
            </w:r>
          </w:p>
        </w:tc>
        <w:tc>
          <w:tcPr>
            <w:tcW w:type="dxa" w:w="300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tcPr>
          <w:p>
            <w:r>
              <w:rPr>
                <w:b w:val="false"/>
                <w:bCs w:val="false"/>
              </w:rPr>
              <w:t xml:space="preserve">Soft shoulder-season pricing in year 1</w:t>
            </w:r>
          </w:p>
        </w:tc>
      </w:tr>
      <w:tr>
        <w:tc>
          <w:tcPr>
            <w:tcW w:type="dxa" w:w="276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b/>
                <w:bCs/>
              </w:rPr>
              <w:t xml:space="preserve">Gross charter revenue</w:t>
            </w:r>
          </w:p>
        </w:tc>
        <w:tc>
          <w:tcPr>
            <w:tcW w:type="dxa" w:w="180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b w:val="false"/>
                <w:bCs w:val="false"/>
              </w:rPr>
              <w:t xml:space="preserve">$131,040</w:t>
            </w:r>
          </w:p>
        </w:tc>
        <w:tc>
          <w:tcPr>
            <w:tcW w:type="dxa" w:w="180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b w:val="false"/>
                <w:bCs w:val="false"/>
              </w:rPr>
              <w:t xml:space="preserve">$83,600</w:t>
            </w:r>
          </w:p>
        </w:tc>
        <w:tc>
          <w:tcPr>
            <w:tcW w:type="dxa" w:w="300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b w:val="false"/>
                <w:bCs w:val="false"/>
              </w:rPr>
              <w:t xml:space="preserve">Calculated</w:t>
            </w:r>
          </w:p>
        </w:tc>
      </w:tr>
      <w:tr>
        <w:tc>
          <w:tcPr>
            <w:tcW w:type="dxa" w:w="276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tcPr>
          <w:p>
            <w:r>
              <w:rPr>
                <w:b/>
                <w:bCs/>
              </w:rPr>
              <w:t xml:space="preserve">Owner's share (75%)</w:t>
            </w:r>
          </w:p>
        </w:tc>
        <w:tc>
          <w:tcPr>
            <w:tcW w:type="dxa" w:w="180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tcPr>
          <w:p>
            <w:r>
              <w:rPr>
                <w:b w:val="false"/>
                <w:bCs w:val="false"/>
              </w:rPr>
              <w:t xml:space="preserve">$98,280</w:t>
            </w:r>
          </w:p>
        </w:tc>
        <w:tc>
          <w:tcPr>
            <w:tcW w:type="dxa" w:w="180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tcPr>
          <w:p>
            <w:r>
              <w:rPr>
                <w:b w:val="false"/>
                <w:bCs w:val="false"/>
              </w:rPr>
              <w:t xml:space="preserve">$62,700</w:t>
            </w:r>
          </w:p>
        </w:tc>
        <w:tc>
          <w:tcPr>
            <w:tcW w:type="dxa" w:w="300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tcPr>
          <w:p>
            <w:r>
              <w:rPr>
                <w:b w:val="false"/>
                <w:bCs w:val="false"/>
              </w:rPr>
              <w:t xml:space="preserve">Per Conch/Seabbatical-style splits</w:t>
            </w:r>
          </w:p>
        </w:tc>
      </w:tr>
      <w:tr>
        <w:tc>
          <w:tcPr>
            <w:tcW w:type="dxa" w:w="276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b/>
                <w:bCs/>
              </w:rPr>
              <w:t xml:space="preserve">Insurance (commercial, named storm)</w:t>
            </w:r>
          </w:p>
        </w:tc>
        <w:tc>
          <w:tcPr>
            <w:tcW w:type="dxa" w:w="180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b w:val="false"/>
                <w:bCs w:val="false"/>
              </w:rPr>
              <w:t xml:space="preserve">$8,100</w:t>
            </w:r>
          </w:p>
        </w:tc>
        <w:tc>
          <w:tcPr>
            <w:tcW w:type="dxa" w:w="180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b w:val="false"/>
                <w:bCs w:val="false"/>
              </w:rPr>
              <w:t xml:space="preserve">$11,500</w:t>
            </w:r>
          </w:p>
        </w:tc>
        <w:tc>
          <w:tcPr>
            <w:tcW w:type="dxa" w:w="300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b w:val="false"/>
                <w:bCs w:val="false"/>
              </w:rPr>
              <w:t xml:space="preserve">Charter premium typically 1.5–3% hull × commercial multiplier; only 2 A-rated insurers in region</w:t>
            </w:r>
          </w:p>
        </w:tc>
      </w:tr>
      <w:tr>
        <w:tc>
          <w:tcPr>
            <w:tcW w:type="dxa" w:w="276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tcPr>
          <w:p>
            <w:r>
              <w:rPr>
                <w:b/>
                <w:bCs/>
              </w:rPr>
              <w:t xml:space="preserve">Maintenance reserve (3%)</w:t>
            </w:r>
          </w:p>
        </w:tc>
        <w:tc>
          <w:tcPr>
            <w:tcW w:type="dxa" w:w="180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tcPr>
          <w:p>
            <w:r>
              <w:rPr>
                <w:b w:val="false"/>
                <w:bCs w:val="false"/>
              </w:rPr>
              <w:t xml:space="preserve">$9,720</w:t>
            </w:r>
          </w:p>
        </w:tc>
        <w:tc>
          <w:tcPr>
            <w:tcW w:type="dxa" w:w="180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tcPr>
          <w:p>
            <w:r>
              <w:rPr>
                <w:b w:val="false"/>
                <w:bCs w:val="false"/>
              </w:rPr>
              <w:t xml:space="preserve">$11,000</w:t>
            </w:r>
          </w:p>
        </w:tc>
        <w:tc>
          <w:tcPr>
            <w:tcW w:type="dxa" w:w="300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tcPr>
          <w:p>
            <w:r>
              <w:rPr>
                <w:b w:val="false"/>
                <w:bCs w:val="false"/>
              </w:rPr>
              <w:t xml:space="preserve">3% of value plus ~$1.3K unbudgeted contingency</w:t>
            </w:r>
          </w:p>
        </w:tc>
      </w:tr>
      <w:tr>
        <w:tc>
          <w:tcPr>
            <w:tcW w:type="dxa" w:w="276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b/>
                <w:bCs/>
              </w:rPr>
              <w:t xml:space="preserve">Slip / marina</w:t>
            </w:r>
          </w:p>
        </w:tc>
        <w:tc>
          <w:tcPr>
            <w:tcW w:type="dxa" w:w="180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b w:val="false"/>
                <w:bCs w:val="false"/>
              </w:rPr>
              <w:t xml:space="preserve">$6,600</w:t>
            </w:r>
          </w:p>
        </w:tc>
        <w:tc>
          <w:tcPr>
            <w:tcW w:type="dxa" w:w="180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b w:val="false"/>
                <w:bCs w:val="false"/>
              </w:rPr>
              <w:t xml:space="preserve">$7,800</w:t>
            </w:r>
          </w:p>
        </w:tc>
        <w:tc>
          <w:tcPr>
            <w:tcW w:type="dxa" w:w="300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b w:val="false"/>
                <w:bCs w:val="false"/>
              </w:rPr>
              <w:t xml:space="preserve">BVI rates trending up with demand</w:t>
            </w:r>
          </w:p>
        </w:tc>
      </w:tr>
      <w:tr>
        <w:tc>
          <w:tcPr>
            <w:tcW w:type="dxa" w:w="276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tcPr>
          <w:p>
            <w:r>
              <w:rPr>
                <w:b/>
                <w:bCs/>
              </w:rPr>
              <w:t xml:space="preserve">Haul-out &amp; bottom paint</w:t>
            </w:r>
          </w:p>
        </w:tc>
        <w:tc>
          <w:tcPr>
            <w:tcW w:type="dxa" w:w="180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tcPr>
          <w:p>
            <w:r>
              <w:rPr>
                <w:b w:val="false"/>
                <w:bCs w:val="false"/>
              </w:rPr>
              <w:t xml:space="preserve">$4,800</w:t>
            </w:r>
          </w:p>
        </w:tc>
        <w:tc>
          <w:tcPr>
            <w:tcW w:type="dxa" w:w="180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tcPr>
          <w:p>
            <w:r>
              <w:rPr>
                <w:b w:val="false"/>
                <w:bCs w:val="false"/>
              </w:rPr>
              <w:t xml:space="preserve">$5,500</w:t>
            </w:r>
          </w:p>
        </w:tc>
        <w:tc>
          <w:tcPr>
            <w:tcW w:type="dxa" w:w="300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tcPr>
          <w:p>
            <w:r>
              <w:rPr>
                <w:b w:val="false"/>
                <w:bCs w:val="false"/>
              </w:rPr>
              <w:t xml:space="preserve">Caribbean parts/labor inflation</w:t>
            </w:r>
          </w:p>
        </w:tc>
      </w:tr>
      <w:tr>
        <w:tc>
          <w:tcPr>
            <w:tcW w:type="dxa" w:w="276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b/>
                <w:bCs/>
              </w:rPr>
              <w:t xml:space="preserve">Provisioning / turnover / misc</w:t>
            </w:r>
          </w:p>
        </w:tc>
        <w:tc>
          <w:tcPr>
            <w:tcW w:type="dxa" w:w="180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b w:val="false"/>
                <w:bCs w:val="false"/>
              </w:rPr>
              <w:t xml:space="preserve">$5,500</w:t>
            </w:r>
          </w:p>
        </w:tc>
        <w:tc>
          <w:tcPr>
            <w:tcW w:type="dxa" w:w="180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b w:val="false"/>
                <w:bCs w:val="false"/>
              </w:rPr>
              <w:t xml:space="preserve">$6,500</w:t>
            </w:r>
          </w:p>
        </w:tc>
        <w:tc>
          <w:tcPr>
            <w:tcW w:type="dxa" w:w="300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b w:val="false"/>
                <w:bCs w:val="false"/>
              </w:rPr>
              <w:t xml:space="preserve">Inflation</w:t>
            </w:r>
          </w:p>
        </w:tc>
      </w:tr>
      <w:tr>
        <w:tc>
          <w:tcPr>
            <w:tcW w:type="dxa" w:w="276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tcPr>
          <w:p>
            <w:r>
              <w:rPr>
                <w:b/>
                <w:bCs/>
              </w:rPr>
              <w:t xml:space="preserve">Total operating expenses</w:t>
            </w:r>
          </w:p>
        </w:tc>
        <w:tc>
          <w:tcPr>
            <w:tcW w:type="dxa" w:w="180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tcPr>
          <w:p>
            <w:r>
              <w:rPr>
                <w:b w:val="false"/>
                <w:bCs w:val="false"/>
              </w:rPr>
              <w:t xml:space="preserve">$34,720</w:t>
            </w:r>
          </w:p>
        </w:tc>
        <w:tc>
          <w:tcPr>
            <w:tcW w:type="dxa" w:w="180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tcPr>
          <w:p>
            <w:r>
              <w:rPr>
                <w:b w:val="false"/>
                <w:bCs w:val="false"/>
              </w:rPr>
              <w:t xml:space="preserve">$42,300</w:t>
            </w:r>
          </w:p>
        </w:tc>
        <w:tc>
          <w:tcPr>
            <w:tcW w:type="dxa" w:w="300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tcPr>
          <w:p>
            <w:r>
              <w:rPr>
                <w:b w:val="false"/>
                <w:bCs w:val="false"/>
              </w:rPr>
              <w:t xml:space="preserve">Sum</w:t>
            </w:r>
          </w:p>
        </w:tc>
      </w:tr>
      <w:tr>
        <w:tc>
          <w:tcPr>
            <w:tcW w:type="dxa" w:w="276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b/>
                <w:bCs/>
              </w:rPr>
              <w:t xml:space="preserve">NOI before debt service</w:t>
            </w:r>
          </w:p>
        </w:tc>
        <w:tc>
          <w:tcPr>
            <w:tcW w:type="dxa" w:w="180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b w:val="false"/>
                <w:bCs w:val="false"/>
              </w:rPr>
              <w:t xml:space="preserve">$63,560</w:t>
            </w:r>
          </w:p>
        </w:tc>
        <w:tc>
          <w:tcPr>
            <w:tcW w:type="dxa" w:w="180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b w:val="false"/>
                <w:bCs w:val="false"/>
              </w:rPr>
              <w:t xml:space="preserve">$20,400</w:t>
            </w:r>
          </w:p>
        </w:tc>
        <w:tc>
          <w:tcPr>
            <w:tcW w:type="dxa" w:w="300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b w:val="false"/>
                <w:bCs w:val="false"/>
              </w:rPr>
              <w:t xml:space="preserve"/>
            </w:r>
          </w:p>
        </w:tc>
      </w:tr>
      <w:tr>
        <w:tc>
          <w:tcPr>
            <w:tcW w:type="dxa" w:w="276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tcPr>
          <w:p>
            <w:r>
              <w:rPr>
                <w:b/>
                <w:bCs/>
              </w:rPr>
              <w:t xml:space="preserve">Debt service (marine + SBA)</w:t>
            </w:r>
          </w:p>
        </w:tc>
        <w:tc>
          <w:tcPr>
            <w:tcW w:type="dxa" w:w="180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tcPr>
          <w:p>
            <w:r>
              <w:rPr>
                <w:b w:val="false"/>
                <w:bCs w:val="false"/>
              </w:rPr>
              <w:t xml:space="preserve">$48,455</w:t>
            </w:r>
          </w:p>
        </w:tc>
        <w:tc>
          <w:tcPr>
            <w:tcW w:type="dxa" w:w="180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tcPr>
          <w:p>
            <w:r>
              <w:rPr>
                <w:b w:val="false"/>
                <w:bCs w:val="false"/>
              </w:rPr>
              <w:t xml:space="preserve">$48,455</w:t>
            </w:r>
          </w:p>
        </w:tc>
        <w:tc>
          <w:tcPr>
            <w:tcW w:type="dxa" w:w="300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tcPr>
          <w:p>
            <w:r>
              <w:rPr>
                <w:b w:val="false"/>
                <w:bCs w:val="false"/>
              </w:rPr>
              <w:t xml:space="preserve">Unchanged</w:t>
            </w:r>
          </w:p>
        </w:tc>
      </w:tr>
      <w:tr>
        <w:tc>
          <w:tcPr>
            <w:tcW w:type="dxa" w:w="276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b/>
                <w:bCs/>
              </w:rPr>
              <w:t xml:space="preserve">Cash flow to LLC</w:t>
            </w:r>
          </w:p>
        </w:tc>
        <w:tc>
          <w:tcPr>
            <w:tcW w:type="dxa" w:w="180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b w:val="false"/>
                <w:bCs w:val="false"/>
              </w:rPr>
              <w:t xml:space="preserve">+$15,105</w:t>
            </w:r>
          </w:p>
        </w:tc>
        <w:tc>
          <w:tcPr>
            <w:tcW w:type="dxa" w:w="180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b w:val="false"/>
                <w:bCs w:val="false"/>
              </w:rPr>
              <w:t xml:space="preserve">–$28,055</w:t>
            </w:r>
          </w:p>
        </w:tc>
        <w:tc>
          <w:tcPr>
            <w:tcW w:type="dxa" w:w="300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b w:val="false"/>
                <w:bCs w:val="false"/>
              </w:rPr>
              <w:t xml:space="preserve"/>
            </w:r>
          </w:p>
        </w:tc>
      </w:tr>
    </w:tbl>
    <w:p>
      <w:pPr>
        <w:spacing w:after="80" w:before="80"/>
      </w:pPr>
      <w:r>
        <w:rPr>
          <w:i/>
          <w:iCs/>
        </w:rPr>
        <w:t xml:space="preserve">Red-team translation: in a realistic Year 1 — not a disaster year, just a normal ramp-up with honest market-rate insurance and expense inflation — the LLC is cash-flow negative by about $28K. That negative has to be covered by the friends-and-family cash, not by the LLC's own cash flow. The plan shows the notes being serviced and retired from charter income; under the realistic bear, the notes are being consumed in Year 1.</w:t>
      </w:r>
    </w:p>
    <w:p>
      <w:pPr>
        <w:pStyle w:val="Heading2"/>
        <w:spacing w:after="120" w:before="280"/>
      </w:pPr>
      <w:r>
        <w:rPr>
          <w:b/>
          <w:bCs/>
        </w:rPr>
        <w:t xml:space="preserve">4.2 Tariff-adjusted flip economics</w:t>
      </w:r>
    </w:p>
    <w:p>
      <w:pPr>
        <w:spacing w:after="80" w:before="80"/>
      </w:pPr>
      <w:r>
        <w:t xml:space="preserve">See Section 2.2 for full detail. The short version: under today's 10% tariff, the flip spread is compressed by the mechanism that US retail pricing is driven by replacement-cost-to-import. Partners should not underwrite this business on any assumed flip profit greater than $80–120K per boat, not the $145–200K in the plan.</w:t>
      </w:r>
    </w:p>
    <w:p>
      <w:pPr>
        <w:pStyle w:val="Heading2"/>
        <w:spacing w:after="120" w:before="280"/>
      </w:pPr>
      <w:r>
        <w:rPr>
          <w:b/>
          <w:bCs/>
        </w:rPr>
        <w:t xml:space="preserve">4.3 Hurricane-year P&amp;L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760"/>
        <w:gridCol w:w="3600"/>
      </w:tblGrid>
      <w:tr>
        <w:trPr>
          <w:tblHeader/>
        </w:trPr>
        <w:tc>
          <w:tcPr>
            <w:tcW w:type="dxa" w:w="5760"/>
            <w:tcBorders>
              <w:top w:val="single" w:color="BFBFBF" w:sz="4"/>
              <w:left w:val="single" w:color="BFBFBF" w:sz="4"/>
              <w:bottom w:val="single" w:color="BFBFBF" w:sz="4"/>
              <w:right w:val="single" w:color="BFBFBF" w:sz="4"/>
            </w:tcBorders>
            <w:shd w:fill="1F3A5F" w:val="clear"/>
            <w:tcMar>
              <w:top w:type="dxa" w:w="100"/>
              <w:left w:type="dxa" w:w="140"/>
              <w:bottom w:type="dxa" w:w="100"/>
              <w:right w:type="dxa" w:w="140"/>
            </w:tcMar>
          </w:tcPr>
          <w:p>
            <w:r>
              <w:rPr>
                <w:b/>
                <w:bCs/>
                <w:color w:val="FFFFFF"/>
              </w:rPr>
              <w:t xml:space="preserve">Line</w:t>
            </w:r>
          </w:p>
        </w:tc>
        <w:tc>
          <w:tcPr>
            <w:tcW w:type="dxa" w:w="3600"/>
            <w:tcBorders>
              <w:top w:val="single" w:color="BFBFBF" w:sz="4"/>
              <w:left w:val="single" w:color="BFBFBF" w:sz="4"/>
              <w:bottom w:val="single" w:color="BFBFBF" w:sz="4"/>
              <w:right w:val="single" w:color="BFBFBF" w:sz="4"/>
            </w:tcBorders>
            <w:shd w:fill="1F3A5F" w:val="clear"/>
            <w:tcMar>
              <w:top w:type="dxa" w:w="100"/>
              <w:left w:type="dxa" w:w="140"/>
              <w:bottom w:type="dxa" w:w="100"/>
              <w:right w:type="dxa" w:w="140"/>
            </w:tcMar>
          </w:tcPr>
          <w:p>
            <w:r>
              <w:rPr>
                <w:b/>
                <w:bCs/>
                <w:color w:val="FFFFFF"/>
              </w:rPr>
              <w:t xml:space="preserve">Hurricane-year realistic</w:t>
            </w:r>
          </w:p>
        </w:tc>
      </w:tr>
      <w:tr>
        <w:tc>
          <w:tcPr>
            <w:tcW w:type="dxa" w:w="576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b/>
                <w:bCs/>
              </w:rPr>
              <w:t xml:space="preserve">Charter revenue (partial season before storm + season lost after)</w:t>
            </w:r>
          </w:p>
        </w:tc>
        <w:tc>
          <w:tcPr>
            <w:tcW w:type="dxa" w:w="360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b w:val="false"/>
                <w:bCs w:val="false"/>
              </w:rPr>
              <w:t xml:space="preserve">$30,000–$45,000 owner share</w:t>
            </w:r>
          </w:p>
        </w:tc>
      </w:tr>
      <w:tr>
        <w:tc>
          <w:tcPr>
            <w:tcW w:type="dxa" w:w="576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tcPr>
          <w:p>
            <w:r>
              <w:rPr>
                <w:b/>
                <w:bCs/>
              </w:rPr>
              <w:t xml:space="preserve">Operating expenses (pre-storm + securing)</w:t>
            </w:r>
          </w:p>
        </w:tc>
        <w:tc>
          <w:tcPr>
            <w:tcW w:type="dxa" w:w="360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tcPr>
          <w:p>
            <w:r>
              <w:rPr>
                <w:b w:val="false"/>
                <w:bCs w:val="false"/>
              </w:rPr>
              <w:t xml:space="preserve">$25,000</w:t>
            </w:r>
          </w:p>
        </w:tc>
      </w:tr>
      <w:tr>
        <w:tc>
          <w:tcPr>
            <w:tcW w:type="dxa" w:w="576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b/>
                <w:bCs/>
              </w:rPr>
              <w:t xml:space="preserve">Hurricane deductible (15% of $300K hull)</w:t>
            </w:r>
          </w:p>
        </w:tc>
        <w:tc>
          <w:tcPr>
            <w:tcW w:type="dxa" w:w="360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b w:val="false"/>
                <w:bCs w:val="false"/>
              </w:rPr>
              <w:t xml:space="preserve">$45,000 out of pocket</w:t>
            </w:r>
          </w:p>
        </w:tc>
      </w:tr>
      <w:tr>
        <w:tc>
          <w:tcPr>
            <w:tcW w:type="dxa" w:w="576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tcPr>
          <w:p>
            <w:r>
              <w:rPr>
                <w:b/>
                <w:bCs/>
              </w:rPr>
              <w:t xml:space="preserve">Insurance payout (if not total loss)</w:t>
            </w:r>
          </w:p>
        </w:tc>
        <w:tc>
          <w:tcPr>
            <w:tcW w:type="dxa" w:w="360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tcPr>
          <w:p>
            <w:r>
              <w:rPr>
                <w:b w:val="false"/>
                <w:bCs w:val="false"/>
              </w:rPr>
              <w:t xml:space="preserve">Pays repair minus deductible, typically 6–18 months</w:t>
            </w:r>
          </w:p>
        </w:tc>
      </w:tr>
      <w:tr>
        <w:tc>
          <w:tcPr>
            <w:tcW w:type="dxa" w:w="576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b/>
                <w:bCs/>
              </w:rPr>
              <w:t xml:space="preserve">Debt service during repair window</w:t>
            </w:r>
          </w:p>
        </w:tc>
        <w:tc>
          <w:tcPr>
            <w:tcW w:type="dxa" w:w="360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b w:val="false"/>
                <w:bCs w:val="false"/>
              </w:rPr>
              <w:t xml:space="preserve">$48,455 (unchanged)</w:t>
            </w:r>
          </w:p>
        </w:tc>
      </w:tr>
      <w:tr>
        <w:tc>
          <w:tcPr>
            <w:tcW w:type="dxa" w:w="576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tcPr>
          <w:p>
            <w:r>
              <w:rPr>
                <w:b/>
                <w:bCs/>
              </w:rPr>
              <w:t xml:space="preserve">Net cash need from LLC / guarantors in a damage-but-not-total-loss year</w:t>
            </w:r>
          </w:p>
        </w:tc>
        <w:tc>
          <w:tcPr>
            <w:tcW w:type="dxa" w:w="360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tcPr>
          <w:p>
            <w:r>
              <w:rPr>
                <w:b w:val="false"/>
                <w:bCs w:val="false"/>
              </w:rPr>
              <w:t xml:space="preserve">$50,000–$90,000</w:t>
            </w:r>
          </w:p>
        </w:tc>
      </w:tr>
      <w:tr>
        <w:tc>
          <w:tcPr>
            <w:tcW w:type="dxa" w:w="576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b/>
                <w:bCs/>
              </w:rPr>
              <w:t xml:space="preserve">Probability of any named storm affecting BVI in a given year</w:t>
            </w:r>
          </w:p>
        </w:tc>
        <w:tc>
          <w:tcPr>
            <w:tcW w:type="dxa" w:w="360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b w:val="false"/>
                <w:bCs w:val="false"/>
              </w:rPr>
              <w:t xml:space="preserve">~30–40% based on historical climatology</w:t>
            </w:r>
          </w:p>
        </w:tc>
      </w:tr>
      <w:tr>
        <w:tc>
          <w:tcPr>
            <w:tcW w:type="dxa" w:w="576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tcPr>
          <w:p>
            <w:r>
              <w:rPr>
                <w:b/>
                <w:bCs/>
              </w:rPr>
              <w:t xml:space="preserve">Probability of major hurricane track through Caribbean (2024/25 forecasts)</w:t>
            </w:r>
          </w:p>
        </w:tc>
        <w:tc>
          <w:tcPr>
            <w:tcW w:type="dxa" w:w="360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tcPr>
          <w:p>
            <w:r>
              <w:rPr>
                <w:b w:val="false"/>
                <w:bCs w:val="false"/>
              </w:rPr>
              <w:t xml:space="preserve">56–66%</w:t>
            </w:r>
          </w:p>
        </w:tc>
      </w:tr>
    </w:tbl>
    <w:p>
      <w:pPr>
        <w:pStyle w:val="Heading2"/>
        <w:spacing w:after="120" w:before="280"/>
      </w:pPr>
      <w:r>
        <w:rPr>
          <w:b/>
          <w:bCs/>
        </w:rPr>
        <w:t xml:space="preserve">4.4 Combined realistic bear case (5-year view)</w:t>
      </w:r>
    </w:p>
    <w:p>
      <w:pPr>
        <w:spacing w:after="80" w:before="80"/>
      </w:pPr>
      <w:r>
        <w:t xml:space="preserve">Assumes Year 1 ramp at 45%, Year 2 at 55%, Year 3 takes a near-miss storm + $15K precautionary expense, Year 4 at 60%, Year 5 at 60%, no flip executed, tariff environment returns to 15% in Year 2 and stays there: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00"/>
        <w:gridCol w:w="1500"/>
        <w:gridCol w:w="2260"/>
        <w:gridCol w:w="2200"/>
        <w:gridCol w:w="2300"/>
      </w:tblGrid>
      <w:tr>
        <w:trPr>
          <w:tblHeader/>
        </w:trPr>
        <w:tc>
          <w:tcPr>
            <w:tcW w:type="dxa" w:w="1100"/>
            <w:tcBorders>
              <w:top w:val="single" w:color="BFBFBF" w:sz="4"/>
              <w:left w:val="single" w:color="BFBFBF" w:sz="4"/>
              <w:bottom w:val="single" w:color="BFBFBF" w:sz="4"/>
              <w:right w:val="single" w:color="BFBFBF" w:sz="4"/>
            </w:tcBorders>
            <w:shd w:fill="1F3A5F" w:val="clear"/>
            <w:tcMar>
              <w:top w:type="dxa" w:w="100"/>
              <w:left w:type="dxa" w:w="140"/>
              <w:bottom w:type="dxa" w:w="100"/>
              <w:right w:type="dxa" w:w="140"/>
            </w:tcMar>
          </w:tcPr>
          <w:p>
            <w:r>
              <w:rPr>
                <w:b/>
                <w:bCs/>
                <w:color w:val="FFFFFF"/>
              </w:rPr>
              <w:t xml:space="preserve">Year</w:t>
            </w:r>
          </w:p>
        </w:tc>
        <w:tc>
          <w:tcPr>
            <w:tcW w:type="dxa" w:w="1500"/>
            <w:tcBorders>
              <w:top w:val="single" w:color="BFBFBF" w:sz="4"/>
              <w:left w:val="single" w:color="BFBFBF" w:sz="4"/>
              <w:bottom w:val="single" w:color="BFBFBF" w:sz="4"/>
              <w:right w:val="single" w:color="BFBFBF" w:sz="4"/>
            </w:tcBorders>
            <w:shd w:fill="1F3A5F" w:val="clear"/>
            <w:tcMar>
              <w:top w:type="dxa" w:w="100"/>
              <w:left w:type="dxa" w:w="140"/>
              <w:bottom w:type="dxa" w:w="100"/>
              <w:right w:type="dxa" w:w="140"/>
            </w:tcMar>
          </w:tcPr>
          <w:p>
            <w:r>
              <w:rPr>
                <w:b/>
                <w:bCs/>
                <w:color w:val="FFFFFF"/>
              </w:rPr>
              <w:t xml:space="preserve">Occupancy</w:t>
            </w:r>
          </w:p>
        </w:tc>
        <w:tc>
          <w:tcPr>
            <w:tcW w:type="dxa" w:w="2260"/>
            <w:tcBorders>
              <w:top w:val="single" w:color="BFBFBF" w:sz="4"/>
              <w:left w:val="single" w:color="BFBFBF" w:sz="4"/>
              <w:bottom w:val="single" w:color="BFBFBF" w:sz="4"/>
              <w:right w:val="single" w:color="BFBFBF" w:sz="4"/>
            </w:tcBorders>
            <w:shd w:fill="1F3A5F" w:val="clear"/>
            <w:tcMar>
              <w:top w:type="dxa" w:w="100"/>
              <w:left w:type="dxa" w:w="140"/>
              <w:bottom w:type="dxa" w:w="100"/>
              <w:right w:type="dxa" w:w="140"/>
            </w:tcMar>
          </w:tcPr>
          <w:p>
            <w:r>
              <w:rPr>
                <w:b/>
                <w:bCs/>
                <w:color w:val="FFFFFF"/>
              </w:rPr>
              <w:t xml:space="preserve">Cash flow to LLC</w:t>
            </w:r>
          </w:p>
        </w:tc>
        <w:tc>
          <w:tcPr>
            <w:tcW w:type="dxa" w:w="2200"/>
            <w:tcBorders>
              <w:top w:val="single" w:color="BFBFBF" w:sz="4"/>
              <w:left w:val="single" w:color="BFBFBF" w:sz="4"/>
              <w:bottom w:val="single" w:color="BFBFBF" w:sz="4"/>
              <w:right w:val="single" w:color="BFBFBF" w:sz="4"/>
            </w:tcBorders>
            <w:shd w:fill="1F3A5F" w:val="clear"/>
            <w:tcMar>
              <w:top w:type="dxa" w:w="100"/>
              <w:left w:type="dxa" w:w="140"/>
              <w:bottom w:type="dxa" w:w="100"/>
              <w:right w:type="dxa" w:w="140"/>
            </w:tcMar>
          </w:tcPr>
          <w:p>
            <w:r>
              <w:rPr>
                <w:b/>
                <w:bCs/>
                <w:color w:val="FFFFFF"/>
              </w:rPr>
              <w:t xml:space="preserve">F&amp;F note balance</w:t>
            </w:r>
          </w:p>
        </w:tc>
        <w:tc>
          <w:tcPr>
            <w:tcW w:type="dxa" w:w="2300"/>
            <w:tcBorders>
              <w:top w:val="single" w:color="BFBFBF" w:sz="4"/>
              <w:left w:val="single" w:color="BFBFBF" w:sz="4"/>
              <w:bottom w:val="single" w:color="BFBFBF" w:sz="4"/>
              <w:right w:val="single" w:color="BFBFBF" w:sz="4"/>
            </w:tcBorders>
            <w:shd w:fill="1F3A5F" w:val="clear"/>
            <w:tcMar>
              <w:top w:type="dxa" w:w="100"/>
              <w:left w:type="dxa" w:w="140"/>
              <w:bottom w:type="dxa" w:w="100"/>
              <w:right w:type="dxa" w:w="140"/>
            </w:tcMar>
          </w:tcPr>
          <w:p>
            <w:r>
              <w:rPr>
                <w:b/>
                <w:bCs/>
                <w:color w:val="FFFFFF"/>
              </w:rPr>
              <w:t xml:space="preserve">LLC cash balance</w:t>
            </w:r>
          </w:p>
        </w:tc>
      </w:tr>
      <w:tr>
        <w:tc>
          <w:tcPr>
            <w:tcW w:type="dxa" w:w="110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b/>
                <w:bCs/>
              </w:rPr>
              <w:t xml:space="preserve">1</w:t>
            </w:r>
          </w:p>
        </w:tc>
        <w:tc>
          <w:tcPr>
            <w:tcW w:type="dxa" w:w="150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b w:val="false"/>
                <w:bCs w:val="false"/>
              </w:rPr>
              <w:t xml:space="preserve">45%</w:t>
            </w:r>
          </w:p>
        </w:tc>
        <w:tc>
          <w:tcPr>
            <w:tcW w:type="dxa" w:w="226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b w:val="false"/>
                <w:bCs w:val="false"/>
              </w:rPr>
              <w:t xml:space="preserve">–$28,000</w:t>
            </w:r>
          </w:p>
        </w:tc>
        <w:tc>
          <w:tcPr>
            <w:tcW w:type="dxa" w:w="220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b w:val="false"/>
                <w:bCs w:val="false"/>
              </w:rPr>
              <w:t xml:space="preserve">$40,000</w:t>
            </w:r>
          </w:p>
        </w:tc>
        <w:tc>
          <w:tcPr>
            <w:tcW w:type="dxa" w:w="230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b w:val="false"/>
                <w:bCs w:val="false"/>
              </w:rPr>
              <w:t xml:space="preserve">$12,000 (from F&amp;F notes, after absorbing loss)</w:t>
            </w:r>
          </w:p>
        </w:tc>
      </w:tr>
      <w:tr>
        <w:tc>
          <w:tcPr>
            <w:tcW w:type="dxa" w:w="110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tcPr>
          <w:p>
            <w:r>
              <w:rPr>
                <w:b/>
                <w:bCs/>
              </w:rPr>
              <w:t xml:space="preserve">2</w:t>
            </w:r>
          </w:p>
        </w:tc>
        <w:tc>
          <w:tcPr>
            <w:tcW w:type="dxa" w:w="150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tcPr>
          <w:p>
            <w:r>
              <w:rPr>
                <w:b w:val="false"/>
                <w:bCs w:val="false"/>
              </w:rPr>
              <w:t xml:space="preserve">55%</w:t>
            </w:r>
          </w:p>
        </w:tc>
        <w:tc>
          <w:tcPr>
            <w:tcW w:type="dxa" w:w="226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tcPr>
          <w:p>
            <w:r>
              <w:rPr>
                <w:b w:val="false"/>
                <w:bCs w:val="false"/>
              </w:rPr>
              <w:t xml:space="preserve">–$6,000</w:t>
            </w:r>
          </w:p>
        </w:tc>
        <w:tc>
          <w:tcPr>
            <w:tcW w:type="dxa" w:w="220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tcPr>
          <w:p>
            <w:r>
              <w:rPr>
                <w:b w:val="false"/>
                <w:bCs w:val="false"/>
              </w:rPr>
              <w:t xml:space="preserve">$40,000</w:t>
            </w:r>
          </w:p>
        </w:tc>
        <w:tc>
          <w:tcPr>
            <w:tcW w:type="dxa" w:w="230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tcPr>
          <w:p>
            <w:r>
              <w:rPr>
                <w:b w:val="false"/>
                <w:bCs w:val="false"/>
              </w:rPr>
              <w:t xml:space="preserve">$6,000</w:t>
            </w:r>
          </w:p>
        </w:tc>
      </w:tr>
      <w:tr>
        <w:tc>
          <w:tcPr>
            <w:tcW w:type="dxa" w:w="110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b/>
                <w:bCs/>
              </w:rPr>
              <w:t xml:space="preserve">3</w:t>
            </w:r>
          </w:p>
        </w:tc>
        <w:tc>
          <w:tcPr>
            <w:tcW w:type="dxa" w:w="150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b w:val="false"/>
                <w:bCs w:val="false"/>
              </w:rPr>
              <w:t xml:space="preserve">60% then storm</w:t>
            </w:r>
          </w:p>
        </w:tc>
        <w:tc>
          <w:tcPr>
            <w:tcW w:type="dxa" w:w="226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b w:val="false"/>
                <w:bCs w:val="false"/>
              </w:rPr>
              <w:t xml:space="preserve">–$25,000</w:t>
            </w:r>
          </w:p>
        </w:tc>
        <w:tc>
          <w:tcPr>
            <w:tcW w:type="dxa" w:w="220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b w:val="false"/>
                <w:bCs w:val="false"/>
              </w:rPr>
              <w:t xml:space="preserve">$40,000</w:t>
            </w:r>
          </w:p>
        </w:tc>
        <w:tc>
          <w:tcPr>
            <w:tcW w:type="dxa" w:w="230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b w:val="false"/>
                <w:bCs w:val="false"/>
              </w:rPr>
              <w:t xml:space="preserve">Capital call needed</w:t>
            </w:r>
          </w:p>
        </w:tc>
      </w:tr>
      <w:tr>
        <w:tc>
          <w:tcPr>
            <w:tcW w:type="dxa" w:w="110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tcPr>
          <w:p>
            <w:r>
              <w:rPr>
                <w:b/>
                <w:bCs/>
              </w:rPr>
              <w:t xml:space="preserve">4</w:t>
            </w:r>
          </w:p>
        </w:tc>
        <w:tc>
          <w:tcPr>
            <w:tcW w:type="dxa" w:w="150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tcPr>
          <w:p>
            <w:r>
              <w:rPr>
                <w:b w:val="false"/>
                <w:bCs w:val="false"/>
              </w:rPr>
              <w:t xml:space="preserve">60%</w:t>
            </w:r>
          </w:p>
        </w:tc>
        <w:tc>
          <w:tcPr>
            <w:tcW w:type="dxa" w:w="226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tcPr>
          <w:p>
            <w:r>
              <w:rPr>
                <w:b w:val="false"/>
                <w:bCs w:val="false"/>
              </w:rPr>
              <w:t xml:space="preserve">+$8,000</w:t>
            </w:r>
          </w:p>
        </w:tc>
        <w:tc>
          <w:tcPr>
            <w:tcW w:type="dxa" w:w="220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tcPr>
          <w:p>
            <w:r>
              <w:rPr>
                <w:b w:val="false"/>
                <w:bCs w:val="false"/>
              </w:rPr>
              <w:t xml:space="preserve">$40,000</w:t>
            </w:r>
          </w:p>
        </w:tc>
        <w:tc>
          <w:tcPr>
            <w:tcW w:type="dxa" w:w="230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tcPr>
          <w:p>
            <w:r>
              <w:rPr>
                <w:b w:val="false"/>
                <w:bCs w:val="false"/>
              </w:rPr>
              <w:t xml:space="preserve">$0</w:t>
            </w:r>
          </w:p>
        </w:tc>
      </w:tr>
      <w:tr>
        <w:tc>
          <w:tcPr>
            <w:tcW w:type="dxa" w:w="110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b/>
                <w:bCs/>
              </w:rPr>
              <w:t xml:space="preserve">5</w:t>
            </w:r>
          </w:p>
        </w:tc>
        <w:tc>
          <w:tcPr>
            <w:tcW w:type="dxa" w:w="150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b w:val="false"/>
                <w:bCs w:val="false"/>
              </w:rPr>
              <w:t xml:space="preserve">60%</w:t>
            </w:r>
          </w:p>
        </w:tc>
        <w:tc>
          <w:tcPr>
            <w:tcW w:type="dxa" w:w="226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b w:val="false"/>
                <w:bCs w:val="false"/>
              </w:rPr>
              <w:t xml:space="preserve">+$13,000</w:t>
            </w:r>
          </w:p>
        </w:tc>
        <w:tc>
          <w:tcPr>
            <w:tcW w:type="dxa" w:w="220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b w:val="false"/>
                <w:bCs w:val="false"/>
              </w:rPr>
              <w:t xml:space="preserve">$40,000</w:t>
            </w:r>
          </w:p>
        </w:tc>
        <w:tc>
          <w:tcPr>
            <w:tcW w:type="dxa" w:w="230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b w:val="false"/>
                <w:bCs w:val="false"/>
              </w:rPr>
              <w:t xml:space="preserve">$13,000</w:t>
            </w:r>
          </w:p>
        </w:tc>
      </w:tr>
      <w:tr>
        <w:tc>
          <w:tcPr>
            <w:tcW w:type="dxa" w:w="110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tcPr>
          <w:p>
            <w:r>
              <w:rPr>
                <w:b/>
                <w:bCs/>
              </w:rPr>
              <w:t xml:space="preserve">5-yr total</w:t>
            </w:r>
          </w:p>
        </w:tc>
        <w:tc>
          <w:tcPr>
            <w:tcW w:type="dxa" w:w="150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tcPr>
          <w:p>
            <w:r>
              <w:rPr>
                <w:b w:val="false"/>
                <w:bCs w:val="false"/>
              </w:rPr>
              <w:t xml:space="preserve">—</w:t>
            </w:r>
          </w:p>
        </w:tc>
        <w:tc>
          <w:tcPr>
            <w:tcW w:type="dxa" w:w="226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tcPr>
          <w:p>
            <w:r>
              <w:rPr>
                <w:b w:val="false"/>
                <w:bCs w:val="false"/>
              </w:rPr>
              <w:t xml:space="preserve">–$38,000</w:t>
            </w:r>
          </w:p>
        </w:tc>
        <w:tc>
          <w:tcPr>
            <w:tcW w:type="dxa" w:w="220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tcPr>
          <w:p>
            <w:r>
              <w:rPr>
                <w:b w:val="false"/>
                <w:bCs w:val="false"/>
              </w:rPr>
              <w:t xml:space="preserve">Still outstanding</w:t>
            </w:r>
          </w:p>
        </w:tc>
        <w:tc>
          <w:tcPr>
            <w:tcW w:type="dxa" w:w="230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tcPr>
          <w:p>
            <w:r>
              <w:rPr>
                <w:b w:val="false"/>
                <w:bCs w:val="false"/>
              </w:rPr>
              <w:t xml:space="preserve">No F&amp;F repayment possible</w:t>
            </w:r>
          </w:p>
        </w:tc>
      </w:tr>
    </w:tbl>
    <w:p>
      <w:pPr>
        <w:spacing w:after="80" w:before="80"/>
      </w:pPr>
      <w:r>
        <w:rPr>
          <w:b/>
          <w:bCs/>
        </w:rPr>
        <w:t xml:space="preserve">This is the version a partner should sanity-check the friends-and-family notes against. If the F&amp;F investors are told "you'll be repaid in 12–18 months from charter revenue," that is inconsistent with the realistic downside case. Under the downside, they get repaid from (a) a boat sale, (b) an insurance payout, or (c) not at all.</w:t>
      </w:r>
    </w:p>
    <w:p>
      <w:r>
        <w:br w:type="page"/>
      </w:r>
    </w:p>
    <w:p>
      <w:pPr>
        <w:pStyle w:val="Heading1"/>
        <w:spacing w:after="160" w:before="360"/>
      </w:pPr>
      <w:r>
        <w:rPr>
          <w:b/>
          <w:bCs/>
        </w:rPr>
        <w:t xml:space="preserve">5. Red-Team Objection Prompts for Partner</w:t>
      </w:r>
    </w:p>
    <w:p>
      <w:pPr>
        <w:spacing w:after="80" w:before="80"/>
      </w:pPr>
      <w:r>
        <w:rPr>
          <w:i/>
          <w:iCs/>
        </w:rPr>
        <w:t xml:space="preserve">Each objection below targets a specific, named assumption in the plan and cites the market data that threatens it. For each, note whether the objection (a) can be resolved with a documented mitigation, (b) requires a plan change, or (c) is a reason to walk away.</w:t>
      </w:r>
    </w:p>
    <w:p>
      <w:pPr>
        <w:spacing w:after="60" w:before="240"/>
      </w:pPr>
      <w:r>
        <w:rPr>
          <w:b/>
          <w:bCs/>
          <w:color w:val="A5241A"/>
          <w:sz w:val="24"/>
          <w:szCs w:val="24"/>
        </w:rPr>
        <w:t xml:space="preserve">OBJ-1: The tariff arbitrage thesis is half-valid, and may be less than that by the time we close.</w:t>
      </w:r>
    </w:p>
    <w:p>
      <w:pPr>
        <w:spacing w:after="40" w:before="40"/>
      </w:pPr>
      <w:r>
        <w:rPr>
          <w:b/>
          <w:bCs/>
        </w:rPr>
        <w:t xml:space="preserve">What the data says: </w:t>
      </w:r>
      <w:r>
        <w:t xml:space="preserve">The plan was drafted when tariffs on foreign-built boats were 20–25%. The Supreme Court struck those down Feb 20, 2026. The replacement Section 122 tariff is 10%, issued for 150 days only, and Treasury has signaled 15%. By the time we close on Boat #1, the rate could be anywhere from 0% to 15%+. Our flip margin model is not robust to that.</w:t>
      </w:r>
    </w:p>
    <w:p>
      <w:pPr>
        <w:spacing w:after="80" w:before="40"/>
      </w:pPr>
      <w:r>
        <w:rPr>
          <w:b/>
          <w:bCs/>
        </w:rPr>
        <w:t xml:space="preserve">What to decide: </w:t>
      </w:r>
      <w:r>
        <w:rPr>
          <w:i/>
          <w:iCs/>
        </w:rPr>
        <w:t xml:space="preserve">Can we commit capital on a deal whose single largest competitive advantage expires in July 2026? If yes, how do we price the deal if the tariff goes to 0%? If no, do we wait for the next policy decision?</w:t>
      </w:r>
    </w:p>
    <w:p>
      <w:pPr>
        <w:spacing w:after="60" w:before="240"/>
      </w:pPr>
      <w:r>
        <w:rPr>
          <w:b/>
          <w:bCs/>
          <w:color w:val="A5241A"/>
          <w:sz w:val="24"/>
          <w:szCs w:val="24"/>
        </w:rPr>
        <w:t xml:space="preserve">OBJ-2: The flip margin is almost certainly overstated.</w:t>
      </w:r>
    </w:p>
    <w:p>
      <w:pPr>
        <w:spacing w:after="40" w:before="40"/>
      </w:pPr>
      <w:r>
        <w:rPr>
          <w:b/>
          <w:bCs/>
        </w:rPr>
        <w:t xml:space="preserve">What the data says: </w:t>
      </w:r>
      <w:r>
        <w:t xml:space="preserve">The $550–600K US retail value depended on US buyers having no alternative but to buy from someone who already imported. At 10% tariff, many US buyers will now import themselves, and IEEPA refunds are re-injecting cheap US-based inventory. Market data shows used 4-cabin cats declining in price, not rising. The $145–200K spread in the plan is anchored on stale data.</w:t>
      </w:r>
    </w:p>
    <w:p>
      <w:pPr>
        <w:spacing w:after="80" w:before="40"/>
      </w:pPr>
      <w:r>
        <w:rPr>
          <w:b/>
          <w:bCs/>
        </w:rPr>
        <w:t xml:space="preserve">What to decide: </w:t>
      </w:r>
      <w:r>
        <w:rPr>
          <w:i/>
          <w:iCs/>
        </w:rPr>
        <w:t xml:space="preserve">Re-run the flip with US retail at $475–500K and tariff at 10%. Does the deal still work if we never clear more than $80K per flip? If not, the deal is a charter business only, and should be underwritten as one.</w:t>
      </w:r>
    </w:p>
    <w:p>
      <w:pPr>
        <w:spacing w:after="60" w:before="240"/>
      </w:pPr>
      <w:r>
        <w:rPr>
          <w:b/>
          <w:bCs/>
          <w:color w:val="A5241A"/>
          <w:sz w:val="24"/>
          <w:szCs w:val="24"/>
        </w:rPr>
        <w:t xml:space="preserve">OBJ-3: Year 1 occupancy at 65% is aspirational, not realistic.</w:t>
      </w:r>
    </w:p>
    <w:p>
      <w:pPr>
        <w:spacing w:after="40" w:before="40"/>
      </w:pPr>
      <w:r>
        <w:rPr>
          <w:b/>
          <w:bCs/>
        </w:rPr>
        <w:t xml:space="preserve">What the data says: </w:t>
      </w:r>
      <w:r>
        <w:t xml:space="preserve">The plan itself says Year 1 is 45–55% ramp. The financial projection table then uses 65% as the base case. Those two statements are inconsistent. Fleet managers do not publish per-boat occupancy for owners in performance programs, so we have no third-party number to verify the 65% claim.</w:t>
      </w:r>
    </w:p>
    <w:p>
      <w:pPr>
        <w:spacing w:after="80" w:before="40"/>
      </w:pPr>
      <w:r>
        <w:rPr>
          <w:b/>
          <w:bCs/>
        </w:rPr>
        <w:t xml:space="preserve">What to decide: </w:t>
      </w:r>
      <w:r>
        <w:rPr>
          <w:i/>
          <w:iCs/>
        </w:rPr>
        <w:t xml:space="preserve">Before we sign with any fleet manager, can we get, in writing, their median realized occupancy for owner-boats in year 1? If they won't share it, that's itself a data point. We should model base case at 50–55% and upside at 65%.</w:t>
      </w:r>
    </w:p>
    <w:p>
      <w:pPr>
        <w:spacing w:after="60" w:before="240"/>
      </w:pPr>
      <w:r>
        <w:rPr>
          <w:b/>
          <w:bCs/>
          <w:color w:val="A5241A"/>
          <w:sz w:val="24"/>
          <w:szCs w:val="24"/>
        </w:rPr>
        <w:t xml:space="preserve">OBJ-4: Named-storm deductible is 3–4x what the plan models.</w:t>
      </w:r>
    </w:p>
    <w:p>
      <w:pPr>
        <w:spacing w:after="40" w:before="40"/>
      </w:pPr>
      <w:r>
        <w:rPr>
          <w:b/>
          <w:bCs/>
        </w:rPr>
        <w:t xml:space="preserve">What the data says: </w:t>
      </w:r>
      <w:r>
        <w:t xml:space="preserve">The plan lists windstorm deductible as 2–5% of hull value ($6,000–$15,000). Current Caribbean market reality is 15–20% of hull value ($45,000–$62,000 on a $309K boat). That dollar amount has to be available in LLC reserves, or the partners are writing a check before any insurance payment arrives.</w:t>
      </w:r>
    </w:p>
    <w:p>
      <w:pPr>
        <w:spacing w:after="80" w:before="40"/>
      </w:pPr>
      <w:r>
        <w:rPr>
          <w:b/>
          <w:bCs/>
        </w:rPr>
        <w:t xml:space="preserve">What to decide: </w:t>
      </w:r>
      <w:r>
        <w:rPr>
          <w:i/>
          <w:iCs/>
        </w:rPr>
        <w:t xml:space="preserve">Do we have a funded plan to keep $45K–$60K liquid in LLC reserves at all times during hurricane season? If the friends-and-family notes are providing the float, that creates a direct conflict between F&amp;F repayment and storm reserve. Who wins if it comes to it?</w:t>
      </w:r>
    </w:p>
    <w:p>
      <w:pPr>
        <w:spacing w:after="60" w:before="240"/>
      </w:pPr>
      <w:r>
        <w:rPr>
          <w:b/>
          <w:bCs/>
          <w:color w:val="A5241A"/>
          <w:sz w:val="24"/>
          <w:szCs w:val="24"/>
        </w:rPr>
        <w:t xml:space="preserve">OBJ-5: Insurance availability itself is a risk.</w:t>
      </w:r>
    </w:p>
    <w:p>
      <w:pPr>
        <w:spacing w:after="40" w:before="40"/>
      </w:pPr>
      <w:r>
        <w:rPr>
          <w:b/>
          <w:bCs/>
        </w:rPr>
        <w:t xml:space="preserve">What the data says: </w:t>
      </w:r>
      <w:r>
        <w:t xml:space="preserve">The Caribbean marine insurance market has gone from 4+ A-rated insurers (2018) to 2 today. A bad hurricane season in 2026 or 2027 could see one or both exit the region, leaving us non-renewable or renewable only at punitive rates. The plan assumes continuous, reasonably-priced, agreed-value hull + named-storm + liability coverage for 10 years.</w:t>
      </w:r>
    </w:p>
    <w:p>
      <w:pPr>
        <w:spacing w:after="80" w:before="40"/>
      </w:pPr>
      <w:r>
        <w:rPr>
          <w:b/>
          <w:bCs/>
        </w:rPr>
        <w:t xml:space="preserve">What to decide: </w:t>
      </w:r>
      <w:r>
        <w:rPr>
          <w:i/>
          <w:iCs/>
        </w:rPr>
        <w:t xml:space="preserve">What is the plan if our insurer non-renews us mid-charter season? What is our margin tolerance for a 50% premium hike? Commercial charter premiums are already 2–4x recreational — further compression is plausible.</w:t>
      </w:r>
    </w:p>
    <w:p>
      <w:pPr>
        <w:spacing w:after="60" w:before="240"/>
      </w:pPr>
      <w:r>
        <w:rPr>
          <w:b/>
          <w:bCs/>
          <w:color w:val="A5241A"/>
          <w:sz w:val="24"/>
          <w:szCs w:val="24"/>
        </w:rPr>
        <w:t xml:space="preserve">OBJ-6: Hurricane probability is not a tail risk; it is a base rate.</w:t>
      </w:r>
    </w:p>
    <w:p>
      <w:pPr>
        <w:spacing w:after="40" w:before="40"/>
      </w:pPr>
      <w:r>
        <w:rPr>
          <w:b/>
          <w:bCs/>
        </w:rPr>
        <w:t xml:space="preserve">What the data says: </w:t>
      </w:r>
      <w:r>
        <w:t xml:space="preserve">2024 forecast: 66% major-hurricane probability through the Caribbean. 2025: 56%. 2017's Irma alone caused 179 charter vessels total loss. Over a 10-year horizon, the probability of at least one major hurricane track affecting the BVI region is extremely high.</w:t>
      </w:r>
    </w:p>
    <w:p>
      <w:pPr>
        <w:spacing w:after="80" w:before="40"/>
      </w:pPr>
      <w:r>
        <w:rPr>
          <w:b/>
          <w:bCs/>
        </w:rPr>
        <w:t xml:space="preserve">What to decide: </w:t>
      </w:r>
      <w:r>
        <w:rPr>
          <w:i/>
          <w:iCs/>
        </w:rPr>
        <w:t xml:space="preserve">Rather than modeling "hurricane in year 3 worst case," we should model the expected value across 10 years. If we expect ~2–3 named-storm affected years and 0.5–1 major-hurricane affected years over the decade, does the cumulative cash flow still justify the personal-guarantee exposure? Insurance helps, but the deductible + revenue loss still hit the LLC.</w:t>
      </w:r>
    </w:p>
    <w:p>
      <w:pPr>
        <w:spacing w:after="60" w:before="240"/>
      </w:pPr>
      <w:r>
        <w:rPr>
          <w:b/>
          <w:bCs/>
          <w:color w:val="A5241A"/>
          <w:sz w:val="24"/>
          <w:szCs w:val="24"/>
        </w:rPr>
        <w:t xml:space="preserve">OBJ-7: The debt stack concentrates personal risk.</w:t>
      </w:r>
    </w:p>
    <w:p>
      <w:pPr>
        <w:spacing w:after="40" w:before="40"/>
      </w:pPr>
      <w:r>
        <w:rPr>
          <w:b/>
          <w:bCs/>
        </w:rPr>
        <w:t xml:space="preserve">What the data says: </w:t>
      </w:r>
      <w:r>
        <w:t xml:space="preserve">Marine mortgage ($259K) + SBA ($35K) + F&amp;F ($40K) = $334K of obligation secured against a single asset in the highest-hurricane-risk region in the Atlantic basin. Both partners personally guarantee the SBA portion. F&amp;F obligations create relationship risk that does not appear on any balance sheet.</w:t>
      </w:r>
    </w:p>
    <w:p>
      <w:pPr>
        <w:spacing w:after="80" w:before="40"/>
      </w:pPr>
      <w:r>
        <w:rPr>
          <w:b/>
          <w:bCs/>
        </w:rPr>
        <w:t xml:space="preserve">What to decide: </w:t>
      </w:r>
      <w:r>
        <w:rPr>
          <w:i/>
          <w:iCs/>
        </w:rPr>
        <w:t xml:space="preserve">Does the deal still make sense with a larger down payment and less leverage? Would we prefer two boats at 40% LTV or one at 80% LTV? The plan's cash flow advantage at high leverage disappears quickly under any downside.</w:t>
      </w:r>
    </w:p>
    <w:p>
      <w:pPr>
        <w:spacing w:after="60" w:before="240"/>
      </w:pPr>
      <w:r>
        <w:rPr>
          <w:b/>
          <w:bCs/>
          <w:color w:val="A5241A"/>
          <w:sz w:val="24"/>
          <w:szCs w:val="24"/>
        </w:rPr>
        <w:t xml:space="preserve">OBJ-8: We are the "customer of last resort" for these boats.</w:t>
      </w:r>
    </w:p>
    <w:p>
      <w:pPr>
        <w:spacing w:after="40" w:before="40"/>
      </w:pPr>
      <w:r>
        <w:rPr>
          <w:b/>
          <w:bCs/>
        </w:rPr>
        <w:t xml:space="preserve">What the data says: </w:t>
      </w:r>
      <w:r>
        <w:t xml:space="preserve">The plan correctly notes that fleet companies are phasing out older boats and that US buyers won't absorb import duty. It concludes "this means prices are depressed, and we benefit." The other interpretation — which the plan does not address — is that we are buying the inventory nobody else wants because the next buyer (a US retail buyer) is gone. If we can't find the next buyer either, we inherit the problem.</w:t>
      </w:r>
    </w:p>
    <w:p>
      <w:pPr>
        <w:spacing w:after="80" w:before="40"/>
      </w:pPr>
      <w:r>
        <w:rPr>
          <w:b/>
          <w:bCs/>
        </w:rPr>
        <w:t xml:space="preserve">What to decide: </w:t>
      </w:r>
      <w:r>
        <w:rPr>
          <w:i/>
          <w:iCs/>
        </w:rPr>
        <w:t xml:space="preserve">Honest test: if we can't flip and we can't charter profitably, what is our exit? Selling the boat in BVI to another operator means selling into the same depressed market we bought into. We need a defined exit trigger and pre-negotiated path, not just "keep chartering."</w:t>
      </w:r>
    </w:p>
    <w:p>
      <w:pPr>
        <w:spacing w:after="60" w:before="240"/>
      </w:pPr>
      <w:r>
        <w:rPr>
          <w:b/>
          <w:bCs/>
          <w:color w:val="A5241A"/>
          <w:sz w:val="24"/>
          <w:szCs w:val="24"/>
        </w:rPr>
        <w:t xml:space="preserve">OBJ-9: The operating agreement and personal life-event risk.</w:t>
      </w:r>
    </w:p>
    <w:p>
      <w:pPr>
        <w:spacing w:after="40" w:before="40"/>
      </w:pPr>
      <w:r>
        <w:rPr>
          <w:b/>
          <w:bCs/>
        </w:rPr>
        <w:t xml:space="preserve">What the data says: </w:t>
      </w:r>
      <w:r>
        <w:t xml:space="preserve">Two partners, 50/50, both personal guarantors, both relying on the boat in BVI while they live in the US. One partner loses a job, gets divorced, has a health event — any of those can force a forced sale or make the other partner either buy them out or default.</w:t>
      </w:r>
    </w:p>
    <w:p>
      <w:pPr>
        <w:spacing w:after="80" w:before="40"/>
      </w:pPr>
      <w:r>
        <w:rPr>
          <w:b/>
          <w:bCs/>
        </w:rPr>
        <w:t xml:space="preserve">What to decide: </w:t>
      </w:r>
      <w:r>
        <w:rPr>
          <w:i/>
          <w:iCs/>
        </w:rPr>
        <w:t xml:space="preserve">Have we drafted the buy-sell / key-person / deadlock provisions with an experienced maritime attorney? Have we life-insured each other in amounts sufficient to cover the debt stack? These are not optional — they are the price of personally-guaranteed partnership debt.</w:t>
      </w:r>
    </w:p>
    <w:p>
      <w:pPr>
        <w:spacing w:after="60" w:before="240"/>
      </w:pPr>
      <w:r>
        <w:rPr>
          <w:b/>
          <w:bCs/>
          <w:color w:val="A5241A"/>
          <w:sz w:val="24"/>
          <w:szCs w:val="24"/>
        </w:rPr>
        <w:t xml:space="preserve">OBJ-10: Timing — should we buy now, or wait?</w:t>
      </w:r>
    </w:p>
    <w:p>
      <w:pPr>
        <w:spacing w:after="40" w:before="40"/>
      </w:pPr>
      <w:r>
        <w:rPr>
          <w:b/>
          <w:bCs/>
        </w:rPr>
        <w:t xml:space="preserve">What the data says: </w:t>
      </w:r>
      <w:r>
        <w:t xml:space="preserve">The Section 122 tariff is a 150-day measure expiring in late July 2026. Between now and then, the market will likely price whatever replaces it. Buying the boat in April–June 2026 means committing capital before the tariff picture clarifies. Post-expiry (August 2026 onwards) we will know the new regime and can price accordingly. The used-catamaran market is softening, which typically favors waiting rather than rushing.</w:t>
      </w:r>
    </w:p>
    <w:p>
      <w:pPr>
        <w:spacing w:after="80" w:before="40"/>
      </w:pPr>
      <w:r>
        <w:rPr>
          <w:b/>
          <w:bCs/>
        </w:rPr>
        <w:t xml:space="preserve">What to decide: </w:t>
      </w:r>
      <w:r>
        <w:rPr>
          <w:i/>
          <w:iCs/>
        </w:rPr>
        <w:t xml:space="preserve">Is there any reason this deal has to close before August 2026? If not, what do we gain by moving before the tariff clarifies? If the answer is "we might lose the specific boat," remember the BVI has hundreds of 2015–2020 Leopards and Lagoons in similar condition.</w:t>
      </w:r>
    </w:p>
    <w:p>
      <w:r>
        <w:br w:type="page"/>
      </w:r>
    </w:p>
    <w:p>
      <w:pPr>
        <w:pStyle w:val="Heading1"/>
        <w:spacing w:after="160" w:before="360"/>
      </w:pPr>
      <w:r>
        <w:rPr>
          <w:b/>
          <w:bCs/>
        </w:rPr>
        <w:t xml:space="preserve">6. Decision Framework</w:t>
      </w:r>
    </w:p>
    <w:p>
      <w:pPr>
        <w:spacing w:after="80" w:before="80"/>
      </w:pPr>
      <w:r>
        <w:t xml:space="preserve">A disciplined way to convert the ten objections into a go/no-go: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2300"/>
        <w:gridCol w:w="3660"/>
        <w:gridCol w:w="3000"/>
      </w:tblGrid>
      <w:tr>
        <w:trPr>
          <w:tblHeader/>
        </w:trPr>
        <w:tc>
          <w:tcPr>
            <w:tcW w:type="dxa" w:w="400"/>
            <w:tcBorders>
              <w:top w:val="single" w:color="BFBFBF" w:sz="4"/>
              <w:left w:val="single" w:color="BFBFBF" w:sz="4"/>
              <w:bottom w:val="single" w:color="BFBFBF" w:sz="4"/>
              <w:right w:val="single" w:color="BFBFBF" w:sz="4"/>
            </w:tcBorders>
            <w:shd w:fill="1F3A5F" w:val="clear"/>
            <w:tcMar>
              <w:top w:type="dxa" w:w="100"/>
              <w:left w:type="dxa" w:w="140"/>
              <w:bottom w:type="dxa" w:w="100"/>
              <w:right w:type="dxa" w:w="140"/>
            </w:tcMar>
          </w:tcPr>
          <w:p>
            <w:r>
              <w:rPr>
                <w:b/>
                <w:bCs/>
                <w:color w:val="FFFFFF"/>
              </w:rPr>
              <w:t xml:space="preserve">#</w:t>
            </w:r>
          </w:p>
        </w:tc>
        <w:tc>
          <w:tcPr>
            <w:tcW w:type="dxa" w:w="2300"/>
            <w:tcBorders>
              <w:top w:val="single" w:color="BFBFBF" w:sz="4"/>
              <w:left w:val="single" w:color="BFBFBF" w:sz="4"/>
              <w:bottom w:val="single" w:color="BFBFBF" w:sz="4"/>
              <w:right w:val="single" w:color="BFBFBF" w:sz="4"/>
            </w:tcBorders>
            <w:shd w:fill="1F3A5F" w:val="clear"/>
            <w:tcMar>
              <w:top w:type="dxa" w:w="100"/>
              <w:left w:type="dxa" w:w="140"/>
              <w:bottom w:type="dxa" w:w="100"/>
              <w:right w:type="dxa" w:w="140"/>
            </w:tcMar>
          </w:tcPr>
          <w:p>
            <w:r>
              <w:rPr>
                <w:b/>
                <w:bCs/>
                <w:color w:val="FFFFFF"/>
              </w:rPr>
              <w:t xml:space="preserve">Objection area</w:t>
            </w:r>
          </w:p>
        </w:tc>
        <w:tc>
          <w:tcPr>
            <w:tcW w:type="dxa" w:w="3660"/>
            <w:tcBorders>
              <w:top w:val="single" w:color="BFBFBF" w:sz="4"/>
              <w:left w:val="single" w:color="BFBFBF" w:sz="4"/>
              <w:bottom w:val="single" w:color="BFBFBF" w:sz="4"/>
              <w:right w:val="single" w:color="BFBFBF" w:sz="4"/>
            </w:tcBorders>
            <w:shd w:fill="1F3A5F" w:val="clear"/>
            <w:tcMar>
              <w:top w:type="dxa" w:w="100"/>
              <w:left w:type="dxa" w:w="140"/>
              <w:bottom w:type="dxa" w:w="100"/>
              <w:right w:type="dxa" w:w="140"/>
            </w:tcMar>
          </w:tcPr>
          <w:p>
            <w:r>
              <w:rPr>
                <w:b/>
                <w:bCs/>
                <w:color w:val="FFFFFF"/>
              </w:rPr>
              <w:t xml:space="preserve">Must-fix before close</w:t>
            </w:r>
          </w:p>
        </w:tc>
        <w:tc>
          <w:tcPr>
            <w:tcW w:type="dxa" w:w="3000"/>
            <w:tcBorders>
              <w:top w:val="single" w:color="BFBFBF" w:sz="4"/>
              <w:left w:val="single" w:color="BFBFBF" w:sz="4"/>
              <w:bottom w:val="single" w:color="BFBFBF" w:sz="4"/>
              <w:right w:val="single" w:color="BFBFBF" w:sz="4"/>
            </w:tcBorders>
            <w:shd w:fill="1F3A5F" w:val="clear"/>
            <w:tcMar>
              <w:top w:type="dxa" w:w="100"/>
              <w:left w:type="dxa" w:w="140"/>
              <w:bottom w:type="dxa" w:w="100"/>
              <w:right w:type="dxa" w:w="140"/>
            </w:tcMar>
          </w:tcPr>
          <w:p>
            <w:r>
              <w:rPr>
                <w:b/>
                <w:bCs/>
                <w:color w:val="FFFFFF"/>
              </w:rPr>
              <w:t xml:space="preserve">Tolerable post-close</w:t>
            </w:r>
          </w:p>
        </w:tc>
      </w:tr>
      <w:tr>
        <w:tc>
          <w:tcPr>
            <w:tcW w:type="dxa" w:w="40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b/>
                <w:bCs/>
              </w:rPr>
              <w:t xml:space="preserve">1</w:t>
            </w:r>
          </w:p>
        </w:tc>
        <w:tc>
          <w:tcPr>
            <w:tcW w:type="dxa" w:w="230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b w:val="false"/>
                <w:bCs w:val="false"/>
              </w:rPr>
              <w:t xml:space="preserve">Tariff path</w:t>
            </w:r>
          </w:p>
        </w:tc>
        <w:tc>
          <w:tcPr>
            <w:tcW w:type="dxa" w:w="366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b w:val="false"/>
                <w:bCs w:val="false"/>
              </w:rPr>
              <w:t xml:space="preserve">Model deal under 0% / 10% / 15% tariff; all must clear a minimum IRR threshold.</w:t>
            </w:r>
          </w:p>
        </w:tc>
        <w:tc>
          <w:tcPr>
            <w:tcW w:type="dxa" w:w="300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b w:val="false"/>
                <w:bCs w:val="false"/>
              </w:rPr>
              <w:t xml:space="preserve">N/A — must be done now.</w:t>
            </w:r>
          </w:p>
        </w:tc>
      </w:tr>
      <w:tr>
        <w:tc>
          <w:tcPr>
            <w:tcW w:type="dxa" w:w="40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tcPr>
          <w:p>
            <w:r>
              <w:rPr>
                <w:b/>
                <w:bCs/>
              </w:rPr>
              <w:t xml:space="preserve">2</w:t>
            </w:r>
          </w:p>
        </w:tc>
        <w:tc>
          <w:tcPr>
            <w:tcW w:type="dxa" w:w="230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tcPr>
          <w:p>
            <w:r>
              <w:rPr>
                <w:b w:val="false"/>
                <w:bCs w:val="false"/>
              </w:rPr>
              <w:t xml:space="preserve">Flip margin assumption</w:t>
            </w:r>
          </w:p>
        </w:tc>
        <w:tc>
          <w:tcPr>
            <w:tcW w:type="dxa" w:w="366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tcPr>
          <w:p>
            <w:r>
              <w:rPr>
                <w:b w:val="false"/>
                <w:bCs w:val="false"/>
              </w:rPr>
              <w:t xml:space="preserve">Underwrite with $80K flip, not $175K. If deal doesn't work without the flip, reconsider.</w:t>
            </w:r>
          </w:p>
        </w:tc>
        <w:tc>
          <w:tcPr>
            <w:tcW w:type="dxa" w:w="300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tcPr>
          <w:p>
            <w:r>
              <w:rPr>
                <w:b w:val="false"/>
                <w:bCs w:val="false"/>
              </w:rPr>
              <w:t xml:space="preserve">N/A.</w:t>
            </w:r>
          </w:p>
        </w:tc>
      </w:tr>
      <w:tr>
        <w:tc>
          <w:tcPr>
            <w:tcW w:type="dxa" w:w="40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b/>
                <w:bCs/>
              </w:rPr>
              <w:t xml:space="preserve">3</w:t>
            </w:r>
          </w:p>
        </w:tc>
        <w:tc>
          <w:tcPr>
            <w:tcW w:type="dxa" w:w="230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b w:val="false"/>
                <w:bCs w:val="false"/>
              </w:rPr>
              <w:t xml:space="preserve">Occupancy evidence</w:t>
            </w:r>
          </w:p>
        </w:tc>
        <w:tc>
          <w:tcPr>
            <w:tcW w:type="dxa" w:w="366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b w:val="false"/>
                <w:bCs w:val="false"/>
              </w:rPr>
              <w:t xml:space="preserve">Get written median-per-boat occupancy from fleet manager.</w:t>
            </w:r>
          </w:p>
        </w:tc>
        <w:tc>
          <w:tcPr>
            <w:tcW w:type="dxa" w:w="300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b w:val="false"/>
                <w:bCs w:val="false"/>
              </w:rPr>
              <w:t xml:space="preserve">Can monitor quarterly post-close.</w:t>
            </w:r>
          </w:p>
        </w:tc>
      </w:tr>
      <w:tr>
        <w:tc>
          <w:tcPr>
            <w:tcW w:type="dxa" w:w="40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tcPr>
          <w:p>
            <w:r>
              <w:rPr>
                <w:b/>
                <w:bCs/>
              </w:rPr>
              <w:t xml:space="preserve">4</w:t>
            </w:r>
          </w:p>
        </w:tc>
        <w:tc>
          <w:tcPr>
            <w:tcW w:type="dxa" w:w="230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tcPr>
          <w:p>
            <w:r>
              <w:rPr>
                <w:b w:val="false"/>
                <w:bCs w:val="false"/>
              </w:rPr>
              <w:t xml:space="preserve">Storm reserve</w:t>
            </w:r>
          </w:p>
        </w:tc>
        <w:tc>
          <w:tcPr>
            <w:tcW w:type="dxa" w:w="366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tcPr>
          <w:p>
            <w:r>
              <w:rPr>
                <w:b w:val="false"/>
                <w:bCs w:val="false"/>
              </w:rPr>
              <w:t xml:space="preserve">$50K cash reserve funded on day 1, separate from working capital.</w:t>
            </w:r>
          </w:p>
        </w:tc>
        <w:tc>
          <w:tcPr>
            <w:tcW w:type="dxa" w:w="300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tcPr>
          <w:p>
            <w:r>
              <w:rPr>
                <w:b w:val="false"/>
                <w:bCs w:val="false"/>
              </w:rPr>
              <w:t xml:space="preserve">Maintain annually.</w:t>
            </w:r>
          </w:p>
        </w:tc>
      </w:tr>
      <w:tr>
        <w:tc>
          <w:tcPr>
            <w:tcW w:type="dxa" w:w="40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b/>
                <w:bCs/>
              </w:rPr>
              <w:t xml:space="preserve">5</w:t>
            </w:r>
          </w:p>
        </w:tc>
        <w:tc>
          <w:tcPr>
            <w:tcW w:type="dxa" w:w="230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b w:val="false"/>
                <w:bCs w:val="false"/>
              </w:rPr>
              <w:t xml:space="preserve">Insurance availability</w:t>
            </w:r>
          </w:p>
        </w:tc>
        <w:tc>
          <w:tcPr>
            <w:tcW w:type="dxa" w:w="366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b w:val="false"/>
                <w:bCs w:val="false"/>
              </w:rPr>
              <w:t xml:space="preserve">Two A-rated quotes, agreed-value confirmed in writing, deductible clearly identified.</w:t>
            </w:r>
          </w:p>
        </w:tc>
        <w:tc>
          <w:tcPr>
            <w:tcW w:type="dxa" w:w="300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b w:val="false"/>
                <w:bCs w:val="false"/>
              </w:rPr>
              <w:t xml:space="preserve">Annual review.</w:t>
            </w:r>
          </w:p>
        </w:tc>
      </w:tr>
      <w:tr>
        <w:tc>
          <w:tcPr>
            <w:tcW w:type="dxa" w:w="40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tcPr>
          <w:p>
            <w:r>
              <w:rPr>
                <w:b/>
                <w:bCs/>
              </w:rPr>
              <w:t xml:space="preserve">6</w:t>
            </w:r>
          </w:p>
        </w:tc>
        <w:tc>
          <w:tcPr>
            <w:tcW w:type="dxa" w:w="230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tcPr>
          <w:p>
            <w:r>
              <w:rPr>
                <w:b w:val="false"/>
                <w:bCs w:val="false"/>
              </w:rPr>
              <w:t xml:space="preserve">Hurricane probability</w:t>
            </w:r>
          </w:p>
        </w:tc>
        <w:tc>
          <w:tcPr>
            <w:tcW w:type="dxa" w:w="366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tcPr>
          <w:p>
            <w:r>
              <w:rPr>
                <w:b w:val="false"/>
                <w:bCs w:val="false"/>
              </w:rPr>
              <w:t xml:space="preserve">Accept as base rate; reserve and insurance as above.</w:t>
            </w:r>
          </w:p>
        </w:tc>
        <w:tc>
          <w:tcPr>
            <w:tcW w:type="dxa" w:w="300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tcPr>
          <w:p>
            <w:r>
              <w:rPr>
                <w:b w:val="false"/>
                <w:bCs w:val="false"/>
              </w:rPr>
              <w:t xml:space="preserve">Annual review.</w:t>
            </w:r>
          </w:p>
        </w:tc>
      </w:tr>
      <w:tr>
        <w:tc>
          <w:tcPr>
            <w:tcW w:type="dxa" w:w="40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b/>
                <w:bCs/>
              </w:rPr>
              <w:t xml:space="preserve">7</w:t>
            </w:r>
          </w:p>
        </w:tc>
        <w:tc>
          <w:tcPr>
            <w:tcW w:type="dxa" w:w="230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b w:val="false"/>
                <w:bCs w:val="false"/>
              </w:rPr>
              <w:t xml:space="preserve">Leverage</w:t>
            </w:r>
          </w:p>
        </w:tc>
        <w:tc>
          <w:tcPr>
            <w:tcW w:type="dxa" w:w="366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b w:val="false"/>
                <w:bCs w:val="false"/>
              </w:rPr>
              <w:t xml:space="preserve">Reconsider 80% LTV; test at 60% LTV with partner equity added.</w:t>
            </w:r>
          </w:p>
        </w:tc>
        <w:tc>
          <w:tcPr>
            <w:tcW w:type="dxa" w:w="300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b w:val="false"/>
                <w:bCs w:val="false"/>
              </w:rPr>
              <w:t xml:space="preserve">Post-close amortization plan.</w:t>
            </w:r>
          </w:p>
        </w:tc>
      </w:tr>
      <w:tr>
        <w:tc>
          <w:tcPr>
            <w:tcW w:type="dxa" w:w="40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tcPr>
          <w:p>
            <w:r>
              <w:rPr>
                <w:b/>
                <w:bCs/>
              </w:rPr>
              <w:t xml:space="preserve">8</w:t>
            </w:r>
          </w:p>
        </w:tc>
        <w:tc>
          <w:tcPr>
            <w:tcW w:type="dxa" w:w="230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tcPr>
          <w:p>
            <w:r>
              <w:rPr>
                <w:b w:val="false"/>
                <w:bCs w:val="false"/>
              </w:rPr>
              <w:t xml:space="preserve">Exit liquidity</w:t>
            </w:r>
          </w:p>
        </w:tc>
        <w:tc>
          <w:tcPr>
            <w:tcW w:type="dxa" w:w="366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tcPr>
          <w:p>
            <w:r>
              <w:rPr>
                <w:b w:val="false"/>
                <w:bCs w:val="false"/>
              </w:rPr>
              <w:t xml:space="preserve">Pre-identify 3 potential BVI-based buyers who would take boat at ~80% of our basis.</w:t>
            </w:r>
          </w:p>
        </w:tc>
        <w:tc>
          <w:tcPr>
            <w:tcW w:type="dxa" w:w="300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tcPr>
          <w:p>
            <w:r>
              <w:rPr>
                <w:b w:val="false"/>
                <w:bCs w:val="false"/>
              </w:rPr>
              <w:t xml:space="preserve">Refresh annually.</w:t>
            </w:r>
          </w:p>
        </w:tc>
      </w:tr>
      <w:tr>
        <w:tc>
          <w:tcPr>
            <w:tcW w:type="dxa" w:w="40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b/>
                <w:bCs/>
              </w:rPr>
              <w:t xml:space="preserve">9</w:t>
            </w:r>
          </w:p>
        </w:tc>
        <w:tc>
          <w:tcPr>
            <w:tcW w:type="dxa" w:w="230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b w:val="false"/>
                <w:bCs w:val="false"/>
              </w:rPr>
              <w:t xml:space="preserve">Operating agreement</w:t>
            </w:r>
          </w:p>
        </w:tc>
        <w:tc>
          <w:tcPr>
            <w:tcW w:type="dxa" w:w="366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b w:val="false"/>
                <w:bCs w:val="false"/>
              </w:rPr>
              <w:t xml:space="preserve">Drafted by maritime attorney; key-person life insurance in place; buy-sell + deadlock clauses explicit.</w:t>
            </w:r>
          </w:p>
        </w:tc>
        <w:tc>
          <w:tcPr>
            <w:tcW w:type="dxa" w:w="300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b w:val="false"/>
                <w:bCs w:val="false"/>
              </w:rPr>
              <w:t xml:space="preserve">Review biennially.</w:t>
            </w:r>
          </w:p>
        </w:tc>
      </w:tr>
      <w:tr>
        <w:tc>
          <w:tcPr>
            <w:tcW w:type="dxa" w:w="40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tcPr>
          <w:p>
            <w:r>
              <w:rPr>
                <w:b/>
                <w:bCs/>
              </w:rPr>
              <w:t xml:space="preserve">10</w:t>
            </w:r>
          </w:p>
        </w:tc>
        <w:tc>
          <w:tcPr>
            <w:tcW w:type="dxa" w:w="230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tcPr>
          <w:p>
            <w:r>
              <w:rPr>
                <w:b w:val="false"/>
                <w:bCs w:val="false"/>
              </w:rPr>
              <w:t xml:space="preserve">Timing</w:t>
            </w:r>
          </w:p>
        </w:tc>
        <w:tc>
          <w:tcPr>
            <w:tcW w:type="dxa" w:w="366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tcPr>
          <w:p>
            <w:r>
              <w:rPr>
                <w:b w:val="false"/>
                <w:bCs w:val="false"/>
              </w:rPr>
              <w:t xml:space="preserve">Decide whether to close pre- or post-Section-122 expiry.</w:t>
            </w:r>
          </w:p>
        </w:tc>
        <w:tc>
          <w:tcPr>
            <w:tcW w:type="dxa" w:w="300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tcPr>
          <w:p>
            <w:r>
              <w:rPr>
                <w:b w:val="false"/>
                <w:bCs w:val="false"/>
              </w:rPr>
              <w:t xml:space="preserve">N/A — this is a go-now or go-later decision.</w:t>
            </w:r>
          </w:p>
        </w:tc>
      </w:tr>
    </w:tbl>
    <w:p>
      <w:pPr>
        <w:pStyle w:val="Heading2"/>
        <w:spacing w:after="120" w:before="280"/>
      </w:pPr>
      <w:r>
        <w:rPr>
          <w:b/>
          <w:bCs/>
        </w:rPr>
        <w:t xml:space="preserve">6.1 Three conditions under which the plan becomes actionable</w:t>
      </w:r>
    </w:p>
    <w:p>
      <w:pPr>
        <w:pStyle w:val="ListParagraph"/>
        <w:numPr>
          <w:ilvl w:val="0"/>
          <w:numId w:val="2"/>
        </w:numPr>
        <w:spacing w:after="60" w:before="60"/>
      </w:pPr>
      <w:r>
        <w:t xml:space="preserve">The deal clears on charter cash flow alone, at 50% occupancy, with $50K storm reserve funded and without any assumed flip profit.</w:t>
      </w:r>
    </w:p>
    <w:p>
      <w:pPr>
        <w:pStyle w:val="ListParagraph"/>
        <w:numPr>
          <w:ilvl w:val="0"/>
          <w:numId w:val="2"/>
        </w:numPr>
        <w:spacing w:after="60" w:before="60"/>
      </w:pPr>
      <w:r>
        <w:t xml:space="preserve">Both partners have independent disposable income (not from the business) sufficient to cover 12 months of LLC debt service in the event of a hurricane year.</w:t>
      </w:r>
    </w:p>
    <w:p>
      <w:pPr>
        <w:pStyle w:val="ListParagraph"/>
        <w:numPr>
          <w:ilvl w:val="0"/>
          <w:numId w:val="2"/>
        </w:numPr>
        <w:spacing w:after="60" w:before="60"/>
      </w:pPr>
      <w:r>
        <w:t xml:space="preserve">The friends-and-family investors explicitly accept a realistic downside that repays them from either the eventual flip or the eventual sale, not from Y1–Y2 charter revenue.</w:t>
      </w:r>
    </w:p>
    <w:p>
      <w:pPr>
        <w:pStyle w:val="Heading2"/>
        <w:spacing w:after="120" w:before="280"/>
      </w:pPr>
      <w:r>
        <w:rPr>
          <w:b/>
          <w:bCs/>
        </w:rPr>
        <w:t xml:space="preserve">6.2 Three conditions under which the plan should not proceed as drafted</w:t>
      </w:r>
    </w:p>
    <w:p>
      <w:pPr>
        <w:pStyle w:val="ListParagraph"/>
        <w:numPr>
          <w:ilvl w:val="0"/>
          <w:numId w:val="2"/>
        </w:numPr>
        <w:spacing w:after="60" w:before="60"/>
      </w:pPr>
      <w:r>
        <w:t xml:space="preserve">The flip margin is required to make the deal work. (Because flip margin is highly exposed to tariff policy volatility.)</w:t>
      </w:r>
    </w:p>
    <w:p>
      <w:pPr>
        <w:pStyle w:val="ListParagraph"/>
        <w:numPr>
          <w:ilvl w:val="0"/>
          <w:numId w:val="2"/>
        </w:numPr>
        <w:spacing w:after="60" w:before="60"/>
      </w:pPr>
      <w:r>
        <w:t xml:space="preserve">The LLC cannot fund the hurricane deductible in cash independently of the F&amp;F notes.</w:t>
      </w:r>
    </w:p>
    <w:p>
      <w:pPr>
        <w:pStyle w:val="ListParagraph"/>
        <w:numPr>
          <w:ilvl w:val="0"/>
          <w:numId w:val="2"/>
        </w:numPr>
        <w:spacing w:after="60" w:before="60"/>
      </w:pPr>
      <w:r>
        <w:t xml:space="preserve">The plan's 12–18 month F&amp;F repayment language is not revised to match the realistic downside profile.</w:t>
      </w:r>
    </w:p>
    <w:p>
      <w:r>
        <w:br w:type="page"/>
      </w:r>
    </w:p>
    <w:p>
      <w:pPr>
        <w:pStyle w:val="Heading1"/>
        <w:spacing w:after="160" w:before="360"/>
      </w:pPr>
      <w:r>
        <w:rPr>
          <w:b/>
          <w:bCs/>
        </w:rPr>
        <w:t xml:space="preserve">7. Sources and Citations</w:t>
      </w:r>
    </w:p>
    <w:p>
      <w:pPr>
        <w:spacing w:after="80" w:before="80"/>
      </w:pPr>
      <w:r>
        <w:t xml:space="preserve">All figures and claims in this memo are tied to public sources below. Where the plan's original figures are used unchanged, no citation is added — those refer to the source document (charter_business_plan.md).</w:t>
      </w:r>
    </w:p>
    <w:p>
      <w:pPr>
        <w:pStyle w:val="Heading2"/>
        <w:spacing w:after="120" w:before="280"/>
      </w:pPr>
      <w:r>
        <w:rPr>
          <w:b/>
          <w:bCs/>
        </w:rPr>
        <w:t xml:space="preserve">7.1 Tariff / IEEPA</w:t>
      </w:r>
    </w:p>
    <w:p>
      <w:pPr>
        <w:pStyle w:val="ListParagraph"/>
        <w:numPr>
          <w:ilvl w:val="0"/>
          <w:numId w:val="3"/>
        </w:numPr>
        <w:spacing w:after="40" w:before="40"/>
      </w:pPr>
      <w:r>
        <w:t xml:space="preserve">Supreme Court ruling on IEEPA tariffs (Feb 20, 2026) — </w:t>
      </w:r>
      <w:hyperlink w:history="1" r:id="rId729gs-jwuoy0totclvlmq">
        <w:r>
          <w:rPr>
            <w:rStyle w:val="Hyperlink"/>
          </w:rPr>
          <w:t xml:space="preserve">SCOTUSblog summary</w:t>
        </w:r>
      </w:hyperlink>
    </w:p>
    <w:p>
      <w:pPr>
        <w:pStyle w:val="ListParagraph"/>
        <w:numPr>
          <w:ilvl w:val="0"/>
          <w:numId w:val="3"/>
        </w:numPr>
        <w:spacing w:after="40" w:before="40"/>
      </w:pPr>
      <w:r>
        <w:t xml:space="preserve">Section 122 replacement tariffs — </w:t>
      </w:r>
      <w:hyperlink w:history="1" r:id="rIdutuw1rsk6hd_axolapoy8">
        <w:r>
          <w:rPr>
            <w:rStyle w:val="Hyperlink"/>
          </w:rPr>
          <w:t xml:space="preserve">Covington briefing</w:t>
        </w:r>
      </w:hyperlink>
    </w:p>
    <w:p>
      <w:pPr>
        <w:pStyle w:val="ListParagraph"/>
        <w:numPr>
          <w:ilvl w:val="0"/>
          <w:numId w:val="3"/>
        </w:numPr>
        <w:spacing w:after="40" w:before="40"/>
      </w:pPr>
      <w:r>
        <w:t xml:space="preserve">Section 122 at 10% now, 15% signaled — </w:t>
      </w:r>
      <w:hyperlink w:history="1" r:id="rId_iy5bzehfyiusut4pdk_9">
        <w:r>
          <w:rPr>
            <w:rStyle w:val="Hyperlink"/>
          </w:rPr>
          <w:t xml:space="preserve">Wipfli</w:t>
        </w:r>
      </w:hyperlink>
    </w:p>
    <w:p>
      <w:pPr>
        <w:pStyle w:val="ListParagraph"/>
        <w:numPr>
          <w:ilvl w:val="0"/>
          <w:numId w:val="3"/>
        </w:numPr>
        <w:spacing w:after="40" w:before="40"/>
      </w:pPr>
      <w:r>
        <w:t xml:space="preserve">CBP CAPE refund portal live April 20, 2026 — </w:t>
      </w:r>
      <w:hyperlink w:history="1" r:id="rIdenzxz9mlslborzpobycst">
        <w:r>
          <w:rPr>
            <w:rStyle w:val="Hyperlink"/>
          </w:rPr>
          <w:t xml:space="preserve">Customs &amp; International Trade Law Blog</w:t>
        </w:r>
      </w:hyperlink>
    </w:p>
    <w:p>
      <w:pPr>
        <w:pStyle w:val="Heading2"/>
        <w:spacing w:after="120" w:before="280"/>
      </w:pPr>
      <w:r>
        <w:rPr>
          <w:b/>
          <w:bCs/>
        </w:rPr>
        <w:t xml:space="preserve">7.2 Hurricane risk</w:t>
      </w:r>
    </w:p>
    <w:p>
      <w:pPr>
        <w:pStyle w:val="ListParagraph"/>
        <w:numPr>
          <w:ilvl w:val="0"/>
          <w:numId w:val="3"/>
        </w:numPr>
        <w:spacing w:after="40" w:before="40"/>
      </w:pPr>
      <w:r>
        <w:t xml:space="preserve">Irma caused 179 Moorings/Sunsail constructive total losses — </w:t>
      </w:r>
      <w:hyperlink w:history="1" r:id="rIdg3_fzu40iaz7ikpxvqyxu">
        <w:r>
          <w:rPr>
            <w:rStyle w:val="Hyperlink"/>
          </w:rPr>
          <w:t xml:space="preserve">NauticEd blog</w:t>
        </w:r>
      </w:hyperlink>
      <w:r>
        <w:t xml:space="preserve"> and </w:t>
      </w:r>
      <w:hyperlink w:history="1" r:id="rIdzawgkicp1pdrevr8lrvwz">
        <w:r>
          <w:rPr>
            <w:rStyle w:val="Hyperlink"/>
          </w:rPr>
          <w:t xml:space="preserve">Moorings Brokerage repair blog</w:t>
        </w:r>
      </w:hyperlink>
    </w:p>
    <w:p>
      <w:pPr>
        <w:pStyle w:val="ListParagraph"/>
        <w:numPr>
          <w:ilvl w:val="0"/>
          <w:numId w:val="3"/>
        </w:numPr>
        <w:spacing w:after="40" w:before="40"/>
      </w:pPr>
      <w:r>
        <w:t xml:space="preserve">2024 season: 66% major-hurricane probability through the Caribbean — </w:t>
      </w:r>
      <w:hyperlink w:history="1" r:id="rIdc4naexggpxpuazbka2eid">
        <w:r>
          <w:rPr>
            <w:rStyle w:val="Hyperlink"/>
          </w:rPr>
          <w:t xml:space="preserve">BVI Government</w:t>
        </w:r>
      </w:hyperlink>
    </w:p>
    <w:p>
      <w:pPr>
        <w:pStyle w:val="ListParagraph"/>
        <w:numPr>
          <w:ilvl w:val="0"/>
          <w:numId w:val="3"/>
        </w:numPr>
        <w:spacing w:after="40" w:before="40"/>
      </w:pPr>
      <w:r>
        <w:t xml:space="preserve">2025 forecast 56% Caribbean major-hurricane probability — </w:t>
      </w:r>
      <w:hyperlink w:history="1" r:id="rId0pfwugisko7vtk0xh_del">
        <w:r>
          <w:rPr>
            <w:rStyle w:val="Hyperlink"/>
          </w:rPr>
          <w:t xml:space="preserve">Colorado State TC Research</w:t>
        </w:r>
      </w:hyperlink>
    </w:p>
    <w:p>
      <w:pPr>
        <w:pStyle w:val="ListParagraph"/>
        <w:numPr>
          <w:ilvl w:val="0"/>
          <w:numId w:val="3"/>
        </w:numPr>
        <w:spacing w:after="40" w:before="40"/>
      </w:pPr>
      <w:r>
        <w:t xml:space="preserve">BVI recovery from Irma (operational by late 2018) — </w:t>
      </w:r>
      <w:hyperlink w:history="1" r:id="rId-kpsy7kp6oixgfdeywotm">
        <w:r>
          <w:rPr>
            <w:rStyle w:val="Hyperlink"/>
          </w:rPr>
          <w:t xml:space="preserve">Boatbookings</w:t>
        </w:r>
      </w:hyperlink>
    </w:p>
    <w:p>
      <w:pPr>
        <w:pStyle w:val="Heading2"/>
        <w:spacing w:after="120" w:before="280"/>
      </w:pPr>
      <w:r>
        <w:rPr>
          <w:b/>
          <w:bCs/>
        </w:rPr>
        <w:t xml:space="preserve">7.3 Insurance market</w:t>
      </w:r>
    </w:p>
    <w:p>
      <w:pPr>
        <w:pStyle w:val="ListParagraph"/>
        <w:numPr>
          <w:ilvl w:val="0"/>
          <w:numId w:val="3"/>
        </w:numPr>
        <w:spacing w:after="40" w:before="40"/>
      </w:pPr>
      <w:r>
        <w:t xml:space="preserve">Named-storm deductibles 15–20% in Caribbean; premium 1.5–3% hull value; only 2 A-rated insurers remaining — </w:t>
      </w:r>
      <w:hyperlink w:history="1" r:id="rIdpabomalsbbem6ktskefn0">
        <w:r>
          <w:rPr>
            <w:rStyle w:val="Hyperlink"/>
          </w:rPr>
          <w:t xml:space="preserve">Casey Insurance</w:t>
        </w:r>
      </w:hyperlink>
      <w:r>
        <w:t xml:space="preserve"> and </w:t>
      </w:r>
      <w:hyperlink w:history="1" r:id="rIdvcgtpxgtueklpbaa7gxvy">
        <w:r>
          <w:rPr>
            <w:rStyle w:val="Hyperlink"/>
          </w:rPr>
          <w:t xml:space="preserve">Scaling Masts</w:t>
        </w:r>
      </w:hyperlink>
    </w:p>
    <w:p>
      <w:pPr>
        <w:pStyle w:val="ListParagraph"/>
        <w:numPr>
          <w:ilvl w:val="0"/>
          <w:numId w:val="3"/>
        </w:numPr>
        <w:spacing w:after="40" w:before="40"/>
      </w:pPr>
      <w:r>
        <w:t xml:space="preserve">Agreed-value vs ACV, charter-disclosure denial reasons — </w:t>
      </w:r>
      <w:hyperlink w:history="1" r:id="rIdoaxrckjstxnzjwaf_pmuh">
        <w:r>
          <w:rPr>
            <w:rStyle w:val="Hyperlink"/>
          </w:rPr>
          <w:t xml:space="preserve">Catamaran Gurus</w:t>
        </w:r>
      </w:hyperlink>
    </w:p>
    <w:p>
      <w:pPr>
        <w:pStyle w:val="ListParagraph"/>
        <w:numPr>
          <w:ilvl w:val="0"/>
          <w:numId w:val="3"/>
        </w:numPr>
        <w:spacing w:after="40" w:before="40"/>
      </w:pPr>
      <w:r>
        <w:t xml:space="preserve">Travelers v. Ocean Reef Charters (Irma claim ruling) — </w:t>
      </w:r>
      <w:hyperlink w:history="1" r:id="rIdikfia6hcdmld5jbb9lbhi">
        <w:r>
          <w:rPr>
            <w:rStyle w:val="Hyperlink"/>
          </w:rPr>
          <w:t xml:space="preserve">Insurance Journal</w:t>
        </w:r>
      </w:hyperlink>
    </w:p>
    <w:p>
      <w:pPr>
        <w:pStyle w:val="Heading2"/>
        <w:spacing w:after="120" w:before="280"/>
      </w:pPr>
      <w:r>
        <w:rPr>
          <w:b/>
          <w:bCs/>
        </w:rPr>
        <w:t xml:space="preserve">7.4 Used catamaran market</w:t>
      </w:r>
    </w:p>
    <w:p>
      <w:pPr>
        <w:pStyle w:val="ListParagraph"/>
        <w:numPr>
          <w:ilvl w:val="0"/>
          <w:numId w:val="3"/>
        </w:numPr>
        <w:spacing w:after="40" w:before="40"/>
      </w:pPr>
      <w:r>
        <w:t xml:space="preserve">Used catamaran price decline 2025–2026 — </w:t>
      </w:r>
      <w:hyperlink w:history="1" r:id="rIdenojlj81z_i8ax701-oza">
        <w:r>
          <w:rPr>
            <w:rStyle w:val="Hyperlink"/>
          </w:rPr>
          <w:t xml:space="preserve">Caraibe Yachts</w:t>
        </w:r>
      </w:hyperlink>
    </w:p>
    <w:p>
      <w:pPr>
        <w:pStyle w:val="ListParagraph"/>
        <w:numPr>
          <w:ilvl w:val="0"/>
          <w:numId w:val="3"/>
        </w:numPr>
        <w:spacing w:after="40" w:before="40"/>
      </w:pPr>
      <w:r>
        <w:t xml:space="preserve">249 Leopards listed on YachtWorld — </w:t>
      </w:r>
      <w:hyperlink w:history="1" r:id="rId2krzl5wjibjjlsezzdl1g">
        <w:r>
          <w:rPr>
            <w:rStyle w:val="Hyperlink"/>
          </w:rPr>
          <w:t xml:space="preserve">YachtWorld</w:t>
        </w:r>
      </w:hyperlink>
    </w:p>
    <w:p>
      <w:pPr>
        <w:pStyle w:val="ListParagraph"/>
        <w:numPr>
          <w:ilvl w:val="0"/>
          <w:numId w:val="3"/>
        </w:numPr>
        <w:spacing w:after="40" w:before="40"/>
      </w:pPr>
      <w:r>
        <w:t xml:space="preserve">Charter-ownership resale ~60–65% after 5 years — </w:t>
      </w:r>
      <w:hyperlink w:history="1" r:id="rIdppsmi9dfhtg3dvm9u22uf">
        <w:r>
          <w:rPr>
            <w:rStyle w:val="Hyperlink"/>
          </w:rPr>
          <w:t xml:space="preserve">Catamaran Gurus</w:t>
        </w:r>
      </w:hyperlink>
    </w:p>
    <w:p>
      <w:pPr>
        <w:pStyle w:val="Heading2"/>
        <w:spacing w:after="120" w:before="280"/>
      </w:pPr>
      <w:r>
        <w:rPr>
          <w:b/>
          <w:bCs/>
        </w:rPr>
        <w:t xml:space="preserve">7.5 SBA / debt mechanics</w:t>
      </w:r>
    </w:p>
    <w:p>
      <w:pPr>
        <w:pStyle w:val="ListParagraph"/>
        <w:numPr>
          <w:ilvl w:val="0"/>
          <w:numId w:val="3"/>
        </w:numPr>
        <w:spacing w:after="40" w:before="40"/>
      </w:pPr>
      <w:r>
        <w:t xml:space="preserve">SBA 7(a) rates April 2026 — </w:t>
      </w:r>
      <w:hyperlink w:history="1" r:id="rIdfrgnwnu9ocuqcpjv27hyr">
        <w:r>
          <w:rPr>
            <w:rStyle w:val="Hyperlink"/>
          </w:rPr>
          <w:t xml:space="preserve">Lendio</w:t>
        </w:r>
      </w:hyperlink>
    </w:p>
    <w:p>
      <w:pPr>
        <w:pStyle w:val="ListParagraph"/>
        <w:numPr>
          <w:ilvl w:val="0"/>
          <w:numId w:val="3"/>
        </w:numPr>
        <w:spacing w:after="40" w:before="40"/>
      </w:pPr>
      <w:r>
        <w:t xml:space="preserve">SBA 7(a) guaranty-purchase / default mechanics — </w:t>
      </w:r>
      <w:hyperlink w:history="1" r:id="rIdsl0vozoigpd6tsn8pyd7f">
        <w:r>
          <w:rPr>
            <w:rStyle w:val="Hyperlink"/>
          </w:rPr>
          <w:t xml:space="preserve">SBA.gov</w:t>
        </w:r>
      </w:hyperlink>
    </w:p>
    <w:p>
      <w:pPr>
        <w:pStyle w:val="Heading2"/>
        <w:spacing w:after="120" w:before="280"/>
      </w:pPr>
      <w:r>
        <w:rPr>
          <w:b/>
          <w:bCs/>
        </w:rPr>
        <w:t xml:space="preserve">7.6 BVI charter demand</w:t>
      </w:r>
    </w:p>
    <w:p>
      <w:pPr>
        <w:pStyle w:val="ListParagraph"/>
        <w:numPr>
          <w:ilvl w:val="0"/>
          <w:numId w:val="3"/>
        </w:numPr>
        <w:spacing w:after="40" w:before="40"/>
      </w:pPr>
      <w:r>
        <w:t xml:space="preserve">BVI visitor arrivals (+9.8% to 1.09M in 2024) — cited in source plan, originally from BVI Government Jan 2025.</w:t>
      </w:r>
    </w:p>
    <w:p>
      <w:pPr>
        <w:pStyle w:val="ListParagraph"/>
        <w:numPr>
          <w:ilvl w:val="0"/>
          <w:numId w:val="3"/>
        </w:numPr>
        <w:spacing w:after="40" w:before="40"/>
      </w:pPr>
      <w:r>
        <w:t xml:space="preserve">BVI fleet size 685 vessels, 40% of Caribbean charter fleet — </w:t>
      </w:r>
      <w:hyperlink w:history="1" r:id="rId2maznfwybqjwndxcajwmu">
        <w:r>
          <w:rPr>
            <w:rStyle w:val="Hyperlink"/>
          </w:rPr>
          <w:t xml:space="preserve">12knots.com</w:t>
        </w:r>
      </w:hyperlink>
    </w:p>
    <w:p>
      <w:pPr>
        <w:pStyle w:val="Heading1"/>
        <w:spacing w:after="160" w:before="360"/>
      </w:pPr>
      <w:r>
        <w:rPr>
          <w:b/>
          <w:bCs/>
        </w:rPr>
        <w:t xml:space="preserve">8. Appendix: One-page summary for the partner</w:t>
      </w:r>
    </w:p>
    <w:p>
      <w:pPr>
        <w:spacing w:after="80" w:before="80"/>
      </w:pPr>
      <w:r>
        <w:rPr>
          <w:i/>
          <w:iCs/>
        </w:rPr>
        <w:t xml:space="preserve">If the partner reads only one page, this is it:</w:t>
      </w:r>
    </w:p>
    <w:p>
      <w:pPr>
        <w:pStyle w:val="Heading3"/>
        <w:spacing w:after="80" w:before="200"/>
      </w:pPr>
      <w:r>
        <w:rPr>
          <w:b/>
          <w:bCs/>
        </w:rPr>
        <w:t xml:space="preserve">Top three objections, ranked</w:t>
      </w:r>
    </w:p>
    <w:p>
      <w:pPr>
        <w:pStyle w:val="ListParagraph"/>
        <w:numPr>
          <w:ilvl w:val="0"/>
          <w:numId w:val="2"/>
        </w:numPr>
        <w:spacing w:after="60" w:before="60"/>
      </w:pPr>
      <w:r>
        <w:t xml:space="preserve">The tariff that creates the arbitrage was struck down in Feb 2026 and replaced with a 150-day emergency 10% tariff expiring in late July 2026. We are underwriting a 10-year deal on a sub-6-month policy snapshot.</w:t>
      </w:r>
    </w:p>
    <w:p>
      <w:pPr>
        <w:pStyle w:val="ListParagraph"/>
        <w:numPr>
          <w:ilvl w:val="0"/>
          <w:numId w:val="2"/>
        </w:numPr>
        <w:spacing w:after="60" w:before="60"/>
      </w:pPr>
      <w:r>
        <w:t xml:space="preserve">Realistic Year 1 — normal ramp, honest insurance, honest expenses — is about $28K cash-flow negative. The friends-and-family money isn't servicing debt out of charter profit; it is absorbing the first-year loss.</w:t>
      </w:r>
    </w:p>
    <w:p>
      <w:pPr>
        <w:pStyle w:val="ListParagraph"/>
        <w:numPr>
          <w:ilvl w:val="0"/>
          <w:numId w:val="2"/>
        </w:numPr>
        <w:spacing w:after="60" w:before="60"/>
      </w:pPr>
      <w:r>
        <w:t xml:space="preserve">Hurricane deductibles in the Caribbean are 15–20% of hull value, not 2–5%. We need $45–60K in LLC cash available year-round before any insurer sends a check. That reserve and the F&amp;F notes cannot be the same dollars.</w:t>
      </w:r>
    </w:p>
    <w:p>
      <w:pPr>
        <w:pStyle w:val="Heading3"/>
        <w:spacing w:after="80" w:before="200"/>
      </w:pPr>
      <w:r>
        <w:rPr>
          <w:b/>
          <w:bCs/>
        </w:rPr>
        <w:t xml:space="preserve">Ask of the partner</w:t>
      </w:r>
    </w:p>
    <w:p>
      <w:pPr>
        <w:spacing w:after="80" w:before="80"/>
      </w:pPr>
      <w:r>
        <w:t xml:space="preserve">Mark up this memo. For each of the ten numbered objections in Section 5, write down: (a) your view on severity (low/medium/high), (b) what it would take to resolve it before close, and (c) whether, even if resolved, it would still keep you up at night. Send it back before we spend any more money on LLC formation or maritime attorney retainers.</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tabs>
        <w:tab w:val="right" w:pos="9026"/>
      </w:tabs>
    </w:pPr>
    <w:r>
      <w:rPr>
        <w:color w:val="808080"/>
        <w:sz w:val="18"/>
        <w:szCs w:val="18"/>
      </w:rPr>
      <w:t xml:space="preserve">Prepared April 22, 2026</w:t>
    </w:r>
    <w:r>
      <w:rPr>
        <w:color w:val="808080"/>
        <w:sz w:val="18"/>
        <w:szCs w:val="18"/>
      </w:rPr>
      <w:t xml:space="preserve">	Page </w:t>
    </w:r>
    <w:r>
      <w:rPr>
        <w:color w:val="808080"/>
        <w:sz w:val="18"/>
        <w:szCs w:val="18"/>
      </w:rPr>
      <w:fldChar w:fldCharType="begin"/>
      <w:instrText xml:space="preserve">PAGE</w:instrText>
      <w:fldChar w:fldCharType="separate"/>
      <w:fldChar w:fldCharType="end"/>
    </w:r>
    <w:r>
      <w:rPr>
        <w:color w:val="808080"/>
        <w:sz w:val="18"/>
        <w:szCs w:val="18"/>
      </w:rPr>
      <w:t xml:space="preserve"> of </w:t>
    </w:r>
    <w:r>
      <w:rPr>
        <w:color w:val="808080"/>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i/>
        <w:iCs/>
        <w:color w:val="808080"/>
        <w:sz w:val="18"/>
        <w:szCs w:val="18"/>
      </w:rPr>
      <w:t xml:space="preserve">Charter Catamaran Business — Worst-Case Memo</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60"/>
      <w:outlineLvl w:val="0"/>
    </w:pPr>
    <w:rPr>
      <w:rFonts w:ascii="Calibri" w:cs="Calibri" w:eastAsia="Calibri" w:hAnsi="Calibri"/>
      <w:b/>
      <w:bCs/>
      <w:color w:val="1F3A5F"/>
      <w:sz w:val="30"/>
      <w:szCs w:val="30"/>
    </w:rPr>
  </w:style>
  <w:style w:type="paragraph" w:styleId="Heading2">
    <w:name w:val="Heading 2"/>
    <w:basedOn w:val="Normal"/>
    <w:next w:val="Normal"/>
    <w:qFormat/>
    <w:pPr>
      <w:spacing w:after="120" w:before="280"/>
      <w:outlineLvl w:val="1"/>
    </w:pPr>
    <w:rPr>
      <w:rFonts w:ascii="Calibri" w:cs="Calibri" w:eastAsia="Calibri" w:hAnsi="Calibri"/>
      <w:b/>
      <w:bCs/>
      <w:color w:val="1F3A5F"/>
      <w:sz w:val="26"/>
      <w:szCs w:val="26"/>
    </w:rPr>
  </w:style>
  <w:style w:type="paragraph" w:styleId="Heading3">
    <w:name w:val="Heading 3"/>
    <w:basedOn w:val="Normal"/>
    <w:next w:val="Normal"/>
    <w:qFormat/>
    <w:pPr>
      <w:spacing w:after="80" w:before="200"/>
      <w:outlineLvl w:val="2"/>
    </w:pPr>
    <w:rPr>
      <w:rFonts w:ascii="Calibri" w:cs="Calibri" w:eastAsia="Calibri" w:hAnsi="Calibri"/>
      <w:b/>
      <w:bCs/>
      <w:color w:val="2E4A6F"/>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729gs-jwuoy0totclvlmq" Type="http://schemas.openxmlformats.org/officeDocument/2006/relationships/hyperlink" Target="https://www.scotusblog.com/2026/02/a-breakdown-of-the-courts-tariff-decision/" TargetMode="External"/><Relationship Id="rIdutuw1rsk6hd_axolapoy8" Type="http://schemas.openxmlformats.org/officeDocument/2006/relationships/hyperlink" Target="https://www.cov.com/en/news-and-insights/insights/2026/02/ieepa-tariffs-terminated-replacement-section-122-tariffs-take-effect" TargetMode="External"/><Relationship Id="rId_iy5bzehfyiusut4pdk_9" Type="http://schemas.openxmlformats.org/officeDocument/2006/relationships/hyperlink" Target="https://www.wipfli.com/insights/articles/section-122-tariffs-10-now-15-may-be-next" TargetMode="External"/><Relationship Id="rIdenzxz9mlslborzpobycst" Type="http://schemas.openxmlformats.org/officeDocument/2006/relationships/hyperlink" Target="https://customsandinternationaltradelaw.com/2026/04/17/breaking-trade-news-ieepa-refunds-update-section-122-hearing-upcoming-301-tariffs/" TargetMode="External"/><Relationship Id="rIdg3_fzu40iaz7ikpxvqyxu" Type="http://schemas.openxmlformats.org/officeDocument/2006/relationships/hyperlink" Target="https://sailing-blog.nauticed.org/hurricane-irma-destroys-charter-fleet-in-bvi/" TargetMode="External"/><Relationship Id="rIdzawgkicp1pdrevr8lrvwz" Type="http://schemas.openxmlformats.org/officeDocument/2006/relationships/hyperlink" Target="https://blog.mooringsbrokerage.com/repairing-hurricane-damaged-boats" TargetMode="External"/><Relationship Id="rIdc4naexggpxpuazbka2eid" Type="http://schemas.openxmlformats.org/officeDocument/2006/relationships/hyperlink" Target="https://www.bvi.gov.vg/media-centre/23-named-storms-forecast-2024-hurricane-season" TargetMode="External"/><Relationship Id="rId0pfwugisko7vtk0xh_del" Type="http://schemas.openxmlformats.org/officeDocument/2006/relationships/hyperlink" Target="https://tropical.colostate.edu/Forecast/2025-07.pdf" TargetMode="External"/><Relationship Id="rId-kpsy7kp6oixgfdeywotm" Type="http://schemas.openxmlformats.org/officeDocument/2006/relationships/hyperlink" Target="https://www.boatbookings.com/blog/2018/04/20/the-bvi-6-months-after-irma-a-charter-paradise-springs-back-to-life/" TargetMode="External"/><Relationship Id="rIdpabomalsbbem6ktskefn0" Type="http://schemas.openxmlformats.org/officeDocument/2006/relationships/hyperlink" Target="https://caseyinsurancecompanies.com/blog/does-boat-insurance-cover-hurricanes-named-storms/" TargetMode="External"/><Relationship Id="rIdvcgtpxgtueklpbaa7gxvy" Type="http://schemas.openxmlformats.org/officeDocument/2006/relationships/hyperlink" Target="https://www.scalingmasts.com/p/why-have-sailing-catamaran-insurance-premiums-been-rising" TargetMode="External"/><Relationship Id="rIdoaxrckjstxnzjwaf_pmuh" Type="http://schemas.openxmlformats.org/officeDocument/2006/relationships/hyperlink" Target="https://catamaranguru.com/yacht-insurance-know-the-pitfalls/" TargetMode="External"/><Relationship Id="rIdikfia6hcdmld5jbb9lbhi" Type="http://schemas.openxmlformats.org/officeDocument/2006/relationships/hyperlink" Target="https://www.insurancejournal.com/news/southeast/2023/06/28/727560.htm" TargetMode="External"/><Relationship Id="rIdenojlj81z_i8ax701-oza" Type="http://schemas.openxmlformats.org/officeDocument/2006/relationships/hyperlink" Target="https://www.caraibe-yachts.com/en/buy-and-sell/the-2025-2026-used-boat-market-a-sharp-return-to-reality" TargetMode="External"/><Relationship Id="rId2krzl5wjibjjlsezzdl1g" Type="http://schemas.openxmlformats.org/officeDocument/2006/relationships/hyperlink" Target="https://www.yachtworld.com/boats-for-sale/make-leopard/" TargetMode="External"/><Relationship Id="rIdppsmi9dfhtg3dvm9u22uf" Type="http://schemas.openxmlformats.org/officeDocument/2006/relationships/hyperlink" Target="https://catamaranguru.com/charter-management/charter-yacht-management-programs-do-the-numbers-work/" TargetMode="External"/><Relationship Id="rIdfrgnwnu9ocuqcpjv27hyr" Type="http://schemas.openxmlformats.org/officeDocument/2006/relationships/hyperlink" Target="https://www.lendio.com/blog/sba-loan-interest-rates" TargetMode="External"/><Relationship Id="rIdsl0vozoigpd6tsn8pyd7f" Type="http://schemas.openxmlformats.org/officeDocument/2006/relationships/hyperlink" Target="https://www.sba.gov/about-sba/sba-locations/loan-guaranty-centers/national-guaranty-purchase-center-herndon-va/guaranty-purchase-process" TargetMode="External"/><Relationship Id="rId2maznfwybqjwndxcajwmu" Type="http://schemas.openxmlformats.org/officeDocument/2006/relationships/hyperlink" Target="https://12knots.com/en/yacht-charter/destinations/caribbean/" TargetMode="External"/><Relationship Id="rId2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Caribbean Charter Catamaran — Worst-Case Scenario Memo</dc:title>
  <dc:creator>Business Plan Red Team</dc:creator>
  <dc:description>Stress-tested pressure test of the charter catamaran business plan for partner review</dc:description>
  <cp:lastModifiedBy>Un-named</cp:lastModifiedBy>
  <cp:revision>1</cp:revision>
  <dcterms:created xsi:type="dcterms:W3CDTF">2026-04-22T16:34:14.167Z</dcterms:created>
  <dcterms:modified xsi:type="dcterms:W3CDTF">2026-04-22T16:34:14.168Z</dcterms:modified>
</cp:coreProperties>
</file>

<file path=docProps/custom.xml><?xml version="1.0" encoding="utf-8"?>
<Properties xmlns="http://schemas.openxmlformats.org/officeDocument/2006/custom-properties" xmlns:vt="http://schemas.openxmlformats.org/officeDocument/2006/docPropsVTypes"/>
</file>