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r>
        <w:rPr>
          <w:b/>
          <w:color w:val="132C44"/>
          <w:sz w:val="54"/>
        </w:rPr>
        <w:t>PLAN INTEGRAL DEL MVP</w:t>
      </w:r>
    </w:p>
    <w:p>
      <w:r>
        <w:rPr>
          <w:color w:val="007775"/>
          <w:sz w:val="32"/>
        </w:rPr>
        <w:t>Asistente legal con IA para la preparación de demandas autogestionables en Perú</w:t>
      </w:r>
    </w:p>
    <w:p>
      <w:pPr>
        <w:spacing w:before="480"/>
      </w:pPr>
      <w:r>
        <w:rPr>
          <w:color w:val="5E6A76"/>
          <w:sz w:val="22"/>
        </w:rPr>
        <w:t>Requisitos · historias de usuario · corpus normativo · Groq · PostgreSQL · RAG · PDFs · arquitectura y despliegue</w:t>
      </w:r>
    </w:p>
    <w:p>
      <w:pPr>
        <w:spacing w:before="480"/>
      </w:pPr>
      <w:r>
        <w:rPr>
          <w:b/>
        </w:rPr>
        <w:t>VERSIÓN DE TRABAJO 1.0  |  07 DE OCTUBRE DE 2026</w:t>
      </w:r>
    </w:p>
    <w:p>
      <w:r>
        <w:t>Ámbito inicial: Perú · Derecho de familia · demanda de alimentos a favor de niñas, niños y adolescentes.</w:t>
      </w:r>
    </w:p>
    <w:p>
      <w:r>
        <w:t>Destinatario: desarrollo de producto, validación jurídica, diseño de software y presentación de proyecto académico.</w:t>
      </w:r>
    </w:p>
    <w:p>
      <w:pPr>
        <w:pStyle w:val="Callout"/>
      </w:pPr>
      <w:r>
        <w:t>DECISIÓN CENTRAL: arrancar con un único procedimiento legalmente verificado, una plantilla oficial controlada y Groq como componente lingüístico; ampliar por procedimientos, no por “todas las leyes”.</w:t>
      </w:r>
    </w:p>
    <w:p>
      <w:pPr>
        <w:pStyle w:val="SmallText"/>
      </w:pPr>
      <w:r>
        <w:t>Naturaleza: especificación de software. No acredita la vigencia actual de cada disposición ni constituye dictamen jurídico. Antes de admitir documentos reales debe existir revisión jurídica y de protección de datos.</w:t>
      </w:r>
    </w:p>
    <w:p>
      <w:r>
        <w:br w:type="page"/>
      </w:r>
    </w:p>
    <w:p>
      <w:pPr>
        <w:pStyle w:val="Heading1"/>
      </w:pPr>
      <w:r>
        <w:t>Resumen ejecutivo y decisiones cerradas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3"/>
            <w:vAlign w:val="center"/>
          </w:tcPr>
          <w:p>
            <w:r>
              <w:rPr>
                <w:b/>
                <w:color w:val="FFFFFF"/>
                <w:sz w:val="16"/>
              </w:rPr>
              <w:t>Aspecto</w:t>
            </w:r>
          </w:p>
        </w:tc>
        <w:tc>
          <w:tcPr>
            <w:tcW w:type="dxa" w:w="3173"/>
            <w:shd w:fill="173B53"/>
            <w:vAlign w:val="center"/>
          </w:tcPr>
          <w:p>
            <w:r>
              <w:rPr>
                <w:b/>
                <w:color w:val="FFFFFF"/>
                <w:sz w:val="16"/>
              </w:rPr>
              <w:t>Decisión MVP</w:t>
            </w:r>
          </w:p>
        </w:tc>
        <w:tc>
          <w:tcPr>
            <w:tcW w:type="dxa" w:w="3173"/>
            <w:shd w:fill="173B53"/>
            <w:vAlign w:val="center"/>
          </w:tcPr>
          <w:p>
            <w:r>
              <w:rPr>
                <w:b/>
                <w:color w:val="FFFFFF"/>
                <w:sz w:val="16"/>
              </w:rPr>
              <w:t>Condición / límite</w:t>
            </w:r>
          </w:p>
        </w:tc>
      </w:tr>
      <w:tr>
        <w:tc>
          <w:tcPr>
            <w:tcW w:type="dxa" w:w="3173"/>
            <w:vAlign w:val="center"/>
            <w:shd w:fill="F0F5F8"/>
          </w:tcPr>
          <w:p>
            <w:pPr>
              <w:spacing w:after="40" w:before="20"/>
            </w:pPr>
            <w:r>
              <w:rPr>
                <w:sz w:val="16"/>
              </w:rPr>
              <w:t>Usuario</w:t>
            </w:r>
          </w:p>
        </w:tc>
        <w:tc>
          <w:tcPr>
            <w:tcW w:type="dxa" w:w="3173"/>
            <w:vAlign w:val="center"/>
            <w:shd w:fill="F0F5F8"/>
          </w:tcPr>
          <w:p>
            <w:pPr>
              <w:spacing w:after="40" w:before="20"/>
            </w:pPr>
            <w:r>
              <w:rPr>
                <w:sz w:val="16"/>
              </w:rPr>
              <w:t>Personas que desean iniciar un trámite sencillo</w:t>
            </w:r>
          </w:p>
        </w:tc>
        <w:tc>
          <w:tcPr>
            <w:tcW w:type="dxa" w:w="3173"/>
            <w:vAlign w:val="center"/>
            <w:shd w:fill="F0F5F8"/>
          </w:tcPr>
          <w:p>
            <w:pPr>
              <w:spacing w:after="40" w:before="20"/>
            </w:pPr>
            <w:r>
              <w:rPr>
                <w:sz w:val="16"/>
              </w:rPr>
              <w:t>La persona es titular del trámite y revisa el resultado.</w:t>
            </w:r>
          </w:p>
        </w:tc>
      </w:tr>
      <w:tr>
        <w:tc>
          <w:tcPr>
            <w:tcW w:type="dxa" w:w="3173"/>
            <w:vAlign w:val="center"/>
          </w:tcPr>
          <w:p>
            <w:pPr>
              <w:spacing w:after="40" w:before="20"/>
            </w:pPr>
            <w:r>
              <w:rPr>
                <w:sz w:val="16"/>
              </w:rPr>
              <w:t>Primer procedimiento</w:t>
            </w:r>
          </w:p>
        </w:tc>
        <w:tc>
          <w:tcPr>
            <w:tcW w:type="dxa" w:w="3173"/>
            <w:vAlign w:val="center"/>
          </w:tcPr>
          <w:p>
            <w:pPr>
              <w:spacing w:after="40" w:before="20"/>
            </w:pPr>
            <w:r>
              <w:rPr>
                <w:sz w:val="16"/>
              </w:rPr>
              <w:t>Demanda de alimentos para menores</w:t>
            </w:r>
          </w:p>
        </w:tc>
        <w:tc>
          <w:tcPr>
            <w:tcW w:type="dxa" w:w="3173"/>
            <w:vAlign w:val="center"/>
          </w:tcPr>
          <w:p>
            <w:pPr>
              <w:spacing w:after="40" w:before="20"/>
            </w:pPr>
            <w:r>
              <w:rPr>
                <w:sz w:val="16"/>
              </w:rPr>
              <w:t>No extender automáticamente a toda materia de familia.</w:t>
            </w:r>
          </w:p>
        </w:tc>
      </w:tr>
      <w:tr>
        <w:tc>
          <w:tcPr>
            <w:tcW w:type="dxa" w:w="3173"/>
            <w:vAlign w:val="center"/>
            <w:shd w:fill="F0F5F8"/>
          </w:tcPr>
          <w:p>
            <w:pPr>
              <w:spacing w:after="40" w:before="20"/>
            </w:pPr>
            <w:r>
              <w:rPr>
                <w:sz w:val="16"/>
              </w:rPr>
              <w:t>Alcance de la IA</w:t>
            </w:r>
          </w:p>
        </w:tc>
        <w:tc>
          <w:tcPr>
            <w:tcW w:type="dxa" w:w="3173"/>
            <w:vAlign w:val="center"/>
            <w:shd w:fill="F0F5F8"/>
          </w:tcPr>
          <w:p>
            <w:pPr>
              <w:spacing w:after="40" w:before="20"/>
            </w:pPr>
            <w:r>
              <w:rPr>
                <w:sz w:val="16"/>
              </w:rPr>
              <w:t>Entrevista, extracción, explicación y redacción</w:t>
            </w:r>
          </w:p>
        </w:tc>
        <w:tc>
          <w:tcPr>
            <w:tcW w:type="dxa" w:w="3173"/>
            <w:vAlign w:val="center"/>
            <w:shd w:fill="F0F5F8"/>
          </w:tcPr>
          <w:p>
            <w:pPr>
              <w:spacing w:after="40" w:before="20"/>
            </w:pPr>
            <w:r>
              <w:rPr>
                <w:sz w:val="16"/>
              </w:rPr>
              <w:t>No sustituye al juez ni certifica validez judicial.</w:t>
            </w:r>
          </w:p>
        </w:tc>
      </w:tr>
      <w:tr>
        <w:tc>
          <w:tcPr>
            <w:tcW w:type="dxa" w:w="3173"/>
            <w:vAlign w:val="center"/>
          </w:tcPr>
          <w:p>
            <w:pPr>
              <w:spacing w:after="40" w:before="20"/>
            </w:pPr>
            <w:r>
              <w:rPr>
                <w:sz w:val="16"/>
              </w:rPr>
              <w:t>LLM</w:t>
            </w:r>
          </w:p>
        </w:tc>
        <w:tc>
          <w:tcPr>
            <w:tcW w:type="dxa" w:w="3173"/>
            <w:vAlign w:val="center"/>
          </w:tcPr>
          <w:p>
            <w:pPr>
              <w:spacing w:after="40" w:before="20"/>
            </w:pPr>
            <w:r>
              <w:rPr>
                <w:sz w:val="16"/>
              </w:rPr>
              <w:t>Groq API / openai/gpt-oss-120b</w:t>
            </w:r>
          </w:p>
        </w:tc>
        <w:tc>
          <w:tcPr>
            <w:tcW w:type="dxa" w:w="3173"/>
            <w:vAlign w:val="center"/>
          </w:tcPr>
          <w:p>
            <w:pPr>
              <w:spacing w:after="40" w:before="20"/>
            </w:pPr>
            <w:r>
              <w:rPr>
                <w:sz w:val="16"/>
              </w:rPr>
              <w:t>Adecuado para prototipo; probar límites y calidad.</w:t>
            </w:r>
          </w:p>
        </w:tc>
      </w:tr>
      <w:tr>
        <w:tc>
          <w:tcPr>
            <w:tcW w:type="dxa" w:w="3173"/>
            <w:vAlign w:val="center"/>
            <w:shd w:fill="F0F5F8"/>
          </w:tcPr>
          <w:p>
            <w:pPr>
              <w:spacing w:after="40" w:before="20"/>
            </w:pPr>
            <w:r>
              <w:rPr>
                <w:sz w:val="16"/>
              </w:rPr>
              <w:t>Datos</w:t>
            </w:r>
          </w:p>
        </w:tc>
        <w:tc>
          <w:tcPr>
            <w:tcW w:type="dxa" w:w="3173"/>
            <w:vAlign w:val="center"/>
            <w:shd w:fill="F0F5F8"/>
          </w:tcPr>
          <w:p>
            <w:pPr>
              <w:spacing w:after="40" w:before="20"/>
            </w:pPr>
            <w:r>
              <w:rPr>
                <w:sz w:val="16"/>
              </w:rPr>
              <w:t>PostgreSQL + pgvector</w:t>
            </w:r>
          </w:p>
        </w:tc>
        <w:tc>
          <w:tcPr>
            <w:tcW w:type="dxa" w:w="3173"/>
            <w:vAlign w:val="center"/>
            <w:shd w:fill="F0F5F8"/>
          </w:tcPr>
          <w:p>
            <w:pPr>
              <w:spacing w:after="40" w:before="20"/>
            </w:pPr>
            <w:r>
              <w:rPr>
                <w:sz w:val="16"/>
              </w:rPr>
              <w:t>Separar datos personales, corpus y reglas.</w:t>
            </w:r>
          </w:p>
        </w:tc>
      </w:tr>
      <w:tr>
        <w:tc>
          <w:tcPr>
            <w:tcW w:type="dxa" w:w="3173"/>
            <w:vAlign w:val="center"/>
          </w:tcPr>
          <w:p>
            <w:pPr>
              <w:spacing w:after="40" w:before="20"/>
            </w:pPr>
            <w:r>
              <w:rPr>
                <w:sz w:val="16"/>
              </w:rPr>
              <w:t>Documentos</w:t>
            </w:r>
          </w:p>
        </w:tc>
        <w:tc>
          <w:tcPr>
            <w:tcW w:type="dxa" w:w="3173"/>
            <w:vAlign w:val="center"/>
          </w:tcPr>
          <w:p>
            <w:pPr>
              <w:spacing w:after="40" w:before="20"/>
            </w:pPr>
            <w:r>
              <w:rPr>
                <w:sz w:val="16"/>
              </w:rPr>
              <w:t>Plantilla HTML versionada → PDF</w:t>
            </w:r>
          </w:p>
        </w:tc>
        <w:tc>
          <w:tcPr>
            <w:tcW w:type="dxa" w:w="3173"/>
            <w:vAlign w:val="center"/>
          </w:tcPr>
          <w:p>
            <w:pPr>
              <w:spacing w:after="40" w:before="20"/>
            </w:pPr>
            <w:r>
              <w:rPr>
                <w:sz w:val="16"/>
              </w:rPr>
              <w:t>PDF revisable; aceptación por portal no garantizada.</w:t>
            </w:r>
          </w:p>
        </w:tc>
      </w:tr>
      <w:tr>
        <w:tc>
          <w:tcPr>
            <w:tcW w:type="dxa" w:w="3173"/>
            <w:vAlign w:val="center"/>
            <w:shd w:fill="F0F5F8"/>
          </w:tcPr>
          <w:p>
            <w:pPr>
              <w:spacing w:after="40" w:before="20"/>
            </w:pPr>
            <w:r>
              <w:rPr>
                <w:sz w:val="16"/>
              </w:rPr>
              <w:t>Presentación</w:t>
            </w:r>
          </w:p>
        </w:tc>
        <w:tc>
          <w:tcPr>
            <w:tcW w:type="dxa" w:w="3173"/>
            <w:vAlign w:val="center"/>
            <w:shd w:fill="F0F5F8"/>
          </w:tcPr>
          <w:p>
            <w:pPr>
              <w:spacing w:after="40" w:before="20"/>
            </w:pPr>
            <w:r>
              <w:rPr>
                <w:sz w:val="16"/>
              </w:rPr>
              <w:t>Enlace e instrucciones oficiales</w:t>
            </w:r>
          </w:p>
        </w:tc>
        <w:tc>
          <w:tcPr>
            <w:tcW w:type="dxa" w:w="3173"/>
            <w:vAlign w:val="center"/>
            <w:shd w:fill="F0F5F8"/>
          </w:tcPr>
          <w:p>
            <w:pPr>
              <w:spacing w:after="40" w:before="20"/>
            </w:pPr>
            <w:r>
              <w:rPr>
                <w:sz w:val="16"/>
              </w:rPr>
              <w:t>La persona se identifica y envía; sin automatización no autorizada.</w:t>
            </w:r>
          </w:p>
        </w:tc>
      </w:tr>
      <w:tr>
        <w:tc>
          <w:tcPr>
            <w:tcW w:type="dxa" w:w="3173"/>
            <w:vAlign w:val="center"/>
          </w:tcPr>
          <w:p>
            <w:pPr>
              <w:spacing w:after="40" w:before="20"/>
            </w:pPr>
            <w:r>
              <w:rPr>
                <w:sz w:val="16"/>
              </w:rPr>
              <w:t>Nube</w:t>
            </w:r>
          </w:p>
        </w:tc>
        <w:tc>
          <w:tcPr>
            <w:tcW w:type="dxa" w:w="3173"/>
            <w:vAlign w:val="center"/>
          </w:tcPr>
          <w:p>
            <w:pPr>
              <w:spacing w:after="40" w:before="20"/>
            </w:pPr>
            <w:r>
              <w:rPr>
                <w:sz w:val="16"/>
              </w:rPr>
              <w:t>Frontend + API + base gestionada</w:t>
            </w:r>
          </w:p>
        </w:tc>
        <w:tc>
          <w:tcPr>
            <w:tcW w:type="dxa" w:w="3173"/>
            <w:vAlign w:val="center"/>
          </w:tcPr>
          <w:p>
            <w:pPr>
              <w:spacing w:after="40" w:before="20"/>
            </w:pPr>
            <w:r>
              <w:rPr>
                <w:sz w:val="16"/>
              </w:rPr>
              <w:t>Credenciales solo en backend; acceso privado.</w:t>
            </w:r>
          </w:p>
        </w:tc>
      </w:tr>
      <w:tr>
        <w:tc>
          <w:tcPr>
            <w:tcW w:type="dxa" w:w="3173"/>
            <w:vAlign w:val="center"/>
            <w:shd w:fill="F0F5F8"/>
          </w:tcPr>
          <w:p>
            <w:pPr>
              <w:spacing w:after="40" w:before="20"/>
            </w:pPr>
            <w:r>
              <w:rPr>
                <w:sz w:val="16"/>
              </w:rPr>
              <w:t>Validación jurídica</w:t>
            </w:r>
          </w:p>
        </w:tc>
        <w:tc>
          <w:tcPr>
            <w:tcW w:type="dxa" w:w="3173"/>
            <w:vAlign w:val="center"/>
            <w:shd w:fill="F0F5F8"/>
          </w:tcPr>
          <w:p>
            <w:pPr>
              <w:spacing w:after="40" w:before="20"/>
            </w:pPr>
            <w:r>
              <w:rPr>
                <w:sz w:val="16"/>
              </w:rPr>
              <w:t>Lista blanca por procedimiento</w:t>
            </w:r>
          </w:p>
        </w:tc>
        <w:tc>
          <w:tcPr>
            <w:tcW w:type="dxa" w:w="3173"/>
            <w:vAlign w:val="center"/>
            <w:shd w:fill="F0F5F8"/>
          </w:tcPr>
          <w:p>
            <w:pPr>
              <w:spacing w:after="40" w:before="20"/>
            </w:pPr>
            <w:r>
              <w:rPr>
                <w:sz w:val="16"/>
              </w:rPr>
              <w:t>Aprobación humana antes de habilitar cada caso.</w:t>
            </w:r>
          </w:p>
        </w:tc>
      </w:tr>
    </w:tbl>
    <w:p>
      <w:pPr>
        <w:spacing w:after="0"/>
      </w:pPr>
    </w:p>
    <w:p>
      <w:pPr>
        <w:pStyle w:val="Heading2"/>
      </w:pPr>
      <w:r>
        <w:t>Objetivo y propuesta de valor</w:t>
      </w:r>
    </w:p>
    <w:p>
      <w:r>
        <w:t>Reducir las dificultades de comprensión y preparación documental para ciudadanos que pueden actuar sin abogado, mediante entrevistas sencillas, control de requisitos, redacción sustentada y orientación de presentación. La plataforma es un asistente de preparación, no una oficina judicial ni un despacho de abogados.</w:t>
      </w:r>
    </w:p>
    <w:p>
      <w:r>
        <w:t>Diferencia frente a pedir una demanda genérica a un LLM: flujo verificable, reglas de admisión de procedimientos, preguntas obligatorias/condicionales, fuentes rastreables, anexos contrastados, plantilla estable, controles de seguridad y trazabilidad de versiones.</w:t>
      </w:r>
    </w:p>
    <w:p>
      <w:pPr>
        <w:pStyle w:val="Heading1"/>
      </w:pPr>
      <w:r>
        <w:t>1. Revisión del PDF entregado y diagnóstico de suficiencia</w:t>
      </w:r>
    </w:p>
    <w:p>
      <w:pPr>
        <w:pStyle w:val="Heading2"/>
      </w:pPr>
      <w:r>
        <w:t>1.1 Documento revisado: Codigo-Civil.pdf</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3"/>
            <w:vAlign w:val="center"/>
          </w:tcPr>
          <w:p>
            <w:r>
              <w:rPr>
                <w:b/>
                <w:color w:val="FFFFFF"/>
                <w:sz w:val="15"/>
              </w:rPr>
              <w:t>Criterio</w:t>
            </w:r>
          </w:p>
        </w:tc>
        <w:tc>
          <w:tcPr>
            <w:tcW w:type="dxa" w:w="3173"/>
            <w:shd w:fill="173B53"/>
            <w:vAlign w:val="center"/>
          </w:tcPr>
          <w:p>
            <w:r>
              <w:rPr>
                <w:b/>
                <w:color w:val="FFFFFF"/>
                <w:sz w:val="15"/>
              </w:rPr>
              <w:t>Hallazgo</w:t>
            </w:r>
          </w:p>
        </w:tc>
        <w:tc>
          <w:tcPr>
            <w:tcW w:type="dxa" w:w="3173"/>
            <w:shd w:fill="173B53"/>
            <w:vAlign w:val="center"/>
          </w:tcPr>
          <w:p>
            <w:r>
              <w:rPr>
                <w:b/>
                <w:color w:val="FFFFFF"/>
                <w:sz w:val="15"/>
              </w:rPr>
              <w:t>Uso recomendado</w:t>
            </w:r>
          </w:p>
        </w:tc>
      </w:tr>
      <w:tr>
        <w:tc>
          <w:tcPr>
            <w:tcW w:type="dxa" w:w="3173"/>
            <w:vAlign w:val="center"/>
            <w:shd w:fill="F0F5F8"/>
          </w:tcPr>
          <w:p>
            <w:pPr>
              <w:spacing w:after="40" w:before="20"/>
            </w:pPr>
            <w:r>
              <w:rPr>
                <w:sz w:val="15"/>
              </w:rPr>
              <w:t>Identificación</w:t>
            </w:r>
          </w:p>
        </w:tc>
        <w:tc>
          <w:tcPr>
            <w:tcW w:type="dxa" w:w="3173"/>
            <w:vAlign w:val="center"/>
            <w:shd w:fill="F0F5F8"/>
          </w:tcPr>
          <w:p>
            <w:pPr>
              <w:spacing w:after="40" w:before="20"/>
            </w:pPr>
            <w:r>
              <w:rPr>
                <w:sz w:val="15"/>
              </w:rPr>
              <w:t>Código Civil, Decreto Legislativo N.º 295, MINJUSDH.</w:t>
            </w:r>
          </w:p>
        </w:tc>
        <w:tc>
          <w:tcPr>
            <w:tcW w:type="dxa" w:w="3173"/>
            <w:vAlign w:val="center"/>
            <w:shd w:fill="F0F5F8"/>
          </w:tcPr>
          <w:p>
            <w:pPr>
              <w:spacing w:after="40" w:before="20"/>
            </w:pPr>
            <w:r>
              <w:rPr>
                <w:sz w:val="15"/>
              </w:rPr>
              <w:t>Fuente normativa de referencia.</w:t>
            </w:r>
          </w:p>
        </w:tc>
      </w:tr>
      <w:tr>
        <w:tc>
          <w:tcPr>
            <w:tcW w:type="dxa" w:w="3173"/>
            <w:vAlign w:val="center"/>
          </w:tcPr>
          <w:p>
            <w:pPr>
              <w:spacing w:after="40" w:before="20"/>
            </w:pPr>
            <w:r>
              <w:rPr>
                <w:sz w:val="15"/>
              </w:rPr>
              <w:t>Edición</w:t>
            </w:r>
          </w:p>
        </w:tc>
        <w:tc>
          <w:tcPr>
            <w:tcW w:type="dxa" w:w="3173"/>
            <w:vAlign w:val="center"/>
          </w:tcPr>
          <w:p>
            <w:pPr>
              <w:spacing w:after="40" w:before="20"/>
            </w:pPr>
            <w:r>
              <w:rPr>
                <w:sz w:val="15"/>
              </w:rPr>
              <w:t>Decimosexta edición oficial, marzo de 2015.</w:t>
            </w:r>
          </w:p>
        </w:tc>
        <w:tc>
          <w:tcPr>
            <w:tcW w:type="dxa" w:w="3173"/>
            <w:vAlign w:val="center"/>
          </w:tcPr>
          <w:p>
            <w:pPr>
              <w:spacing w:after="40" w:before="20"/>
            </w:pPr>
            <w:r>
              <w:rPr>
                <w:sz w:val="15"/>
              </w:rPr>
              <w:t>Registrar edición exacta en metadata.</w:t>
            </w:r>
          </w:p>
        </w:tc>
      </w:tr>
      <w:tr>
        <w:tc>
          <w:tcPr>
            <w:tcW w:type="dxa" w:w="3173"/>
            <w:vAlign w:val="center"/>
            <w:shd w:fill="F0F5F8"/>
          </w:tcPr>
          <w:p>
            <w:pPr>
              <w:spacing w:after="40" w:before="20"/>
            </w:pPr>
            <w:r>
              <w:rPr>
                <w:sz w:val="15"/>
              </w:rPr>
              <w:t>Corte de actualización</w:t>
            </w:r>
          </w:p>
        </w:tc>
        <w:tc>
          <w:tcPr>
            <w:tcW w:type="dxa" w:w="3173"/>
            <w:vAlign w:val="center"/>
            <w:shd w:fill="F0F5F8"/>
          </w:tcPr>
          <w:p>
            <w:pPr>
              <w:spacing w:after="40" w:before="20"/>
            </w:pPr>
            <w:r>
              <w:rPr>
                <w:sz w:val="15"/>
              </w:rPr>
              <w:t>La guía del lector fija actualización al 1 de marzo de 2015 (p. 15 del PDF).</w:t>
            </w:r>
          </w:p>
        </w:tc>
        <w:tc>
          <w:tcPr>
            <w:tcW w:type="dxa" w:w="3173"/>
            <w:vAlign w:val="center"/>
            <w:shd w:fill="F0F5F8"/>
          </w:tcPr>
          <w:p>
            <w:pPr>
              <w:spacing w:after="40" w:before="20"/>
            </w:pPr>
            <w:r>
              <w:rPr>
                <w:sz w:val="15"/>
              </w:rPr>
              <w:t>NO asumir vigencia actual.</w:t>
            </w:r>
          </w:p>
        </w:tc>
      </w:tr>
      <w:tr>
        <w:tc>
          <w:tcPr>
            <w:tcW w:type="dxa" w:w="3173"/>
            <w:vAlign w:val="center"/>
          </w:tcPr>
          <w:p>
            <w:pPr>
              <w:spacing w:after="40" w:before="20"/>
            </w:pPr>
            <w:r>
              <w:rPr>
                <w:sz w:val="15"/>
              </w:rPr>
              <w:t>Extensión</w:t>
            </w:r>
          </w:p>
        </w:tc>
        <w:tc>
          <w:tcPr>
            <w:tcW w:type="dxa" w:w="3173"/>
            <w:vAlign w:val="center"/>
          </w:tcPr>
          <w:p>
            <w:pPr>
              <w:spacing w:after="40" w:before="20"/>
            </w:pPr>
            <w:r>
              <w:rPr>
                <w:sz w:val="15"/>
              </w:rPr>
              <w:t>723 páginas.</w:t>
            </w:r>
          </w:p>
        </w:tc>
        <w:tc>
          <w:tcPr>
            <w:tcW w:type="dxa" w:w="3173"/>
            <w:vAlign w:val="center"/>
          </w:tcPr>
          <w:p>
            <w:pPr>
              <w:spacing w:after="40" w:before="20"/>
            </w:pPr>
            <w:r>
              <w:rPr>
                <w:sz w:val="15"/>
              </w:rPr>
              <w:t>No enviar archivo completo al modelo.</w:t>
            </w:r>
          </w:p>
        </w:tc>
      </w:tr>
      <w:tr>
        <w:tc>
          <w:tcPr>
            <w:tcW w:type="dxa" w:w="3173"/>
            <w:vAlign w:val="center"/>
            <w:shd w:fill="F0F5F8"/>
          </w:tcPr>
          <w:p>
            <w:pPr>
              <w:spacing w:after="40" w:before="20"/>
            </w:pPr>
            <w:r>
              <w:rPr>
                <w:sz w:val="15"/>
              </w:rPr>
              <w:t>Contenido</w:t>
            </w:r>
          </w:p>
        </w:tc>
        <w:tc>
          <w:tcPr>
            <w:tcW w:type="dxa" w:w="3173"/>
            <w:vAlign w:val="center"/>
            <w:shd w:fill="F0F5F8"/>
          </w:tcPr>
          <w:p>
            <w:pPr>
              <w:spacing w:after="40" w:before="20"/>
            </w:pPr>
            <w:r>
              <w:rPr>
                <w:sz w:val="15"/>
              </w:rPr>
              <w:t>Articulado, concordancias, referencias doctrinarias y jurisprudenciales.</w:t>
            </w:r>
          </w:p>
        </w:tc>
        <w:tc>
          <w:tcPr>
            <w:tcW w:type="dxa" w:w="3173"/>
            <w:vAlign w:val="center"/>
            <w:shd w:fill="F0F5F8"/>
          </w:tcPr>
          <w:p>
            <w:pPr>
              <w:spacing w:after="40" w:before="20"/>
            </w:pPr>
            <w:r>
              <w:rPr>
                <w:sz w:val="15"/>
              </w:rPr>
              <w:t>Separar texto normativo de comentarios/concordancias.</w:t>
            </w:r>
          </w:p>
        </w:tc>
      </w:tr>
      <w:tr>
        <w:tc>
          <w:tcPr>
            <w:tcW w:type="dxa" w:w="3173"/>
            <w:vAlign w:val="center"/>
          </w:tcPr>
          <w:p>
            <w:pPr>
              <w:spacing w:after="40" w:before="20"/>
            </w:pPr>
            <w:r>
              <w:rPr>
                <w:sz w:val="15"/>
              </w:rPr>
              <w:t>Veredicto</w:t>
            </w:r>
          </w:p>
        </w:tc>
        <w:tc>
          <w:tcPr>
            <w:tcW w:type="dxa" w:w="3173"/>
            <w:vAlign w:val="center"/>
          </w:tcPr>
          <w:p>
            <w:pPr>
              <w:spacing w:after="40" w:before="20"/>
            </w:pPr>
            <w:r>
              <w:rPr>
                <w:sz w:val="15"/>
              </w:rPr>
              <w:t>Necesario parcialmente, pero INSUFICIENTE para la demanda.</w:t>
            </w:r>
          </w:p>
        </w:tc>
        <w:tc>
          <w:tcPr>
            <w:tcW w:type="dxa" w:w="3173"/>
            <w:vAlign w:val="center"/>
          </w:tcPr>
          <w:p>
            <w:pPr>
              <w:spacing w:after="40" w:before="20"/>
            </w:pPr>
            <w:r>
              <w:rPr>
                <w:sz w:val="15"/>
              </w:rPr>
              <w:t>Añadir normas procesales, de infancia y formularios actuales.</w:t>
            </w:r>
          </w:p>
        </w:tc>
      </w:tr>
    </w:tbl>
    <w:p>
      <w:pPr>
        <w:spacing w:after="0"/>
      </w:pPr>
    </w:p>
    <w:p>
      <w:pPr>
        <w:pStyle w:val="Callout"/>
      </w:pPr>
      <w:r>
        <w:t>BLOQUEO JURÍDICO: no activar artículos de este PDF como “vigentes” automáticamente. Contrastarlos en SPIJ y textos oficiales posteriores, registrar fecha y responsable de verificación.</w:t>
      </w:r>
    </w:p>
    <w:p>
      <w:pPr>
        <w:pStyle w:val="Heading2"/>
      </w:pPr>
      <w:r>
        <w:t>1.2 Corpus documental mínimo para alimentos</w:t>
      </w:r>
    </w:p>
    <w:tbl>
      <w:tblPr>
        <w:tblStyle w:val="TableGrid"/>
        <w:tblW w:type="auto" w:w="0"/>
        <w:jc w:val="center"/>
        <w:tblLook w:firstColumn="1" w:firstRow="1" w:lastColumn="0" w:lastRow="0" w:noHBand="0" w:noVBand="1" w:val="04A0"/>
      </w:tblPr>
      <w:tblGrid>
        <w:gridCol w:w="2380"/>
        <w:gridCol w:w="2380"/>
        <w:gridCol w:w="2380"/>
        <w:gridCol w:w="2380"/>
      </w:tblGrid>
      <w:tr>
        <w:trPr>
          <w:tblHeader w:val="true"/>
        </w:trPr>
        <w:tc>
          <w:tcPr>
            <w:tcW w:type="dxa" w:w="2380"/>
            <w:shd w:fill="173B53"/>
            <w:vAlign w:val="center"/>
          </w:tcPr>
          <w:p>
            <w:r>
              <w:rPr>
                <w:b/>
                <w:color w:val="FFFFFF"/>
                <w:sz w:val="15"/>
              </w:rPr>
              <w:t>Prioridad</w:t>
            </w:r>
          </w:p>
        </w:tc>
        <w:tc>
          <w:tcPr>
            <w:tcW w:type="dxa" w:w="2380"/>
            <w:shd w:fill="173B53"/>
            <w:vAlign w:val="center"/>
          </w:tcPr>
          <w:p>
            <w:r>
              <w:rPr>
                <w:b/>
                <w:color w:val="FFFFFF"/>
                <w:sz w:val="15"/>
              </w:rPr>
              <w:t>Fuente / documento</w:t>
            </w:r>
          </w:p>
        </w:tc>
        <w:tc>
          <w:tcPr>
            <w:tcW w:type="dxa" w:w="2380"/>
            <w:shd w:fill="173B53"/>
            <w:vAlign w:val="center"/>
          </w:tcPr>
          <w:p>
            <w:r>
              <w:rPr>
                <w:b/>
                <w:color w:val="FFFFFF"/>
                <w:sz w:val="15"/>
              </w:rPr>
              <w:t>Por qué importa</w:t>
            </w:r>
          </w:p>
        </w:tc>
        <w:tc>
          <w:tcPr>
            <w:tcW w:type="dxa" w:w="2380"/>
            <w:shd w:fill="173B53"/>
            <w:vAlign w:val="center"/>
          </w:tcPr>
          <w:p>
            <w:r>
              <w:rPr>
                <w:b/>
                <w:color w:val="FFFFFF"/>
                <w:sz w:val="15"/>
              </w:rPr>
              <w:t>Estado actual</w:t>
            </w:r>
          </w:p>
        </w:tc>
      </w:tr>
      <w:tr>
        <w:tc>
          <w:tcPr>
            <w:tcW w:type="dxa" w:w="2380"/>
            <w:vAlign w:val="center"/>
            <w:shd w:fill="F0F5F8"/>
          </w:tcPr>
          <w:p>
            <w:pPr>
              <w:spacing w:after="40" w:before="20"/>
            </w:pPr>
            <w:r>
              <w:rPr>
                <w:sz w:val="15"/>
              </w:rPr>
              <w:t>P0</w:t>
            </w:r>
          </w:p>
        </w:tc>
        <w:tc>
          <w:tcPr>
            <w:tcW w:type="dxa" w:w="2380"/>
            <w:vAlign w:val="center"/>
            <w:shd w:fill="F0F5F8"/>
          </w:tcPr>
          <w:p>
            <w:pPr>
              <w:spacing w:after="40" w:before="20"/>
            </w:pPr>
            <w:r>
              <w:rPr>
                <w:sz w:val="15"/>
              </w:rPr>
              <w:t>Código de los Niños y Adolescentes (Ley 27337, texto verificado)</w:t>
            </w:r>
          </w:p>
        </w:tc>
        <w:tc>
          <w:tcPr>
            <w:tcW w:type="dxa" w:w="2380"/>
            <w:vAlign w:val="center"/>
            <w:shd w:fill="F0F5F8"/>
          </w:tcPr>
          <w:p>
            <w:pPr>
              <w:spacing w:after="40" w:before="20"/>
            </w:pPr>
            <w:r>
              <w:rPr>
                <w:sz w:val="15"/>
              </w:rPr>
              <w:t>Régimen específico de niñez y alimentos</w:t>
            </w:r>
          </w:p>
        </w:tc>
        <w:tc>
          <w:tcPr>
            <w:tcW w:type="dxa" w:w="2380"/>
            <w:vAlign w:val="center"/>
            <w:shd w:fill="F0F5F8"/>
          </w:tcPr>
          <w:p>
            <w:pPr>
              <w:spacing w:after="40" w:before="20"/>
            </w:pPr>
            <w:r>
              <w:rPr>
                <w:sz w:val="15"/>
              </w:rPr>
              <w:t>POR INCORPORAR</w:t>
            </w:r>
          </w:p>
        </w:tc>
      </w:tr>
      <w:tr>
        <w:tc>
          <w:tcPr>
            <w:tcW w:type="dxa" w:w="2380"/>
            <w:vAlign w:val="center"/>
          </w:tcPr>
          <w:p>
            <w:pPr>
              <w:spacing w:after="40" w:before="20"/>
            </w:pPr>
            <w:r>
              <w:rPr>
                <w:sz w:val="15"/>
              </w:rPr>
              <w:t>P0</w:t>
            </w:r>
          </w:p>
        </w:tc>
        <w:tc>
          <w:tcPr>
            <w:tcW w:type="dxa" w:w="2380"/>
            <w:vAlign w:val="center"/>
          </w:tcPr>
          <w:p>
            <w:pPr>
              <w:spacing w:after="40" w:before="20"/>
            </w:pPr>
            <w:r>
              <w:rPr>
                <w:sz w:val="15"/>
              </w:rPr>
              <w:t>Ley 31464 y modificaciones aplicables</w:t>
            </w:r>
          </w:p>
        </w:tc>
        <w:tc>
          <w:tcPr>
            <w:tcW w:type="dxa" w:w="2380"/>
            <w:vAlign w:val="center"/>
          </w:tcPr>
          <w:p>
            <w:pPr>
              <w:spacing w:after="40" w:before="20"/>
            </w:pPr>
            <w:r>
              <w:rPr>
                <w:sz w:val="15"/>
              </w:rPr>
              <w:t>Reglas de postulación y modalidad de presentación</w:t>
            </w:r>
          </w:p>
        </w:tc>
        <w:tc>
          <w:tcPr>
            <w:tcW w:type="dxa" w:w="2380"/>
            <w:vAlign w:val="center"/>
          </w:tcPr>
          <w:p>
            <w:pPr>
              <w:spacing w:after="40" w:before="20"/>
            </w:pPr>
            <w:r>
              <w:rPr>
                <w:sz w:val="15"/>
              </w:rPr>
              <w:t>POR INCORPORAR</w:t>
            </w:r>
          </w:p>
        </w:tc>
      </w:tr>
      <w:tr>
        <w:tc>
          <w:tcPr>
            <w:tcW w:type="dxa" w:w="2380"/>
            <w:vAlign w:val="center"/>
            <w:shd w:fill="F0F5F8"/>
          </w:tcPr>
          <w:p>
            <w:pPr>
              <w:spacing w:after="40" w:before="20"/>
            </w:pPr>
            <w:r>
              <w:rPr>
                <w:sz w:val="15"/>
              </w:rPr>
              <w:t>P0</w:t>
            </w:r>
          </w:p>
        </w:tc>
        <w:tc>
          <w:tcPr>
            <w:tcW w:type="dxa" w:w="2380"/>
            <w:vAlign w:val="center"/>
            <w:shd w:fill="F0F5F8"/>
          </w:tcPr>
          <w:p>
            <w:pPr>
              <w:spacing w:after="40" w:before="20"/>
            </w:pPr>
            <w:r>
              <w:rPr>
                <w:sz w:val="15"/>
              </w:rPr>
              <w:t>Código Procesal Civil: disposiciones relevantes y actualizadas</w:t>
            </w:r>
          </w:p>
        </w:tc>
        <w:tc>
          <w:tcPr>
            <w:tcW w:type="dxa" w:w="2380"/>
            <w:vAlign w:val="center"/>
            <w:shd w:fill="F0F5F8"/>
          </w:tcPr>
          <w:p>
            <w:pPr>
              <w:spacing w:after="40" w:before="20"/>
            </w:pPr>
            <w:r>
              <w:rPr>
                <w:sz w:val="15"/>
              </w:rPr>
              <w:t>Requisitos, anexos y trámite</w:t>
            </w:r>
          </w:p>
        </w:tc>
        <w:tc>
          <w:tcPr>
            <w:tcW w:type="dxa" w:w="2380"/>
            <w:vAlign w:val="center"/>
            <w:shd w:fill="F0F5F8"/>
          </w:tcPr>
          <w:p>
            <w:pPr>
              <w:spacing w:after="40" w:before="20"/>
            </w:pPr>
            <w:r>
              <w:rPr>
                <w:sz w:val="15"/>
              </w:rPr>
              <w:t>POR INCORPORAR</w:t>
            </w:r>
          </w:p>
        </w:tc>
      </w:tr>
      <w:tr>
        <w:tc>
          <w:tcPr>
            <w:tcW w:type="dxa" w:w="2380"/>
            <w:vAlign w:val="center"/>
          </w:tcPr>
          <w:p>
            <w:pPr>
              <w:spacing w:after="40" w:before="20"/>
            </w:pPr>
            <w:r>
              <w:rPr>
                <w:sz w:val="15"/>
              </w:rPr>
              <w:t>P0</w:t>
            </w:r>
          </w:p>
        </w:tc>
        <w:tc>
          <w:tcPr>
            <w:tcW w:type="dxa" w:w="2380"/>
            <w:vAlign w:val="center"/>
          </w:tcPr>
          <w:p>
            <w:pPr>
              <w:spacing w:after="40" w:before="20"/>
            </w:pPr>
            <w:r>
              <w:rPr>
                <w:sz w:val="15"/>
              </w:rPr>
              <w:t>Código Civil: artículos relevantes y vigentes</w:t>
            </w:r>
          </w:p>
        </w:tc>
        <w:tc>
          <w:tcPr>
            <w:tcW w:type="dxa" w:w="2380"/>
            <w:vAlign w:val="center"/>
          </w:tcPr>
          <w:p>
            <w:pPr>
              <w:spacing w:after="40" w:before="20"/>
            </w:pPr>
            <w:r>
              <w:rPr>
                <w:sz w:val="15"/>
              </w:rPr>
              <w:t>Derechos y obligaciones sustantivas</w:t>
            </w:r>
          </w:p>
        </w:tc>
        <w:tc>
          <w:tcPr>
            <w:tcW w:type="dxa" w:w="2380"/>
            <w:vAlign w:val="center"/>
          </w:tcPr>
          <w:p>
            <w:pPr>
              <w:spacing w:after="40" w:before="20"/>
            </w:pPr>
            <w:r>
              <w:rPr>
                <w:sz w:val="15"/>
              </w:rPr>
              <w:t>ARCHIVO 2015 / VERIFICAR</w:t>
            </w:r>
          </w:p>
        </w:tc>
      </w:tr>
      <w:tr>
        <w:tc>
          <w:tcPr>
            <w:tcW w:type="dxa" w:w="2380"/>
            <w:vAlign w:val="center"/>
            <w:shd w:fill="F0F5F8"/>
          </w:tcPr>
          <w:p>
            <w:pPr>
              <w:spacing w:after="40" w:before="20"/>
            </w:pPr>
            <w:r>
              <w:rPr>
                <w:sz w:val="15"/>
              </w:rPr>
              <w:t>P0</w:t>
            </w:r>
          </w:p>
        </w:tc>
        <w:tc>
          <w:tcPr>
            <w:tcW w:type="dxa" w:w="2380"/>
            <w:vAlign w:val="center"/>
            <w:shd w:fill="F0F5F8"/>
          </w:tcPr>
          <w:p>
            <w:pPr>
              <w:spacing w:after="40" w:before="20"/>
            </w:pPr>
            <w:r>
              <w:rPr>
                <w:sz w:val="15"/>
              </w:rPr>
              <w:t>Formulario oficial PJ actualizado</w:t>
            </w:r>
          </w:p>
        </w:tc>
        <w:tc>
          <w:tcPr>
            <w:tcW w:type="dxa" w:w="2380"/>
            <w:vAlign w:val="center"/>
            <w:shd w:fill="F0F5F8"/>
          </w:tcPr>
          <w:p>
            <w:pPr>
              <w:spacing w:after="40" w:before="20"/>
            </w:pPr>
            <w:r>
              <w:rPr>
                <w:sz w:val="15"/>
              </w:rPr>
              <w:t>Campos, petitorio, anexos y formato</w:t>
            </w:r>
          </w:p>
        </w:tc>
        <w:tc>
          <w:tcPr>
            <w:tcW w:type="dxa" w:w="2380"/>
            <w:vAlign w:val="center"/>
            <w:shd w:fill="F0F5F8"/>
          </w:tcPr>
          <w:p>
            <w:pPr>
              <w:spacing w:after="40" w:before="20"/>
            </w:pPr>
            <w:r>
              <w:rPr>
                <w:sz w:val="15"/>
              </w:rPr>
              <w:t>POR DESCARGAR</w:t>
            </w:r>
          </w:p>
        </w:tc>
      </w:tr>
      <w:tr>
        <w:tc>
          <w:tcPr>
            <w:tcW w:type="dxa" w:w="2380"/>
            <w:vAlign w:val="center"/>
          </w:tcPr>
          <w:p>
            <w:pPr>
              <w:spacing w:after="40" w:before="20"/>
            </w:pPr>
            <w:r>
              <w:rPr>
                <w:sz w:val="15"/>
              </w:rPr>
              <w:t>P0</w:t>
            </w:r>
          </w:p>
        </w:tc>
        <w:tc>
          <w:tcPr>
            <w:tcW w:type="dxa" w:w="2380"/>
            <w:vAlign w:val="center"/>
          </w:tcPr>
          <w:p>
            <w:pPr>
              <w:spacing w:after="40" w:before="20"/>
            </w:pPr>
            <w:r>
              <w:rPr>
                <w:sz w:val="15"/>
              </w:rPr>
              <w:t>Instrucciones del portal Demanda de Alimentos / MPE</w:t>
            </w:r>
          </w:p>
        </w:tc>
        <w:tc>
          <w:tcPr>
            <w:tcW w:type="dxa" w:w="2380"/>
            <w:vAlign w:val="center"/>
          </w:tcPr>
          <w:p>
            <w:pPr>
              <w:spacing w:after="40" w:before="20"/>
            </w:pPr>
            <w:r>
              <w:rPr>
                <w:sz w:val="15"/>
              </w:rPr>
              <w:t>Canal, requisitos y presentación</w:t>
            </w:r>
          </w:p>
        </w:tc>
        <w:tc>
          <w:tcPr>
            <w:tcW w:type="dxa" w:w="2380"/>
            <w:vAlign w:val="center"/>
          </w:tcPr>
          <w:p>
            <w:pPr>
              <w:spacing w:after="40" w:before="20"/>
            </w:pPr>
            <w:r>
              <w:rPr>
                <w:sz w:val="15"/>
              </w:rPr>
              <w:t>POR DOCUMENTAR</w:t>
            </w:r>
          </w:p>
        </w:tc>
      </w:tr>
      <w:tr>
        <w:tc>
          <w:tcPr>
            <w:tcW w:type="dxa" w:w="2380"/>
            <w:vAlign w:val="center"/>
            <w:shd w:fill="F0F5F8"/>
          </w:tcPr>
          <w:p>
            <w:pPr>
              <w:spacing w:after="40" w:before="20"/>
            </w:pPr>
            <w:r>
              <w:rPr>
                <w:sz w:val="15"/>
              </w:rPr>
              <w:t>P1</w:t>
            </w:r>
          </w:p>
        </w:tc>
        <w:tc>
          <w:tcPr>
            <w:tcW w:type="dxa" w:w="2380"/>
            <w:vAlign w:val="center"/>
            <w:shd w:fill="F0F5F8"/>
          </w:tcPr>
          <w:p>
            <w:pPr>
              <w:spacing w:after="40" w:before="20"/>
            </w:pPr>
            <w:r>
              <w:rPr>
                <w:sz w:val="15"/>
              </w:rPr>
              <w:t>Constitución Política actualizada</w:t>
            </w:r>
          </w:p>
        </w:tc>
        <w:tc>
          <w:tcPr>
            <w:tcW w:type="dxa" w:w="2380"/>
            <w:vAlign w:val="center"/>
            <w:shd w:fill="F0F5F8"/>
          </w:tcPr>
          <w:p>
            <w:pPr>
              <w:spacing w:after="40" w:before="20"/>
            </w:pPr>
            <w:r>
              <w:rPr>
                <w:sz w:val="15"/>
              </w:rPr>
              <w:t>Marco general y principios</w:t>
            </w:r>
          </w:p>
        </w:tc>
        <w:tc>
          <w:tcPr>
            <w:tcW w:type="dxa" w:w="2380"/>
            <w:vAlign w:val="center"/>
            <w:shd w:fill="F0F5F8"/>
          </w:tcPr>
          <w:p>
            <w:pPr>
              <w:spacing w:after="40" w:before="20"/>
            </w:pPr>
            <w:r>
              <w:rPr>
                <w:sz w:val="15"/>
              </w:rPr>
              <w:t>POR INCORPORAR</w:t>
            </w:r>
          </w:p>
        </w:tc>
      </w:tr>
      <w:tr>
        <w:tc>
          <w:tcPr>
            <w:tcW w:type="dxa" w:w="2380"/>
            <w:vAlign w:val="center"/>
          </w:tcPr>
          <w:p>
            <w:pPr>
              <w:spacing w:after="40" w:before="20"/>
            </w:pPr>
            <w:r>
              <w:rPr>
                <w:sz w:val="15"/>
              </w:rPr>
              <w:t>P1</w:t>
            </w:r>
          </w:p>
        </w:tc>
        <w:tc>
          <w:tcPr>
            <w:tcW w:type="dxa" w:w="2380"/>
            <w:vAlign w:val="center"/>
          </w:tcPr>
          <w:p>
            <w:pPr>
              <w:spacing w:after="40" w:before="20"/>
            </w:pPr>
            <w:r>
              <w:rPr>
                <w:sz w:val="15"/>
              </w:rPr>
              <w:t>Directivas de tribunal o corte cuando procedan</w:t>
            </w:r>
          </w:p>
        </w:tc>
        <w:tc>
          <w:tcPr>
            <w:tcW w:type="dxa" w:w="2380"/>
            <w:vAlign w:val="center"/>
          </w:tcPr>
          <w:p>
            <w:pPr>
              <w:spacing w:after="40" w:before="20"/>
            </w:pPr>
            <w:r>
              <w:rPr>
                <w:sz w:val="15"/>
              </w:rPr>
              <w:t>Exigencias operativas específicas</w:t>
            </w:r>
          </w:p>
        </w:tc>
        <w:tc>
          <w:tcPr>
            <w:tcW w:type="dxa" w:w="2380"/>
            <w:vAlign w:val="center"/>
          </w:tcPr>
          <w:p>
            <w:pPr>
              <w:spacing w:after="40" w:before="20"/>
            </w:pPr>
            <w:r>
              <w:rPr>
                <w:sz w:val="15"/>
              </w:rPr>
              <w:t>POR VERIFICAR</w:t>
            </w:r>
          </w:p>
        </w:tc>
      </w:tr>
      <w:tr>
        <w:tc>
          <w:tcPr>
            <w:tcW w:type="dxa" w:w="2380"/>
            <w:vAlign w:val="center"/>
            <w:shd w:fill="F0F5F8"/>
          </w:tcPr>
          <w:p>
            <w:pPr>
              <w:spacing w:after="40" w:before="20"/>
            </w:pPr>
            <w:r>
              <w:rPr>
                <w:sz w:val="15"/>
              </w:rPr>
              <w:t>P2</w:t>
            </w:r>
          </w:p>
        </w:tc>
        <w:tc>
          <w:tcPr>
            <w:tcW w:type="dxa" w:w="2380"/>
            <w:vAlign w:val="center"/>
            <w:shd w:fill="F0F5F8"/>
          </w:tcPr>
          <w:p>
            <w:pPr>
              <w:spacing w:after="40" w:before="20"/>
            </w:pPr>
            <w:r>
              <w:rPr>
                <w:sz w:val="15"/>
              </w:rPr>
              <w:t>Jurisprudencia seleccionada y revisada</w:t>
            </w:r>
          </w:p>
        </w:tc>
        <w:tc>
          <w:tcPr>
            <w:tcW w:type="dxa" w:w="2380"/>
            <w:vAlign w:val="center"/>
            <w:shd w:fill="F0F5F8"/>
          </w:tcPr>
          <w:p>
            <w:pPr>
              <w:spacing w:after="40" w:before="20"/>
            </w:pPr>
            <w:r>
              <w:rPr>
                <w:sz w:val="15"/>
              </w:rPr>
              <w:t>Consulta de casos complejos, fuera del MVP inicial</w:t>
            </w:r>
          </w:p>
        </w:tc>
        <w:tc>
          <w:tcPr>
            <w:tcW w:type="dxa" w:w="2380"/>
            <w:vAlign w:val="center"/>
            <w:shd w:fill="F0F5F8"/>
          </w:tcPr>
          <w:p>
            <w:pPr>
              <w:spacing w:after="40" w:before="20"/>
            </w:pPr>
            <w:r>
              <w:rPr>
                <w:sz w:val="15"/>
              </w:rPr>
              <w:t>NO REQUERIDA</w:t>
            </w:r>
          </w:p>
        </w:tc>
      </w:tr>
    </w:tbl>
    <w:p>
      <w:pPr>
        <w:spacing w:after="0"/>
      </w:pPr>
    </w:p>
    <w:p>
      <w:r>
        <w:t>Los datos abiertos del SPIJ constituyen un catálogo de normas y metadatos, no debe presumirse que incluyen el texto íntegro ni que todo registro está vigente. El Código de los Niños y Adolescentes tiene una publicación del MIMP fechada en marzo de 2026, pero su vigencia artículo por artículo debe comprobarse al incorporarlo.</w:t>
      </w:r>
    </w:p>
    <w:p>
      <w:pPr>
        <w:pStyle w:val="Heading1"/>
      </w:pPr>
      <w:r>
        <w:t>2. Delimitación jurídica y casos habilitados</w:t>
      </w:r>
    </w:p>
    <w:p>
      <w:pPr>
        <w:pStyle w:val="Heading2"/>
      </w:pPr>
      <w:r>
        <w:t>2.1 Política de lista blanca</w:t>
      </w:r>
    </w:p>
    <w:p>
      <w:r>
        <w:t>Solo se muestra como “generable” un procedimiento con ficha aprobada. La ficha debe documentar norma habilitante, evidencia de no exigencia de abogado en la vía concreta, requisitos, autoridad competente, tipo de escrito, medio de presentación, condiciones de exclusión, versión del formulario, fecha y revisor jurídico.</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3"/>
            <w:vAlign w:val="center"/>
          </w:tcPr>
          <w:p>
            <w:r>
              <w:rPr>
                <w:b/>
                <w:color w:val="FFFFFF"/>
                <w:sz w:val="15"/>
              </w:rPr>
              <w:t>Procedimiento candidato</w:t>
            </w:r>
          </w:p>
        </w:tc>
        <w:tc>
          <w:tcPr>
            <w:tcW w:type="dxa" w:w="3173"/>
            <w:shd w:fill="173B53"/>
            <w:vAlign w:val="center"/>
          </w:tcPr>
          <w:p>
            <w:r>
              <w:rPr>
                <w:b/>
                <w:color w:val="FFFFFF"/>
                <w:sz w:val="15"/>
              </w:rPr>
              <w:t>MVP</w:t>
            </w:r>
          </w:p>
        </w:tc>
        <w:tc>
          <w:tcPr>
            <w:tcW w:type="dxa" w:w="3173"/>
            <w:shd w:fill="173B53"/>
            <w:vAlign w:val="center"/>
          </w:tcPr>
          <w:p>
            <w:r>
              <w:rPr>
                <w:b/>
                <w:color w:val="FFFFFF"/>
                <w:sz w:val="15"/>
              </w:rPr>
              <w:t>Observación</w:t>
            </w:r>
          </w:p>
        </w:tc>
      </w:tr>
      <w:tr>
        <w:tc>
          <w:tcPr>
            <w:tcW w:type="dxa" w:w="3173"/>
            <w:vAlign w:val="center"/>
            <w:shd w:fill="F0F5F8"/>
          </w:tcPr>
          <w:p>
            <w:pPr>
              <w:spacing w:after="40" w:before="20"/>
            </w:pPr>
            <w:r>
              <w:rPr>
                <w:sz w:val="15"/>
              </w:rPr>
              <w:t>Demanda de alimentos para NNA</w:t>
            </w:r>
          </w:p>
        </w:tc>
        <w:tc>
          <w:tcPr>
            <w:tcW w:type="dxa" w:w="3173"/>
            <w:vAlign w:val="center"/>
            <w:shd w:fill="F0F5F8"/>
          </w:tcPr>
          <w:p>
            <w:pPr>
              <w:spacing w:after="40" w:before="20"/>
            </w:pPr>
            <w:r>
              <w:rPr>
                <w:sz w:val="15"/>
              </w:rPr>
              <w:t>HABILITAR tras revisión</w:t>
            </w:r>
          </w:p>
        </w:tc>
        <w:tc>
          <w:tcPr>
            <w:tcW w:type="dxa" w:w="3173"/>
            <w:vAlign w:val="center"/>
            <w:shd w:fill="F0F5F8"/>
          </w:tcPr>
          <w:p>
            <w:pPr>
              <w:spacing w:after="40" w:before="20"/>
            </w:pPr>
            <w:r>
              <w:rPr>
                <w:sz w:val="15"/>
              </w:rPr>
              <w:t>Ley 31464, art. 164: no es exigible concurso de abogados [S1].</w:t>
            </w:r>
          </w:p>
        </w:tc>
      </w:tr>
      <w:tr>
        <w:tc>
          <w:tcPr>
            <w:tcW w:type="dxa" w:w="3173"/>
            <w:vAlign w:val="center"/>
          </w:tcPr>
          <w:p>
            <w:pPr>
              <w:spacing w:after="40" w:before="20"/>
            </w:pPr>
            <w:r>
              <w:rPr>
                <w:sz w:val="15"/>
              </w:rPr>
              <w:t>Aumento de alimentos</w:t>
            </w:r>
          </w:p>
        </w:tc>
        <w:tc>
          <w:tcPr>
            <w:tcW w:type="dxa" w:w="3173"/>
            <w:vAlign w:val="center"/>
          </w:tcPr>
          <w:p>
            <w:pPr>
              <w:spacing w:after="40" w:before="20"/>
            </w:pPr>
            <w:r>
              <w:rPr>
                <w:sz w:val="15"/>
              </w:rPr>
              <w:t>PENDIENTE</w:t>
            </w:r>
          </w:p>
        </w:tc>
        <w:tc>
          <w:tcPr>
            <w:tcW w:type="dxa" w:w="3173"/>
            <w:vAlign w:val="center"/>
          </w:tcPr>
          <w:p>
            <w:pPr>
              <w:spacing w:after="40" w:before="20"/>
            </w:pPr>
            <w:r>
              <w:rPr>
                <w:sz w:val="15"/>
              </w:rPr>
              <w:t>Existen formularios PJ; revisar condiciones y documentación.</w:t>
            </w:r>
          </w:p>
        </w:tc>
      </w:tr>
      <w:tr>
        <w:tc>
          <w:tcPr>
            <w:tcW w:type="dxa" w:w="3173"/>
            <w:vAlign w:val="center"/>
            <w:shd w:fill="F0F5F8"/>
          </w:tcPr>
          <w:p>
            <w:pPr>
              <w:spacing w:after="40" w:before="20"/>
            </w:pPr>
            <w:r>
              <w:rPr>
                <w:sz w:val="15"/>
              </w:rPr>
              <w:t>Alimentos de mayores de edad</w:t>
            </w:r>
          </w:p>
        </w:tc>
        <w:tc>
          <w:tcPr>
            <w:tcW w:type="dxa" w:w="3173"/>
            <w:vAlign w:val="center"/>
            <w:shd w:fill="F0F5F8"/>
          </w:tcPr>
          <w:p>
            <w:pPr>
              <w:spacing w:after="40" w:before="20"/>
            </w:pPr>
            <w:r>
              <w:rPr>
                <w:sz w:val="15"/>
              </w:rPr>
              <w:t>PENDIENTE</w:t>
            </w:r>
          </w:p>
        </w:tc>
        <w:tc>
          <w:tcPr>
            <w:tcW w:type="dxa" w:w="3173"/>
            <w:vAlign w:val="center"/>
            <w:shd w:fill="F0F5F8"/>
          </w:tcPr>
          <w:p>
            <w:pPr>
              <w:spacing w:after="40" w:before="20"/>
            </w:pPr>
            <w:r>
              <w:rPr>
                <w:sz w:val="15"/>
              </w:rPr>
              <w:t>Distintas condiciones; crear flujo separado.</w:t>
            </w:r>
          </w:p>
        </w:tc>
      </w:tr>
      <w:tr>
        <w:tc>
          <w:tcPr>
            <w:tcW w:type="dxa" w:w="3173"/>
            <w:vAlign w:val="center"/>
          </w:tcPr>
          <w:p>
            <w:pPr>
              <w:spacing w:after="40" w:before="20"/>
            </w:pPr>
            <w:r>
              <w:rPr>
                <w:sz w:val="15"/>
              </w:rPr>
              <w:t>Filiación acumulada con alimentos</w:t>
            </w:r>
          </w:p>
        </w:tc>
        <w:tc>
          <w:tcPr>
            <w:tcW w:type="dxa" w:w="3173"/>
            <w:vAlign w:val="center"/>
          </w:tcPr>
          <w:p>
            <w:pPr>
              <w:spacing w:after="40" w:before="20"/>
            </w:pPr>
            <w:r>
              <w:rPr>
                <w:sz w:val="15"/>
              </w:rPr>
              <w:t>FUERA del primer MVP</w:t>
            </w:r>
          </w:p>
        </w:tc>
        <w:tc>
          <w:tcPr>
            <w:tcW w:type="dxa" w:w="3173"/>
            <w:vAlign w:val="center"/>
          </w:tcPr>
          <w:p>
            <w:pPr>
              <w:spacing w:after="40" w:before="20"/>
            </w:pPr>
            <w:r>
              <w:rPr>
                <w:sz w:val="15"/>
              </w:rPr>
              <w:t>Mayor complejidad y requisitos propios.</w:t>
            </w:r>
          </w:p>
        </w:tc>
      </w:tr>
      <w:tr>
        <w:tc>
          <w:tcPr>
            <w:tcW w:type="dxa" w:w="3173"/>
            <w:vAlign w:val="center"/>
            <w:shd w:fill="F0F5F8"/>
          </w:tcPr>
          <w:p>
            <w:pPr>
              <w:spacing w:after="40" w:before="20"/>
            </w:pPr>
            <w:r>
              <w:rPr>
                <w:sz w:val="15"/>
              </w:rPr>
              <w:t>Tenencia / régimen de visitas</w:t>
            </w:r>
          </w:p>
        </w:tc>
        <w:tc>
          <w:tcPr>
            <w:tcW w:type="dxa" w:w="3173"/>
            <w:vAlign w:val="center"/>
            <w:shd w:fill="F0F5F8"/>
          </w:tcPr>
          <w:p>
            <w:pPr>
              <w:spacing w:after="40" w:before="20"/>
            </w:pPr>
            <w:r>
              <w:rPr>
                <w:sz w:val="15"/>
              </w:rPr>
              <w:t>NO HABILITAR</w:t>
            </w:r>
          </w:p>
        </w:tc>
        <w:tc>
          <w:tcPr>
            <w:tcW w:type="dxa" w:w="3173"/>
            <w:vAlign w:val="center"/>
            <w:shd w:fill="F0F5F8"/>
          </w:tcPr>
          <w:p>
            <w:pPr>
              <w:spacing w:after="40" w:before="20"/>
            </w:pPr>
            <w:r>
              <w:rPr>
                <w:sz w:val="15"/>
              </w:rPr>
              <w:t>No inferir ausencia de patrocinio desde la existencia de trámites online.</w:t>
            </w:r>
          </w:p>
        </w:tc>
      </w:tr>
      <w:tr>
        <w:tc>
          <w:tcPr>
            <w:tcW w:type="dxa" w:w="3173"/>
            <w:vAlign w:val="center"/>
          </w:tcPr>
          <w:p>
            <w:pPr>
              <w:spacing w:after="40" w:before="20"/>
            </w:pPr>
            <w:r>
              <w:rPr>
                <w:sz w:val="15"/>
              </w:rPr>
              <w:t>Divorcio / violencia / conflictos acumulados</w:t>
            </w:r>
          </w:p>
        </w:tc>
        <w:tc>
          <w:tcPr>
            <w:tcW w:type="dxa" w:w="3173"/>
            <w:vAlign w:val="center"/>
          </w:tcPr>
          <w:p>
            <w:pPr>
              <w:spacing w:after="40" w:before="20"/>
            </w:pPr>
            <w:r>
              <w:rPr>
                <w:sz w:val="15"/>
              </w:rPr>
              <w:t>FUERA DE ALCANCE</w:t>
            </w:r>
          </w:p>
        </w:tc>
        <w:tc>
          <w:tcPr>
            <w:tcW w:type="dxa" w:w="3173"/>
            <w:vAlign w:val="center"/>
          </w:tcPr>
          <w:p>
            <w:pPr>
              <w:spacing w:after="40" w:before="20"/>
            </w:pPr>
            <w:r>
              <w:rPr>
                <w:sz w:val="15"/>
              </w:rPr>
              <w:t>Ofrecer información de alcance y canales oficiales, no demanda automática.</w:t>
            </w:r>
          </w:p>
        </w:tc>
      </w:tr>
    </w:tbl>
    <w:p>
      <w:pPr>
        <w:spacing w:after="0"/>
      </w:pPr>
    </w:p>
    <w:p>
      <w:pPr>
        <w:pStyle w:val="Heading2"/>
      </w:pPr>
      <w:r>
        <w:t>2.2 Causas de detención o revisión humana</w:t>
      </w:r>
    </w:p>
    <w:p>
      <w:pPr>
        <w:pStyle w:val="ListBullet"/>
      </w:pPr>
      <w:r>
        <w:t>Procedimiento no registrado o con ficha jurídica vencida.</w:t>
      </w:r>
    </w:p>
    <w:p>
      <w:pPr>
        <w:pStyle w:val="ListBullet"/>
      </w:pPr>
      <w:r>
        <w:t>Conflicto entre documentos, relato y personas involucradas que no pueda resolverse con preguntas.</w:t>
      </w:r>
    </w:p>
    <w:p>
      <w:pPr>
        <w:pStyle w:val="ListBullet"/>
      </w:pPr>
      <w:r>
        <w:t>Situaciones con múltiples pretensiones, oposición significativa, medidas urgentes o hechos que requieran actuación profesional.</w:t>
      </w:r>
    </w:p>
    <w:p>
      <w:pPr>
        <w:pStyle w:val="ListBullet"/>
      </w:pPr>
      <w:r>
        <w:t>La persona carece de información suficiente para formular afirmaciones relevantes y verificables.</w:t>
      </w:r>
    </w:p>
    <w:p>
      <w:pPr>
        <w:pStyle w:val="ListBullet"/>
      </w:pPr>
      <w:r>
        <w:t>Ausencia de fuente normativa oficial vigente o fallas de recuperación RAG.</w:t>
      </w:r>
    </w:p>
    <w:p>
      <w:pPr>
        <w:pStyle w:val="ListBullet"/>
      </w:pPr>
      <w:r>
        <w:t>La IA intenta aportar hechos, pruebas, montos, artículos o domicilios no declarados.</w:t>
      </w:r>
    </w:p>
    <w:p>
      <w:r>
        <w:t>Importante: un dato no conocido no equivale automáticamente a demanda imposible. El art. 164-A incorporado por la Ley 31464 aclara, por ejemplo, que no consignar información laboral del demandado no determina por sí sola la inadmisibilidad o improcedencia [S1]. Separar campos obligatorios, opcionales y subsanables.</w:t>
      </w:r>
    </w:p>
    <w:p>
      <w:pPr>
        <w:pStyle w:val="Heading1"/>
      </w:pPr>
      <w:r>
        <w:t>3. Arquitectura de la solución y componentes</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NAVEGADOR (React / Next.js + TypeScript)</w:t>
            </w:r>
            <w:r>
              <w:br/>
            </w:r>
            <w:r>
              <w:rPr>
                <w:rFonts w:ascii="Consolas" w:hAnsi="Consolas"/>
                <w:sz w:val="16"/>
              </w:rPr>
              <w:t xml:space="preserve">        | HTTPS + sesión</w:t>
            </w:r>
            <w:r>
              <w:br/>
            </w:r>
            <w:r>
              <w:rPr>
                <w:rFonts w:ascii="Consolas" w:hAnsi="Consolas"/>
                <w:sz w:val="16"/>
              </w:rPr>
              <w:t>API SEGURA (Node.js / Express + TypeScript)</w:t>
            </w:r>
            <w:r>
              <w:br/>
            </w:r>
            <w:r>
              <w:rPr>
                <w:rFonts w:ascii="Consolas" w:hAnsi="Consolas"/>
                <w:sz w:val="16"/>
              </w:rPr>
              <w:t xml:space="preserve">        |-- Motor de procedimientos (reglas deterministas)</w:t>
            </w:r>
            <w:r>
              <w:br/>
            </w:r>
            <w:r>
              <w:rPr>
                <w:rFonts w:ascii="Consolas" w:hAnsi="Consolas"/>
                <w:sz w:val="16"/>
              </w:rPr>
              <w:t xml:space="preserve">        |-- Gestor de entrevista y estado del caso</w:t>
            </w:r>
            <w:r>
              <w:br/>
            </w:r>
            <w:r>
              <w:rPr>
                <w:rFonts w:ascii="Consolas" w:hAnsi="Consolas"/>
                <w:sz w:val="16"/>
              </w:rPr>
              <w:t xml:space="preserve">        |-- Ingesta / parser de documentos</w:t>
            </w:r>
            <w:r>
              <w:br/>
            </w:r>
            <w:r>
              <w:rPr>
                <w:rFonts w:ascii="Consolas" w:hAnsi="Consolas"/>
                <w:sz w:val="16"/>
              </w:rPr>
              <w:t xml:space="preserve">        |-- Servicio RAG (filtro por procedimiento + recuperación)</w:t>
            </w:r>
            <w:r>
              <w:br/>
            </w:r>
            <w:r>
              <w:rPr>
                <w:rFonts w:ascii="Consolas" w:hAnsi="Consolas"/>
                <w:sz w:val="16"/>
              </w:rPr>
              <w:t xml:space="preserve">        |-- Adaptador de LLM → Groq</w:t>
            </w:r>
            <w:r>
              <w:br/>
            </w:r>
            <w:r>
              <w:rPr>
                <w:rFonts w:ascii="Consolas" w:hAnsi="Consolas"/>
                <w:sz w:val="16"/>
              </w:rPr>
              <w:t xml:space="preserve">        |-- Validadores de afirmaciones y anexos</w:t>
            </w:r>
            <w:r>
              <w:br/>
            </w:r>
            <w:r>
              <w:rPr>
                <w:rFonts w:ascii="Consolas" w:hAnsi="Consolas"/>
                <w:sz w:val="16"/>
              </w:rPr>
              <w:t xml:space="preserve">        |-- Generador JSON → HTML oficial → PDF</w:t>
            </w:r>
            <w:r>
              <w:br/>
            </w:r>
            <w:r>
              <w:rPr>
                <w:rFonts w:ascii="Consolas" w:hAnsi="Consolas"/>
                <w:sz w:val="16"/>
              </w:rPr>
              <w:t xml:space="preserve">        |-- Servicio de auditoría y notificaciones internas</w:t>
            </w:r>
            <w:r>
              <w:br/>
            </w:r>
            <w:r>
              <w:rPr>
                <w:rFonts w:ascii="Consolas" w:hAnsi="Consolas"/>
                <w:sz w:val="16"/>
              </w:rPr>
              <w:t xml:space="preserve">        |</w:t>
            </w:r>
            <w:r>
              <w:br/>
            </w:r>
            <w:r>
              <w:rPr>
                <w:rFonts w:ascii="Consolas" w:hAnsi="Consolas"/>
                <w:sz w:val="16"/>
              </w:rPr>
              <w:t xml:space="preserve">        |-- PostgreSQL (Supabase, tablas y pgvector)</w:t>
            </w:r>
            <w:r>
              <w:br/>
            </w:r>
            <w:r>
              <w:rPr>
                <w:rFonts w:ascii="Consolas" w:hAnsi="Consolas"/>
                <w:sz w:val="16"/>
              </w:rPr>
              <w:t xml:space="preserve">        |-- Storage privado (anexos y PDFs; URLs temporales)</w:t>
            </w:r>
            <w:r>
              <w:br/>
            </w:r>
            <w:r>
              <w:rPr>
                <w:rFonts w:ascii="Consolas" w:hAnsi="Consolas"/>
                <w:sz w:val="16"/>
              </w:rPr>
              <w:t xml:space="preserve">        |-- Biblioteca jurídica versionada + registros de fuente</w:t>
            </w:r>
          </w:p>
        </w:tc>
      </w:tr>
    </w:tbl>
    <w:p>
      <w:pPr>
        <w:spacing w:after="0"/>
      </w:pPr>
    </w:p>
    <w:p>
      <w:pPr>
        <w:pStyle w:val="Heading2"/>
      </w:pPr>
      <w:r>
        <w:t>3.1 Stack recomendado y alternativas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3"/>
            <w:vAlign w:val="center"/>
          </w:tcPr>
          <w:p>
            <w:r>
              <w:rPr>
                <w:b/>
                <w:color w:val="FFFFFF"/>
                <w:sz w:val="15"/>
              </w:rPr>
              <w:t>Componente</w:t>
            </w:r>
          </w:p>
        </w:tc>
        <w:tc>
          <w:tcPr>
            <w:tcW w:type="dxa" w:w="3173"/>
            <w:shd w:fill="173B53"/>
            <w:vAlign w:val="center"/>
          </w:tcPr>
          <w:p>
            <w:r>
              <w:rPr>
                <w:b/>
                <w:color w:val="FFFFFF"/>
                <w:sz w:val="15"/>
              </w:rPr>
              <w:t>Primera elección</w:t>
            </w:r>
          </w:p>
        </w:tc>
        <w:tc>
          <w:tcPr>
            <w:tcW w:type="dxa" w:w="3173"/>
            <w:shd w:fill="173B53"/>
            <w:vAlign w:val="center"/>
          </w:tcPr>
          <w:p>
            <w:r>
              <w:rPr>
                <w:b/>
                <w:color w:val="FFFFFF"/>
                <w:sz w:val="15"/>
              </w:rPr>
              <w:t>Motivo / precaución</w:t>
            </w:r>
          </w:p>
        </w:tc>
      </w:tr>
      <w:tr>
        <w:tc>
          <w:tcPr>
            <w:tcW w:type="dxa" w:w="3173"/>
            <w:vAlign w:val="center"/>
            <w:shd w:fill="F0F5F8"/>
          </w:tcPr>
          <w:p>
            <w:pPr>
              <w:spacing w:after="40" w:before="20"/>
            </w:pPr>
            <w:r>
              <w:rPr>
                <w:sz w:val="15"/>
              </w:rPr>
              <w:t>Frontend</w:t>
            </w:r>
          </w:p>
        </w:tc>
        <w:tc>
          <w:tcPr>
            <w:tcW w:type="dxa" w:w="3173"/>
            <w:vAlign w:val="center"/>
            <w:shd w:fill="F0F5F8"/>
          </w:tcPr>
          <w:p>
            <w:pPr>
              <w:spacing w:after="40" w:before="20"/>
            </w:pPr>
            <w:r>
              <w:rPr>
                <w:sz w:val="15"/>
              </w:rPr>
              <w:t>React + TypeScript (Vite) o Next.js</w:t>
            </w:r>
          </w:p>
        </w:tc>
        <w:tc>
          <w:tcPr>
            <w:tcW w:type="dxa" w:w="3173"/>
            <w:vAlign w:val="center"/>
            <w:shd w:fill="F0F5F8"/>
          </w:tcPr>
          <w:p>
            <w:pPr>
              <w:spacing w:after="40" w:before="20"/>
            </w:pPr>
            <w:r>
              <w:rPr>
                <w:sz w:val="15"/>
              </w:rPr>
              <w:t>Pantallas adaptables; no entregar secretos.</w:t>
            </w:r>
          </w:p>
        </w:tc>
      </w:tr>
      <w:tr>
        <w:tc>
          <w:tcPr>
            <w:tcW w:type="dxa" w:w="3173"/>
            <w:vAlign w:val="center"/>
          </w:tcPr>
          <w:p>
            <w:pPr>
              <w:spacing w:after="40" w:before="20"/>
            </w:pPr>
            <w:r>
              <w:rPr>
                <w:sz w:val="15"/>
              </w:rPr>
              <w:t>Backend</w:t>
            </w:r>
          </w:p>
        </w:tc>
        <w:tc>
          <w:tcPr>
            <w:tcW w:type="dxa" w:w="3173"/>
            <w:vAlign w:val="center"/>
          </w:tcPr>
          <w:p>
            <w:pPr>
              <w:spacing w:after="40" w:before="20"/>
            </w:pPr>
            <w:r>
              <w:rPr>
                <w:sz w:val="15"/>
              </w:rPr>
              <w:t>Express + TypeScript + Zod</w:t>
            </w:r>
          </w:p>
        </w:tc>
        <w:tc>
          <w:tcPr>
            <w:tcW w:type="dxa" w:w="3173"/>
            <w:vAlign w:val="center"/>
          </w:tcPr>
          <w:p>
            <w:pPr>
              <w:spacing w:after="40" w:before="20"/>
            </w:pPr>
            <w:r>
              <w:rPr>
                <w:sz w:val="15"/>
              </w:rPr>
              <w:t>APIs claras, validación de esquemas.</w:t>
            </w:r>
          </w:p>
        </w:tc>
      </w:tr>
      <w:tr>
        <w:tc>
          <w:tcPr>
            <w:tcW w:type="dxa" w:w="3173"/>
            <w:vAlign w:val="center"/>
            <w:shd w:fill="F0F5F8"/>
          </w:tcPr>
          <w:p>
            <w:pPr>
              <w:spacing w:after="40" w:before="20"/>
            </w:pPr>
            <w:r>
              <w:rPr>
                <w:sz w:val="15"/>
              </w:rPr>
              <w:t>Persistencia</w:t>
            </w:r>
          </w:p>
        </w:tc>
        <w:tc>
          <w:tcPr>
            <w:tcW w:type="dxa" w:w="3173"/>
            <w:vAlign w:val="center"/>
            <w:shd w:fill="F0F5F8"/>
          </w:tcPr>
          <w:p>
            <w:pPr>
              <w:spacing w:after="40" w:before="20"/>
            </w:pPr>
            <w:r>
              <w:rPr>
                <w:sz w:val="15"/>
              </w:rPr>
              <w:t>PostgreSQL + Prisma (opcional)</w:t>
            </w:r>
          </w:p>
        </w:tc>
        <w:tc>
          <w:tcPr>
            <w:tcW w:type="dxa" w:w="3173"/>
            <w:vAlign w:val="center"/>
            <w:shd w:fill="F0F5F8"/>
          </w:tcPr>
          <w:p>
            <w:pPr>
              <w:spacing w:after="40" w:before="20"/>
            </w:pPr>
            <w:r>
              <w:rPr>
                <w:sz w:val="15"/>
              </w:rPr>
              <w:t>Relaciones, transacciones y migraciones.</w:t>
            </w:r>
          </w:p>
        </w:tc>
      </w:tr>
      <w:tr>
        <w:tc>
          <w:tcPr>
            <w:tcW w:type="dxa" w:w="3173"/>
            <w:vAlign w:val="center"/>
          </w:tcPr>
          <w:p>
            <w:pPr>
              <w:spacing w:after="40" w:before="20"/>
            </w:pPr>
            <w:r>
              <w:rPr>
                <w:sz w:val="15"/>
              </w:rPr>
              <w:t>RAG</w:t>
            </w:r>
          </w:p>
        </w:tc>
        <w:tc>
          <w:tcPr>
            <w:tcW w:type="dxa" w:w="3173"/>
            <w:vAlign w:val="center"/>
          </w:tcPr>
          <w:p>
            <w:pPr>
              <w:spacing w:after="40" w:before="20"/>
            </w:pPr>
            <w:r>
              <w:rPr>
                <w:sz w:val="15"/>
              </w:rPr>
              <w:t>pgvector + filtros SQL; FTS como apoyo</w:t>
            </w:r>
          </w:p>
        </w:tc>
        <w:tc>
          <w:tcPr>
            <w:tcW w:type="dxa" w:w="3173"/>
            <w:vAlign w:val="center"/>
          </w:tcPr>
          <w:p>
            <w:pPr>
              <w:spacing w:after="40" w:before="20"/>
            </w:pPr>
            <w:r>
              <w:rPr>
                <w:sz w:val="15"/>
              </w:rPr>
              <w:t>Para corpus pequeño: búsqueda por artículo primero.</w:t>
            </w:r>
          </w:p>
        </w:tc>
      </w:tr>
      <w:tr>
        <w:tc>
          <w:tcPr>
            <w:tcW w:type="dxa" w:w="3173"/>
            <w:vAlign w:val="center"/>
            <w:shd w:fill="F0F5F8"/>
          </w:tcPr>
          <w:p>
            <w:pPr>
              <w:spacing w:after="40" w:before="20"/>
            </w:pPr>
            <w:r>
              <w:rPr>
                <w:sz w:val="15"/>
              </w:rPr>
              <w:t>LLM</w:t>
            </w:r>
          </w:p>
        </w:tc>
        <w:tc>
          <w:tcPr>
            <w:tcW w:type="dxa" w:w="3173"/>
            <w:vAlign w:val="center"/>
            <w:shd w:fill="F0F5F8"/>
          </w:tcPr>
          <w:p>
            <w:pPr>
              <w:spacing w:after="40" w:before="20"/>
            </w:pPr>
            <w:r>
              <w:rPr>
                <w:sz w:val="15"/>
              </w:rPr>
              <w:t>Groq / gpt-oss-120b</w:t>
            </w:r>
          </w:p>
        </w:tc>
        <w:tc>
          <w:tcPr>
            <w:tcW w:type="dxa" w:w="3173"/>
            <w:vAlign w:val="center"/>
            <w:shd w:fill="F0F5F8"/>
          </w:tcPr>
          <w:p>
            <w:pPr>
              <w:spacing w:after="40" w:before="20"/>
            </w:pPr>
            <w:r>
              <w:rPr>
                <w:sz w:val="15"/>
              </w:rPr>
              <w:t>Proveedor intercambiable.</w:t>
            </w:r>
          </w:p>
        </w:tc>
      </w:tr>
      <w:tr>
        <w:tc>
          <w:tcPr>
            <w:tcW w:type="dxa" w:w="3173"/>
            <w:vAlign w:val="center"/>
          </w:tcPr>
          <w:p>
            <w:pPr>
              <w:spacing w:after="40" w:before="20"/>
            </w:pPr>
            <w:r>
              <w:rPr>
                <w:sz w:val="15"/>
              </w:rPr>
              <w:t>Embeddings</w:t>
            </w:r>
          </w:p>
        </w:tc>
        <w:tc>
          <w:tcPr>
            <w:tcW w:type="dxa" w:w="3173"/>
            <w:vAlign w:val="center"/>
          </w:tcPr>
          <w:p>
            <w:pPr>
              <w:spacing w:after="40" w:before="20"/>
            </w:pPr>
            <w:r>
              <w:rPr>
                <w:sz w:val="15"/>
              </w:rPr>
              <w:t>Modelo multilingüe open source probado</w:t>
            </w:r>
          </w:p>
        </w:tc>
        <w:tc>
          <w:tcPr>
            <w:tcW w:type="dxa" w:w="3173"/>
            <w:vAlign w:val="center"/>
          </w:tcPr>
          <w:p>
            <w:pPr>
              <w:spacing w:after="40" w:before="20"/>
            </w:pPr>
            <w:r>
              <w:rPr>
                <w:sz w:val="15"/>
              </w:rPr>
              <w:t>Ejecutar local/batch; no confundir con Groq.</w:t>
            </w:r>
          </w:p>
        </w:tc>
      </w:tr>
      <w:tr>
        <w:tc>
          <w:tcPr>
            <w:tcW w:type="dxa" w:w="3173"/>
            <w:vAlign w:val="center"/>
            <w:shd w:fill="F0F5F8"/>
          </w:tcPr>
          <w:p>
            <w:pPr>
              <w:spacing w:after="40" w:before="20"/>
            </w:pPr>
            <w:r>
              <w:rPr>
                <w:sz w:val="15"/>
              </w:rPr>
              <w:t>PDF</w:t>
            </w:r>
          </w:p>
        </w:tc>
        <w:tc>
          <w:tcPr>
            <w:tcW w:type="dxa" w:w="3173"/>
            <w:vAlign w:val="center"/>
            <w:shd w:fill="F0F5F8"/>
          </w:tcPr>
          <w:p>
            <w:pPr>
              <w:spacing w:after="40" w:before="20"/>
            </w:pPr>
            <w:r>
              <w:rPr>
                <w:sz w:val="15"/>
              </w:rPr>
              <w:t>HTML + Playwright/Puppeteer</w:t>
            </w:r>
          </w:p>
        </w:tc>
        <w:tc>
          <w:tcPr>
            <w:tcW w:type="dxa" w:w="3173"/>
            <w:vAlign w:val="center"/>
            <w:shd w:fill="F0F5F8"/>
          </w:tcPr>
          <w:p>
            <w:pPr>
              <w:spacing w:after="40" w:before="20"/>
            </w:pPr>
            <w:r>
              <w:rPr>
                <w:sz w:val="15"/>
              </w:rPr>
              <w:t>Márgenes, paginación, plantilla estable.</w:t>
            </w:r>
          </w:p>
        </w:tc>
      </w:tr>
      <w:tr>
        <w:tc>
          <w:tcPr>
            <w:tcW w:type="dxa" w:w="3173"/>
            <w:vAlign w:val="center"/>
          </w:tcPr>
          <w:p>
            <w:pPr>
              <w:spacing w:after="40" w:before="20"/>
            </w:pPr>
            <w:r>
              <w:rPr>
                <w:sz w:val="15"/>
              </w:rPr>
              <w:t>Archivos</w:t>
            </w:r>
          </w:p>
        </w:tc>
        <w:tc>
          <w:tcPr>
            <w:tcW w:type="dxa" w:w="3173"/>
            <w:vAlign w:val="center"/>
          </w:tcPr>
          <w:p>
            <w:pPr>
              <w:spacing w:after="40" w:before="20"/>
            </w:pPr>
            <w:r>
              <w:rPr>
                <w:sz w:val="15"/>
              </w:rPr>
              <w:t>Supabase Storage privado</w:t>
            </w:r>
          </w:p>
        </w:tc>
        <w:tc>
          <w:tcPr>
            <w:tcW w:type="dxa" w:w="3173"/>
            <w:vAlign w:val="center"/>
          </w:tcPr>
          <w:p>
            <w:pPr>
              <w:spacing w:after="40" w:before="20"/>
            </w:pPr>
            <w:r>
              <w:rPr>
                <w:sz w:val="15"/>
              </w:rPr>
              <w:t>Políticas por usuario y enlaces firmados.</w:t>
            </w:r>
          </w:p>
        </w:tc>
      </w:tr>
      <w:tr>
        <w:tc>
          <w:tcPr>
            <w:tcW w:type="dxa" w:w="3173"/>
            <w:vAlign w:val="center"/>
            <w:shd w:fill="F0F5F8"/>
          </w:tcPr>
          <w:p>
            <w:pPr>
              <w:spacing w:after="40" w:before="20"/>
            </w:pPr>
            <w:r>
              <w:rPr>
                <w:sz w:val="15"/>
              </w:rPr>
              <w:t>Identidad</w:t>
            </w:r>
          </w:p>
        </w:tc>
        <w:tc>
          <w:tcPr>
            <w:tcW w:type="dxa" w:w="3173"/>
            <w:vAlign w:val="center"/>
            <w:shd w:fill="F0F5F8"/>
          </w:tcPr>
          <w:p>
            <w:pPr>
              <w:spacing w:after="40" w:before="20"/>
            </w:pPr>
            <w:r>
              <w:rPr>
                <w:sz w:val="15"/>
              </w:rPr>
              <w:t>Supabase Auth (o auth backend seguro)</w:t>
            </w:r>
          </w:p>
        </w:tc>
        <w:tc>
          <w:tcPr>
            <w:tcW w:type="dxa" w:w="3173"/>
            <w:vAlign w:val="center"/>
            <w:shd w:fill="F0F5F8"/>
          </w:tcPr>
          <w:p>
            <w:pPr>
              <w:spacing w:after="40" w:before="20"/>
            </w:pPr>
            <w:r>
              <w:rPr>
                <w:sz w:val="15"/>
              </w:rPr>
              <w:t>No almacenar contraseñas sin diseño especializado.</w:t>
            </w:r>
          </w:p>
        </w:tc>
      </w:tr>
      <w:tr>
        <w:tc>
          <w:tcPr>
            <w:tcW w:type="dxa" w:w="3173"/>
            <w:vAlign w:val="center"/>
          </w:tcPr>
          <w:p>
            <w:pPr>
              <w:spacing w:after="40" w:before="20"/>
            </w:pPr>
            <w:r>
              <w:rPr>
                <w:sz w:val="15"/>
              </w:rPr>
              <w:t>Cloud demo</w:t>
            </w:r>
          </w:p>
        </w:tc>
        <w:tc>
          <w:tcPr>
            <w:tcW w:type="dxa" w:w="3173"/>
            <w:vAlign w:val="center"/>
          </w:tcPr>
          <w:p>
            <w:pPr>
              <w:spacing w:after="40" w:before="20"/>
            </w:pPr>
            <w:r>
              <w:rPr>
                <w:sz w:val="15"/>
              </w:rPr>
              <w:t>Vercel + Render + Supabase</w:t>
            </w:r>
          </w:p>
        </w:tc>
        <w:tc>
          <w:tcPr>
            <w:tcW w:type="dxa" w:w="3173"/>
            <w:vAlign w:val="center"/>
          </w:tcPr>
          <w:p>
            <w:pPr>
              <w:spacing w:after="40" w:before="20"/>
            </w:pPr>
            <w:r>
              <w:rPr>
                <w:sz w:val="15"/>
              </w:rPr>
              <w:t>Los planes gratuitos pueden dormir o limitar recursos.</w:t>
            </w:r>
          </w:p>
        </w:tc>
      </w:tr>
    </w:tbl>
    <w:p>
      <w:pPr>
        <w:spacing w:after="0"/>
      </w:pPr>
    </w:p>
    <w:p>
      <w:pPr>
        <w:pStyle w:val="Heading2"/>
      </w:pPr>
      <w:r>
        <w:t>3.2 LLM: Groq es suficiente para el prototipo</w:t>
      </w:r>
    </w:p>
    <w:p>
      <w:r>
        <w:t>El modelo openai/gpt-oss-120b está documentado como modelo de producción con contexto de 131 072 tokens. En el plan gratuito de Groq se muestran límites para dicho modelo de 30 solicitudes/minuto, 1 000 solicitudes/día, 8 000 tokens/minuto y 200 000 tokens/día; son cuotas sujetas a cambio, no un SLA ni un permiso implícito para uso comercial ilimitado [S6][S7].</w:t>
      </w:r>
    </w:p>
    <w:p>
      <w:r>
        <w:t>Usarlo para: (a) clasificación semántica preliminar, (b) extracción de hechos a JSON con esquema, (c) formulación empática de preguntas, (d) redacción delimitada de hechos y petitorio a partir de datos confirmados, (e) segunda lectura de inconsistencias. NO usarlo para decidir por sí mismo requisitos, vigencia, obligatoriedad de abogado o presentación.</w:t>
      </w:r>
    </w:p>
    <w:p>
      <w:r>
        <w:t>Las preguntas cerradas (DNI, fecha, número de hijos, opción de parentesco) deben resolverse con formularios y reglas sin llamadas al LLM. Para reducir costos y límites, agrupar tareas de extracción cuando sea viable, usar caché de preguntas y limitar longitud del contexto. En producción evaluar pago, fallback y manejo de error 429.</w:t>
      </w:r>
    </w:p>
    <w:p>
      <w:pPr>
        <w:pStyle w:val="Heading3"/>
      </w:pPr>
      <w:r>
        <w:t>Contrato de salida esperado desde el modelo</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w:t>
            </w:r>
            <w:r>
              <w:br/>
            </w:r>
            <w:r>
              <w:rPr>
                <w:rFonts w:ascii="Consolas" w:hAnsi="Consolas"/>
                <w:sz w:val="16"/>
              </w:rPr>
              <w:t xml:space="preserve">  "procedure_code": "ALIMENTOS_NNA",</w:t>
            </w:r>
            <w:r>
              <w:br/>
            </w:r>
            <w:r>
              <w:rPr>
                <w:rFonts w:ascii="Consolas" w:hAnsi="Consolas"/>
                <w:sz w:val="16"/>
              </w:rPr>
              <w:t xml:space="preserve">  "facts": [{"field":"number_of_children","value":1,"source":"user"}],</w:t>
            </w:r>
            <w:r>
              <w:br/>
            </w:r>
            <w:r>
              <w:rPr>
                <w:rFonts w:ascii="Consolas" w:hAnsi="Consolas"/>
                <w:sz w:val="16"/>
              </w:rPr>
              <w:t xml:space="preserve">  "missing_fields": ["child_birth_date"],</w:t>
            </w:r>
            <w:r>
              <w:br/>
            </w:r>
            <w:r>
              <w:rPr>
                <w:rFonts w:ascii="Consolas" w:hAnsi="Consolas"/>
                <w:sz w:val="16"/>
              </w:rPr>
              <w:t xml:space="preserve">  "questions": ["¿Cuál es la fecha de nacimiento del menor?"],</w:t>
            </w:r>
            <w:r>
              <w:br/>
            </w:r>
            <w:r>
              <w:rPr>
                <w:rFonts w:ascii="Consolas" w:hAnsi="Consolas"/>
                <w:sz w:val="16"/>
              </w:rPr>
              <w:t xml:space="preserve">  "draft_sections": {"petition": null,"facts":[]},</w:t>
            </w:r>
            <w:r>
              <w:br/>
            </w:r>
            <w:r>
              <w:rPr>
                <w:rFonts w:ascii="Consolas" w:hAnsi="Consolas"/>
                <w:sz w:val="16"/>
              </w:rPr>
              <w:t xml:space="preserve">  "requires_manual_review": false</w:t>
            </w:r>
            <w:r>
              <w:br/>
            </w:r>
            <w:r>
              <w:rPr>
                <w:rFonts w:ascii="Consolas" w:hAnsi="Consolas"/>
                <w:sz w:val="16"/>
              </w:rPr>
              <w:t>}</w:t>
            </w:r>
          </w:p>
        </w:tc>
      </w:tr>
    </w:tbl>
    <w:p>
      <w:pPr>
        <w:spacing w:after="0"/>
      </w:pPr>
    </w:p>
    <w:p>
      <w:pPr>
        <w:pStyle w:val="SmallText"/>
      </w:pPr>
      <w:r>
        <w:t>Los nombres/fechas/DNI reales deben permanecer en almacenamiento seguro. Para datos enviados al LLM usar seudónimos cuando el objetivo lo permita y recomponer identificadores en el backend. Ningún puntaje de “confianza” del modelo garantiza corrección jurídica.</w:t>
      </w:r>
    </w:p>
    <w:p>
      <w:pPr>
        <w:pStyle w:val="Heading1"/>
      </w:pPr>
      <w:r>
        <w:t>4. Ingesta, RAG y gobierno de la normativa</w:t>
      </w:r>
    </w:p>
    <w:p>
      <w:pPr>
        <w:pStyle w:val="Heading2"/>
      </w:pPr>
      <w:r>
        <w:t>4.1 Canal de ingesta híbrido</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Fuente oficial + URL + permiso de reutilización</w:t>
            </w:r>
            <w:r>
              <w:br/>
            </w:r>
            <w:r>
              <w:rPr>
                <w:rFonts w:ascii="Consolas" w:hAnsi="Consolas"/>
                <w:sz w:val="16"/>
              </w:rPr>
              <w:t xml:space="preserve">          ↓</w:t>
            </w:r>
            <w:r>
              <w:br/>
            </w:r>
            <w:r>
              <w:rPr>
                <w:rFonts w:ascii="Consolas" w:hAnsi="Consolas"/>
                <w:sz w:val="16"/>
              </w:rPr>
              <w:t>Descarga autorizada (PDF/HTML/TXT/CSV)</w:t>
            </w:r>
            <w:r>
              <w:br/>
            </w:r>
            <w:r>
              <w:rPr>
                <w:rFonts w:ascii="Consolas" w:hAnsi="Consolas"/>
                <w:sz w:val="16"/>
              </w:rPr>
              <w:t xml:space="preserve">          ↓</w:t>
            </w:r>
            <w:r>
              <w:br/>
            </w:r>
            <w:r>
              <w:rPr>
                <w:rFonts w:ascii="Consolas" w:hAnsi="Consolas"/>
                <w:sz w:val="16"/>
              </w:rPr>
              <w:t>Extracción y limpieza → revisión de calidad</w:t>
            </w:r>
            <w:r>
              <w:br/>
            </w:r>
            <w:r>
              <w:rPr>
                <w:rFonts w:ascii="Consolas" w:hAnsi="Consolas"/>
                <w:sz w:val="16"/>
              </w:rPr>
              <w:t xml:space="preserve">          ↓</w:t>
            </w:r>
            <w:r>
              <w:br/>
            </w:r>
            <w:r>
              <w:rPr>
                <w:rFonts w:ascii="Consolas" w:hAnsi="Consolas"/>
                <w:sz w:val="16"/>
              </w:rPr>
              <w:t>Segmentación por norma / artículo / inciso</w:t>
            </w:r>
            <w:r>
              <w:br/>
            </w:r>
            <w:r>
              <w:rPr>
                <w:rFonts w:ascii="Consolas" w:hAnsi="Consolas"/>
                <w:sz w:val="16"/>
              </w:rPr>
              <w:t xml:space="preserve">          ↓</w:t>
            </w:r>
            <w:r>
              <w:br/>
            </w:r>
            <w:r>
              <w:rPr>
                <w:rFonts w:ascii="Consolas" w:hAnsi="Consolas"/>
                <w:sz w:val="16"/>
              </w:rPr>
              <w:t>Versionado + estado de vigencia verificado</w:t>
            </w:r>
            <w:r>
              <w:br/>
            </w:r>
            <w:r>
              <w:rPr>
                <w:rFonts w:ascii="Consolas" w:hAnsi="Consolas"/>
                <w:sz w:val="16"/>
              </w:rPr>
              <w:t xml:space="preserve">          ↓</w:t>
            </w:r>
            <w:r>
              <w:br/>
            </w:r>
            <w:r>
              <w:rPr>
                <w:rFonts w:ascii="Consolas" w:hAnsi="Consolas"/>
                <w:sz w:val="16"/>
              </w:rPr>
              <w:t>Asociación a PROCEDIMIENTOS habilitados</w:t>
            </w:r>
            <w:r>
              <w:br/>
            </w:r>
            <w:r>
              <w:rPr>
                <w:rFonts w:ascii="Consolas" w:hAnsi="Consolas"/>
                <w:sz w:val="16"/>
              </w:rPr>
              <w:t xml:space="preserve">          ↓</w:t>
            </w:r>
            <w:r>
              <w:br/>
            </w:r>
            <w:r>
              <w:rPr>
                <w:rFonts w:ascii="Consolas" w:hAnsi="Consolas"/>
                <w:sz w:val="16"/>
              </w:rPr>
              <w:t>Embedding (si es útil) + texto completo + FTS</w:t>
            </w:r>
            <w:r>
              <w:br/>
            </w:r>
            <w:r>
              <w:rPr>
                <w:rFonts w:ascii="Consolas" w:hAnsi="Consolas"/>
                <w:sz w:val="16"/>
              </w:rPr>
              <w:t xml:space="preserve">          ↓</w:t>
            </w:r>
            <w:r>
              <w:br/>
            </w:r>
            <w:r>
              <w:rPr>
                <w:rFonts w:ascii="Consolas" w:hAnsi="Consolas"/>
                <w:sz w:val="16"/>
              </w:rPr>
              <w:t>PostgreSQL / pgvector → filtro SQL → top-k → Groq</w:t>
            </w:r>
          </w:p>
        </w:tc>
      </w:tr>
    </w:tbl>
    <w:p>
      <w:pPr>
        <w:spacing w:after="0"/>
      </w:pPr>
    </w:p>
    <w:p>
      <w:pPr>
        <w:pStyle w:val="Heading2"/>
      </w:pPr>
      <w:r>
        <w:t>4.2 Normas de almacenamiento</w:t>
      </w:r>
    </w:p>
    <w:p>
      <w:pPr>
        <w:pStyle w:val="ListBullet"/>
      </w:pPr>
      <w:r>
        <w:t>Texto legal y comentarios se almacenan por separado; conservar título, inciso y jerarquía.</w:t>
      </w:r>
    </w:p>
    <w:p>
      <w:pPr>
        <w:pStyle w:val="ListBullet"/>
      </w:pPr>
      <w:r>
        <w:t>Cada registro tiene URL oficial, organismo, norma, artículo, fecha de publicación, período de vigencia y evidencia de actualización.</w:t>
      </w:r>
    </w:p>
    <w:p>
      <w:pPr>
        <w:pStyle w:val="ListBullet"/>
      </w:pPr>
      <w:r>
        <w:t>Nunca sobrescribir una versión: archivar historial y marcar reemplazos/modificaciones.</w:t>
      </w:r>
    </w:p>
    <w:p>
      <w:pPr>
        <w:pStyle w:val="ListBullet"/>
      </w:pPr>
      <w:r>
        <w:t>La vinculación norma-procedimiento es muchos-a-muchos; evitar duplicar el mismo artículo en cada “base”.</w:t>
      </w:r>
    </w:p>
    <w:p>
      <w:pPr>
        <w:pStyle w:val="ListBullet"/>
      </w:pPr>
      <w:r>
        <w:t>En fuentes no autorizadas para redistribución, conservar metadatos y enlaces conforme a permisos; revisar licencias, términos de consulta y límites de acceso antes de copiar en masa.</w:t>
      </w:r>
    </w:p>
    <w:p>
      <w:pPr>
        <w:pStyle w:val="ListBullet"/>
      </w:pPr>
      <w:r>
        <w:t>Si no se confirma la vigencia o los resultados se contradicen, bloquear la cita y enviar a revisión.</w:t>
      </w:r>
    </w:p>
    <w:p>
      <w:pPr>
        <w:pStyle w:val="Heading2"/>
      </w:pPr>
      <w:r>
        <w:t>4.3 RAG jurídico controlado</w:t>
      </w:r>
    </w:p>
    <w:p>
      <w:r>
        <w:t>Para corpus pequeño, comienza con recuperación determinista por procedimiento y artículos verificados. Aumenta con búsqueda de texto y vectores cuando crezca el conjunto. Filtra siempre por procedure_id, status=approved, fecha de validez y jurisdicción antes de presentar contenido al modelo. Los índices aproximados pueden requerir configuración especial para no devolver menos resultados después de filtrar [S9].</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4759"/>
            <w:shd w:fill="173B53"/>
            <w:vAlign w:val="center"/>
          </w:tcPr>
          <w:p>
            <w:r>
              <w:rPr>
                <w:b/>
                <w:color w:val="FFFFFF"/>
                <w:sz w:val="15"/>
              </w:rPr>
              <w:t>Entidad</w:t>
            </w:r>
          </w:p>
        </w:tc>
        <w:tc>
          <w:tcPr>
            <w:tcW w:type="dxa" w:w="4759"/>
            <w:shd w:fill="173B53"/>
            <w:vAlign w:val="center"/>
          </w:tcPr>
          <w:p>
            <w:r>
              <w:rPr>
                <w:b/>
                <w:color w:val="FFFFFF"/>
                <w:sz w:val="15"/>
              </w:rPr>
              <w:t>Campos mínimos</w:t>
            </w:r>
          </w:p>
        </w:tc>
      </w:tr>
      <w:tr>
        <w:tc>
          <w:tcPr>
            <w:tcW w:type="dxa" w:w="4759"/>
            <w:vAlign w:val="center"/>
            <w:shd w:fill="F0F5F8"/>
          </w:tcPr>
          <w:p>
            <w:pPr>
              <w:spacing w:after="40" w:before="20"/>
            </w:pPr>
            <w:r>
              <w:rPr>
                <w:sz w:val="15"/>
              </w:rPr>
              <w:t>legal_sources</w:t>
            </w:r>
          </w:p>
        </w:tc>
        <w:tc>
          <w:tcPr>
            <w:tcW w:type="dxa" w:w="4759"/>
            <w:vAlign w:val="center"/>
            <w:shd w:fill="F0F5F8"/>
          </w:tcPr>
          <w:p>
            <w:pPr>
              <w:spacing w:after="40" w:before="20"/>
            </w:pPr>
            <w:r>
              <w:rPr>
                <w:sz w:val="15"/>
              </w:rPr>
              <w:t>id, title, authority, original_url, license, downloaded_at, sha256</w:t>
            </w:r>
          </w:p>
        </w:tc>
      </w:tr>
      <w:tr>
        <w:tc>
          <w:tcPr>
            <w:tcW w:type="dxa" w:w="4759"/>
            <w:vAlign w:val="center"/>
          </w:tcPr>
          <w:p>
            <w:pPr>
              <w:spacing w:after="40" w:before="20"/>
            </w:pPr>
            <w:r>
              <w:rPr>
                <w:sz w:val="15"/>
              </w:rPr>
              <w:t>legal_norms</w:t>
            </w:r>
          </w:p>
        </w:tc>
        <w:tc>
          <w:tcPr>
            <w:tcW w:type="dxa" w:w="4759"/>
            <w:vAlign w:val="center"/>
          </w:tcPr>
          <w:p>
            <w:pPr>
              <w:spacing w:after="40" w:before="20"/>
            </w:pPr>
            <w:r>
              <w:rPr>
                <w:sz w:val="15"/>
              </w:rPr>
              <w:t>id, source_id, type, number, title, published_at, active_status</w:t>
            </w:r>
          </w:p>
        </w:tc>
      </w:tr>
      <w:tr>
        <w:tc>
          <w:tcPr>
            <w:tcW w:type="dxa" w:w="4759"/>
            <w:vAlign w:val="center"/>
            <w:shd w:fill="F0F5F8"/>
          </w:tcPr>
          <w:p>
            <w:pPr>
              <w:spacing w:after="40" w:before="20"/>
            </w:pPr>
            <w:r>
              <w:rPr>
                <w:sz w:val="15"/>
              </w:rPr>
              <w:t>legal_provisions</w:t>
            </w:r>
          </w:p>
        </w:tc>
        <w:tc>
          <w:tcPr>
            <w:tcW w:type="dxa" w:w="4759"/>
            <w:vAlign w:val="center"/>
            <w:shd w:fill="F0F5F8"/>
          </w:tcPr>
          <w:p>
            <w:pPr>
              <w:spacing w:after="40" w:before="20"/>
            </w:pPr>
            <w:r>
              <w:rPr>
                <w:sz w:val="15"/>
              </w:rPr>
              <w:t>id, norm_id, article, text, effective_from, effective_to, verified_at</w:t>
            </w:r>
          </w:p>
        </w:tc>
      </w:tr>
      <w:tr>
        <w:tc>
          <w:tcPr>
            <w:tcW w:type="dxa" w:w="4759"/>
            <w:vAlign w:val="center"/>
          </w:tcPr>
          <w:p>
            <w:pPr>
              <w:spacing w:after="40" w:before="20"/>
            </w:pPr>
            <w:r>
              <w:rPr>
                <w:sz w:val="15"/>
              </w:rPr>
              <w:t>legal_chunks</w:t>
            </w:r>
          </w:p>
        </w:tc>
        <w:tc>
          <w:tcPr>
            <w:tcW w:type="dxa" w:w="4759"/>
            <w:vAlign w:val="center"/>
          </w:tcPr>
          <w:p>
            <w:pPr>
              <w:spacing w:after="40" w:before="20"/>
            </w:pPr>
            <w:r>
              <w:rPr>
                <w:sz w:val="15"/>
              </w:rPr>
              <w:t>id, provision_id, content, embedding, lexical_vector, hash</w:t>
            </w:r>
          </w:p>
        </w:tc>
      </w:tr>
      <w:tr>
        <w:tc>
          <w:tcPr>
            <w:tcW w:type="dxa" w:w="4759"/>
            <w:vAlign w:val="center"/>
            <w:shd w:fill="F0F5F8"/>
          </w:tcPr>
          <w:p>
            <w:pPr>
              <w:spacing w:after="40" w:before="20"/>
            </w:pPr>
            <w:r>
              <w:rPr>
                <w:sz w:val="15"/>
              </w:rPr>
              <w:t>procedures</w:t>
            </w:r>
          </w:p>
        </w:tc>
        <w:tc>
          <w:tcPr>
            <w:tcW w:type="dxa" w:w="4759"/>
            <w:vAlign w:val="center"/>
            <w:shd w:fill="F0F5F8"/>
          </w:tcPr>
          <w:p>
            <w:pPr>
              <w:spacing w:after="40" w:before="20"/>
            </w:pPr>
            <w:r>
              <w:rPr>
                <w:sz w:val="15"/>
              </w:rPr>
              <w:t>id, code, title, enabled, legal_status, lawyer_requirement, reviewed_at</w:t>
            </w:r>
          </w:p>
        </w:tc>
      </w:tr>
      <w:tr>
        <w:tc>
          <w:tcPr>
            <w:tcW w:type="dxa" w:w="4759"/>
            <w:vAlign w:val="center"/>
          </w:tcPr>
          <w:p>
            <w:pPr>
              <w:spacing w:after="40" w:before="20"/>
            </w:pPr>
            <w:r>
              <w:rPr>
                <w:sz w:val="15"/>
              </w:rPr>
              <w:t>procedure_provisions</w:t>
            </w:r>
          </w:p>
        </w:tc>
        <w:tc>
          <w:tcPr>
            <w:tcW w:type="dxa" w:w="4759"/>
            <w:vAlign w:val="center"/>
          </w:tcPr>
          <w:p>
            <w:pPr>
              <w:spacing w:after="40" w:before="20"/>
            </w:pPr>
            <w:r>
              <w:rPr>
                <w:sz w:val="15"/>
              </w:rPr>
              <w:t>procedure_id, provision_id, relevance, approval_status</w:t>
            </w:r>
          </w:p>
        </w:tc>
      </w:tr>
      <w:tr>
        <w:tc>
          <w:tcPr>
            <w:tcW w:type="dxa" w:w="4759"/>
            <w:vAlign w:val="center"/>
            <w:shd w:fill="F0F5F8"/>
          </w:tcPr>
          <w:p>
            <w:pPr>
              <w:spacing w:after="40" w:before="20"/>
            </w:pPr>
            <w:r>
              <w:rPr>
                <w:sz w:val="15"/>
              </w:rPr>
              <w:t>procedure_rules</w:t>
            </w:r>
          </w:p>
        </w:tc>
        <w:tc>
          <w:tcPr>
            <w:tcW w:type="dxa" w:w="4759"/>
            <w:vAlign w:val="center"/>
            <w:shd w:fill="F0F5F8"/>
          </w:tcPr>
          <w:p>
            <w:pPr>
              <w:spacing w:after="40" w:before="20"/>
            </w:pPr>
            <w:r>
              <w:rPr>
                <w:sz w:val="15"/>
              </w:rPr>
              <w:t>id, procedure_id, field, condition, severity, approved_version</w:t>
            </w:r>
          </w:p>
        </w:tc>
      </w:tr>
      <w:tr>
        <w:tc>
          <w:tcPr>
            <w:tcW w:type="dxa" w:w="4759"/>
            <w:vAlign w:val="center"/>
          </w:tcPr>
          <w:p>
            <w:pPr>
              <w:spacing w:after="40" w:before="20"/>
            </w:pPr>
            <w:r>
              <w:rPr>
                <w:sz w:val="15"/>
              </w:rPr>
              <w:t>templates</w:t>
            </w:r>
          </w:p>
        </w:tc>
        <w:tc>
          <w:tcPr>
            <w:tcW w:type="dxa" w:w="4759"/>
            <w:vAlign w:val="center"/>
          </w:tcPr>
          <w:p>
            <w:pPr>
              <w:spacing w:after="40" w:before="20"/>
            </w:pPr>
            <w:r>
              <w:rPr>
                <w:sz w:val="15"/>
              </w:rPr>
              <w:t>id, procedure_id, version, body_html, approved, checksum</w:t>
            </w:r>
          </w:p>
        </w:tc>
      </w:tr>
    </w:tbl>
    <w:p>
      <w:pPr>
        <w:spacing w:after="0"/>
      </w:pPr>
    </w:p>
    <w:p>
      <w:pPr>
        <w:pStyle w:val="Heading1"/>
      </w:pPr>
      <w:r>
        <w:t>5. Historias de usuario: backlog inicial de 40 HU</w:t>
      </w:r>
    </w:p>
    <w:p>
      <w:r>
        <w:t>Prioridades: P0 = obligatorio para demo funcional y seguridad; P1 = siguiente iteración. Algunas HU P0 administrativas pueden implementarse inicialmente como scripts o migraciones controladas, sin una interfaz completa.</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trPr>
        <w:tc>
          <w:tcPr>
            <w:tcW w:type="dxa" w:w="1904"/>
            <w:shd w:fill="173B53"/>
            <w:vAlign w:val="center"/>
          </w:tcPr>
          <w:p>
            <w:r>
              <w:rPr>
                <w:b/>
                <w:color w:val="FFFFFF"/>
                <w:sz w:val="14"/>
              </w:rPr>
              <w:t>ID</w:t>
            </w:r>
          </w:p>
        </w:tc>
        <w:tc>
          <w:tcPr>
            <w:tcW w:type="dxa" w:w="1904"/>
            <w:shd w:fill="173B53"/>
            <w:vAlign w:val="center"/>
          </w:tcPr>
          <w:p>
            <w:r>
              <w:rPr>
                <w:b/>
                <w:color w:val="FFFFFF"/>
                <w:sz w:val="14"/>
              </w:rPr>
              <w:t>Rol</w:t>
            </w:r>
          </w:p>
        </w:tc>
        <w:tc>
          <w:tcPr>
            <w:tcW w:type="dxa" w:w="1904"/>
            <w:shd w:fill="173B53"/>
            <w:vAlign w:val="center"/>
          </w:tcPr>
          <w:p>
            <w:r>
              <w:rPr>
                <w:b/>
                <w:color w:val="FFFFFF"/>
                <w:sz w:val="14"/>
              </w:rPr>
              <w:t>Historia de usuario (quiero...)</w:t>
            </w:r>
          </w:p>
        </w:tc>
        <w:tc>
          <w:tcPr>
            <w:tcW w:type="dxa" w:w="1904"/>
            <w:shd w:fill="173B53"/>
            <w:vAlign w:val="center"/>
          </w:tcPr>
          <w:p>
            <w:r>
              <w:rPr>
                <w:b/>
                <w:color w:val="FFFFFF"/>
                <w:sz w:val="14"/>
              </w:rPr>
              <w:t>Prio.</w:t>
            </w:r>
          </w:p>
        </w:tc>
        <w:tc>
          <w:tcPr>
            <w:tcW w:type="dxa" w:w="1904"/>
            <w:shd w:fill="173B53"/>
            <w:vAlign w:val="center"/>
          </w:tcPr>
          <w:p>
            <w:r>
              <w:rPr>
                <w:b/>
                <w:color w:val="FFFFFF"/>
                <w:sz w:val="14"/>
              </w:rPr>
              <w:t>Aceptación resumida</w:t>
            </w:r>
          </w:p>
        </w:tc>
      </w:tr>
      <w:tr>
        <w:tc>
          <w:tcPr>
            <w:tcW w:type="dxa" w:w="1904"/>
            <w:vAlign w:val="center"/>
            <w:shd w:fill="F0F5F8"/>
          </w:tcPr>
          <w:p>
            <w:pPr>
              <w:spacing w:after="40" w:before="20"/>
            </w:pPr>
            <w:r>
              <w:rPr>
                <w:sz w:val="14"/>
              </w:rPr>
              <w:t>HU-01</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Comprender alcance y límites del servicio</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Aviso claro y consentimiento informado.</w:t>
            </w:r>
          </w:p>
        </w:tc>
      </w:tr>
      <w:tr>
        <w:tc>
          <w:tcPr>
            <w:tcW w:type="dxa" w:w="1904"/>
            <w:vAlign w:val="center"/>
          </w:tcPr>
          <w:p>
            <w:pPr>
              <w:spacing w:after="40" w:before="20"/>
            </w:pPr>
            <w:r>
              <w:rPr>
                <w:sz w:val="14"/>
              </w:rPr>
              <w:t>HU-02</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Crear cuenta e iniciar sesión</w:t>
            </w:r>
          </w:p>
        </w:tc>
        <w:tc>
          <w:tcPr>
            <w:tcW w:type="dxa" w:w="1904"/>
            <w:vAlign w:val="center"/>
          </w:tcPr>
          <w:p>
            <w:pPr>
              <w:spacing w:after="40" w:before="20"/>
            </w:pPr>
            <w:r>
              <w:rPr>
                <w:sz w:val="14"/>
              </w:rPr>
              <w:t>P0</w:t>
            </w:r>
          </w:p>
        </w:tc>
        <w:tc>
          <w:tcPr>
            <w:tcW w:type="dxa" w:w="1904"/>
            <w:vAlign w:val="center"/>
          </w:tcPr>
          <w:p>
            <w:pPr>
              <w:spacing w:after="40" w:before="20"/>
            </w:pPr>
            <w:r>
              <w:rPr>
                <w:sz w:val="14"/>
              </w:rPr>
              <w:t>Acceso privado y recuperación de sesión.</w:t>
            </w:r>
          </w:p>
        </w:tc>
      </w:tr>
      <w:tr>
        <w:tc>
          <w:tcPr>
            <w:tcW w:type="dxa" w:w="1904"/>
            <w:vAlign w:val="center"/>
            <w:shd w:fill="F0F5F8"/>
          </w:tcPr>
          <w:p>
            <w:pPr>
              <w:spacing w:after="40" w:before="20"/>
            </w:pPr>
            <w:r>
              <w:rPr>
                <w:sz w:val="14"/>
              </w:rPr>
              <w:t>HU-03</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Crear un caso independiente</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ID, propietario, estado y fecha.</w:t>
            </w:r>
          </w:p>
        </w:tc>
      </w:tr>
      <w:tr>
        <w:tc>
          <w:tcPr>
            <w:tcW w:type="dxa" w:w="1904"/>
            <w:vAlign w:val="center"/>
          </w:tcPr>
          <w:p>
            <w:pPr>
              <w:spacing w:after="40" w:before="20"/>
            </w:pPr>
            <w:r>
              <w:rPr>
                <w:sz w:val="14"/>
              </w:rPr>
              <w:t>HU-04</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Seleccionar procedimiento disponible</w:t>
            </w:r>
          </w:p>
        </w:tc>
        <w:tc>
          <w:tcPr>
            <w:tcW w:type="dxa" w:w="1904"/>
            <w:vAlign w:val="center"/>
          </w:tcPr>
          <w:p>
            <w:pPr>
              <w:spacing w:after="40" w:before="20"/>
            </w:pPr>
            <w:r>
              <w:rPr>
                <w:sz w:val="14"/>
              </w:rPr>
              <w:t>P0</w:t>
            </w:r>
          </w:p>
        </w:tc>
        <w:tc>
          <w:tcPr>
            <w:tcW w:type="dxa" w:w="1904"/>
            <w:vAlign w:val="center"/>
          </w:tcPr>
          <w:p>
            <w:pPr>
              <w:spacing w:after="40" w:before="20"/>
            </w:pPr>
            <w:r>
              <w:rPr>
                <w:sz w:val="14"/>
              </w:rPr>
              <w:t>Solo opciones en lista blanca.</w:t>
            </w:r>
          </w:p>
        </w:tc>
      </w:tr>
      <w:tr>
        <w:tc>
          <w:tcPr>
            <w:tcW w:type="dxa" w:w="1904"/>
            <w:vAlign w:val="center"/>
            <w:shd w:fill="F0F5F8"/>
          </w:tcPr>
          <w:p>
            <w:pPr>
              <w:spacing w:after="40" w:before="20"/>
            </w:pPr>
            <w:r>
              <w:rPr>
                <w:sz w:val="14"/>
              </w:rPr>
              <w:t>HU-05</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Explicar hechos en lenguaje natural</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Se almacena relato y origen.</w:t>
            </w:r>
          </w:p>
        </w:tc>
      </w:tr>
      <w:tr>
        <w:tc>
          <w:tcPr>
            <w:tcW w:type="dxa" w:w="1904"/>
            <w:vAlign w:val="center"/>
          </w:tcPr>
          <w:p>
            <w:pPr>
              <w:spacing w:after="40" w:before="20"/>
            </w:pPr>
            <w:r>
              <w:rPr>
                <w:sz w:val="14"/>
              </w:rPr>
              <w:t>HU-06</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Confirmar clasificación del caso</w:t>
            </w:r>
          </w:p>
        </w:tc>
        <w:tc>
          <w:tcPr>
            <w:tcW w:type="dxa" w:w="1904"/>
            <w:vAlign w:val="center"/>
          </w:tcPr>
          <w:p>
            <w:pPr>
              <w:spacing w:after="40" w:before="20"/>
            </w:pPr>
            <w:r>
              <w:rPr>
                <w:sz w:val="14"/>
              </w:rPr>
              <w:t>P0</w:t>
            </w:r>
          </w:p>
        </w:tc>
        <w:tc>
          <w:tcPr>
            <w:tcW w:type="dxa" w:w="1904"/>
            <w:vAlign w:val="center"/>
          </w:tcPr>
          <w:p>
            <w:pPr>
              <w:spacing w:after="40" w:before="20"/>
            </w:pPr>
            <w:r>
              <w:rPr>
                <w:sz w:val="14"/>
              </w:rPr>
              <w:t>Sugerencia IA + reglas, nunca decisión autónoma.</w:t>
            </w:r>
          </w:p>
        </w:tc>
      </w:tr>
      <w:tr>
        <w:tc>
          <w:tcPr>
            <w:tcW w:type="dxa" w:w="1904"/>
            <w:vAlign w:val="center"/>
            <w:shd w:fill="F0F5F8"/>
          </w:tcPr>
          <w:p>
            <w:pPr>
              <w:spacing w:after="40" w:before="20"/>
            </w:pPr>
            <w:r>
              <w:rPr>
                <w:sz w:val="14"/>
              </w:rPr>
              <w:t>HU-07</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Recibir alerta de caso no soportado</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Se deshabilita generación.</w:t>
            </w:r>
          </w:p>
        </w:tc>
      </w:tr>
      <w:tr>
        <w:tc>
          <w:tcPr>
            <w:tcW w:type="dxa" w:w="1904"/>
            <w:vAlign w:val="center"/>
          </w:tcPr>
          <w:p>
            <w:pPr>
              <w:spacing w:after="40" w:before="20"/>
            </w:pPr>
            <w:r>
              <w:rPr>
                <w:sz w:val="14"/>
              </w:rPr>
              <w:t>HU-08</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Saber si su procedimiento admite autogestión</w:t>
            </w:r>
          </w:p>
        </w:tc>
        <w:tc>
          <w:tcPr>
            <w:tcW w:type="dxa" w:w="1904"/>
            <w:vAlign w:val="center"/>
          </w:tcPr>
          <w:p>
            <w:pPr>
              <w:spacing w:after="40" w:before="20"/>
            </w:pPr>
            <w:r>
              <w:rPr>
                <w:sz w:val="14"/>
              </w:rPr>
              <w:t>P0</w:t>
            </w:r>
          </w:p>
        </w:tc>
        <w:tc>
          <w:tcPr>
            <w:tcW w:type="dxa" w:w="1904"/>
            <w:vAlign w:val="center"/>
          </w:tcPr>
          <w:p>
            <w:pPr>
              <w:spacing w:after="40" w:before="20"/>
            </w:pPr>
            <w:r>
              <w:rPr>
                <w:sz w:val="14"/>
              </w:rPr>
              <w:t>Evidencia jurídica aprobada y fecha.</w:t>
            </w:r>
          </w:p>
        </w:tc>
      </w:tr>
      <w:tr>
        <w:tc>
          <w:tcPr>
            <w:tcW w:type="dxa" w:w="1904"/>
            <w:vAlign w:val="center"/>
            <w:shd w:fill="F0F5F8"/>
          </w:tcPr>
          <w:p>
            <w:pPr>
              <w:spacing w:after="40" w:before="20"/>
            </w:pPr>
            <w:r>
              <w:rPr>
                <w:sz w:val="14"/>
              </w:rPr>
              <w:t>HU-09</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Recibir preguntas comprensibles</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Preguntas ordenadas por datos requeridos.</w:t>
            </w:r>
          </w:p>
        </w:tc>
      </w:tr>
      <w:tr>
        <w:tc>
          <w:tcPr>
            <w:tcW w:type="dxa" w:w="1904"/>
            <w:vAlign w:val="center"/>
          </w:tcPr>
          <w:p>
            <w:pPr>
              <w:spacing w:after="40" w:before="20"/>
            </w:pPr>
            <w:r>
              <w:rPr>
                <w:sz w:val="14"/>
              </w:rPr>
              <w:t>HU-10</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Responder libremente</w:t>
            </w:r>
          </w:p>
        </w:tc>
        <w:tc>
          <w:tcPr>
            <w:tcW w:type="dxa" w:w="1904"/>
            <w:vAlign w:val="center"/>
          </w:tcPr>
          <w:p>
            <w:pPr>
              <w:spacing w:after="40" w:before="20"/>
            </w:pPr>
            <w:r>
              <w:rPr>
                <w:sz w:val="14"/>
              </w:rPr>
              <w:t>P0</w:t>
            </w:r>
          </w:p>
        </w:tc>
        <w:tc>
          <w:tcPr>
            <w:tcW w:type="dxa" w:w="1904"/>
            <w:vAlign w:val="center"/>
          </w:tcPr>
          <w:p>
            <w:pPr>
              <w:spacing w:after="40" w:before="20"/>
            </w:pPr>
            <w:r>
              <w:rPr>
                <w:sz w:val="14"/>
              </w:rPr>
              <w:t>Extracción JSON y confirmación.</w:t>
            </w:r>
          </w:p>
        </w:tc>
      </w:tr>
      <w:tr>
        <w:tc>
          <w:tcPr>
            <w:tcW w:type="dxa" w:w="1904"/>
            <w:vAlign w:val="center"/>
            <w:shd w:fill="F0F5F8"/>
          </w:tcPr>
          <w:p>
            <w:pPr>
              <w:spacing w:after="40" w:before="20"/>
            </w:pPr>
            <w:r>
              <w:rPr>
                <w:sz w:val="14"/>
              </w:rPr>
              <w:t>HU-11</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Continuar sin repetir información</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Persistencia del estado.</w:t>
            </w:r>
          </w:p>
        </w:tc>
      </w:tr>
      <w:tr>
        <w:tc>
          <w:tcPr>
            <w:tcW w:type="dxa" w:w="1904"/>
            <w:vAlign w:val="center"/>
          </w:tcPr>
          <w:p>
            <w:pPr>
              <w:spacing w:after="40" w:before="20"/>
            </w:pPr>
            <w:r>
              <w:rPr>
                <w:sz w:val="14"/>
              </w:rPr>
              <w:t>HU-12</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Ver datos y pasos pendientes</w:t>
            </w:r>
          </w:p>
        </w:tc>
        <w:tc>
          <w:tcPr>
            <w:tcW w:type="dxa" w:w="1904"/>
            <w:vAlign w:val="center"/>
          </w:tcPr>
          <w:p>
            <w:pPr>
              <w:spacing w:after="40" w:before="20"/>
            </w:pPr>
            <w:r>
              <w:rPr>
                <w:sz w:val="14"/>
              </w:rPr>
              <w:t>P0</w:t>
            </w:r>
          </w:p>
        </w:tc>
        <w:tc>
          <w:tcPr>
            <w:tcW w:type="dxa" w:w="1904"/>
            <w:vAlign w:val="center"/>
          </w:tcPr>
          <w:p>
            <w:pPr>
              <w:spacing w:after="40" w:before="20"/>
            </w:pPr>
            <w:r>
              <w:rPr>
                <w:sz w:val="14"/>
              </w:rPr>
              <w:t>Checklist condicionado.</w:t>
            </w:r>
          </w:p>
        </w:tc>
      </w:tr>
      <w:tr>
        <w:tc>
          <w:tcPr>
            <w:tcW w:type="dxa" w:w="1904"/>
            <w:vAlign w:val="center"/>
            <w:shd w:fill="F0F5F8"/>
          </w:tcPr>
          <w:p>
            <w:pPr>
              <w:spacing w:after="40" w:before="20"/>
            </w:pPr>
            <w:r>
              <w:rPr>
                <w:sz w:val="14"/>
              </w:rPr>
              <w:t>HU-13</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Corregir lo informado</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Revalidación posterior.</w:t>
            </w:r>
          </w:p>
        </w:tc>
      </w:tr>
      <w:tr>
        <w:tc>
          <w:tcPr>
            <w:tcW w:type="dxa" w:w="1904"/>
            <w:vAlign w:val="center"/>
          </w:tcPr>
          <w:p>
            <w:pPr>
              <w:spacing w:after="40" w:before="20"/>
            </w:pPr>
            <w:r>
              <w:rPr>
                <w:sz w:val="14"/>
              </w:rPr>
              <w:t>HU-14</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Revisar resumen del caso</w:t>
            </w:r>
          </w:p>
        </w:tc>
        <w:tc>
          <w:tcPr>
            <w:tcW w:type="dxa" w:w="1904"/>
            <w:vAlign w:val="center"/>
          </w:tcPr>
          <w:p>
            <w:pPr>
              <w:spacing w:after="40" w:before="20"/>
            </w:pPr>
            <w:r>
              <w:rPr>
                <w:sz w:val="14"/>
              </w:rPr>
              <w:t>P0</w:t>
            </w:r>
          </w:p>
        </w:tc>
        <w:tc>
          <w:tcPr>
            <w:tcW w:type="dxa" w:w="1904"/>
            <w:vAlign w:val="center"/>
          </w:tcPr>
          <w:p>
            <w:pPr>
              <w:spacing w:after="40" w:before="20"/>
            </w:pPr>
            <w:r>
              <w:rPr>
                <w:sz w:val="14"/>
              </w:rPr>
              <w:t>Confirmación explícita.</w:t>
            </w:r>
          </w:p>
        </w:tc>
      </w:tr>
      <w:tr>
        <w:tc>
          <w:tcPr>
            <w:tcW w:type="dxa" w:w="1904"/>
            <w:vAlign w:val="center"/>
            <w:shd w:fill="F0F5F8"/>
          </w:tcPr>
          <w:p>
            <w:pPr>
              <w:spacing w:after="40" w:before="20"/>
            </w:pPr>
            <w:r>
              <w:rPr>
                <w:sz w:val="14"/>
              </w:rPr>
              <w:t>HU-15</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Subir anexos permitidos</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Carga con validación y privacidad.</w:t>
            </w:r>
          </w:p>
        </w:tc>
      </w:tr>
      <w:tr>
        <w:tc>
          <w:tcPr>
            <w:tcW w:type="dxa" w:w="1904"/>
            <w:vAlign w:val="center"/>
          </w:tcPr>
          <w:p>
            <w:pPr>
              <w:spacing w:after="40" w:before="20"/>
            </w:pPr>
            <w:r>
              <w:rPr>
                <w:sz w:val="14"/>
              </w:rPr>
              <w:t>HU-16</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Diferenciar anexos obligatorios y opcionales</w:t>
            </w:r>
          </w:p>
        </w:tc>
        <w:tc>
          <w:tcPr>
            <w:tcW w:type="dxa" w:w="1904"/>
            <w:vAlign w:val="center"/>
          </w:tcPr>
          <w:p>
            <w:pPr>
              <w:spacing w:after="40" w:before="20"/>
            </w:pPr>
            <w:r>
              <w:rPr>
                <w:sz w:val="14"/>
              </w:rPr>
              <w:t>P0</w:t>
            </w:r>
          </w:p>
        </w:tc>
        <w:tc>
          <w:tcPr>
            <w:tcW w:type="dxa" w:w="1904"/>
            <w:vAlign w:val="center"/>
          </w:tcPr>
          <w:p>
            <w:pPr>
              <w:spacing w:after="40" w:before="20"/>
            </w:pPr>
            <w:r>
              <w:rPr>
                <w:sz w:val="14"/>
              </w:rPr>
              <w:t>Regla por procedimiento.</w:t>
            </w:r>
          </w:p>
        </w:tc>
      </w:tr>
      <w:tr>
        <w:tc>
          <w:tcPr>
            <w:tcW w:type="dxa" w:w="1904"/>
            <w:vAlign w:val="center"/>
            <w:shd w:fill="F0F5F8"/>
          </w:tcPr>
          <w:p>
            <w:pPr>
              <w:spacing w:after="40" w:before="20"/>
            </w:pPr>
            <w:r>
              <w:rPr>
                <w:sz w:val="14"/>
              </w:rPr>
              <w:t>HU-17</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Conocer anexos ausentes</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Aviso sin inventar obligatoriedad.</w:t>
            </w:r>
          </w:p>
        </w:tc>
      </w:tr>
      <w:tr>
        <w:tc>
          <w:tcPr>
            <w:tcW w:type="dxa" w:w="1904"/>
            <w:vAlign w:val="center"/>
          </w:tcPr>
          <w:p>
            <w:pPr>
              <w:spacing w:after="40" w:before="20"/>
            </w:pPr>
            <w:r>
              <w:rPr>
                <w:sz w:val="14"/>
              </w:rPr>
              <w:t>HU-18</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Recibir advertencias por contradicciones</w:t>
            </w:r>
          </w:p>
        </w:tc>
        <w:tc>
          <w:tcPr>
            <w:tcW w:type="dxa" w:w="1904"/>
            <w:vAlign w:val="center"/>
          </w:tcPr>
          <w:p>
            <w:pPr>
              <w:spacing w:after="40" w:before="20"/>
            </w:pPr>
            <w:r>
              <w:rPr>
                <w:sz w:val="14"/>
              </w:rPr>
              <w:t>P0</w:t>
            </w:r>
          </w:p>
        </w:tc>
        <w:tc>
          <w:tcPr>
            <w:tcW w:type="dxa" w:w="1904"/>
            <w:vAlign w:val="center"/>
          </w:tcPr>
          <w:p>
            <w:pPr>
              <w:spacing w:after="40" w:before="20"/>
            </w:pPr>
            <w:r>
              <w:rPr>
                <w:sz w:val="14"/>
              </w:rPr>
              <w:t>Corrección o parada.</w:t>
            </w:r>
          </w:p>
        </w:tc>
      </w:tr>
      <w:tr>
        <w:tc>
          <w:tcPr>
            <w:tcW w:type="dxa" w:w="1904"/>
            <w:vAlign w:val="center"/>
            <w:shd w:fill="F0F5F8"/>
          </w:tcPr>
          <w:p>
            <w:pPr>
              <w:spacing w:after="40" w:before="20"/>
            </w:pPr>
            <w:r>
              <w:rPr>
                <w:sz w:val="14"/>
              </w:rPr>
              <w:t>HU-19</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Obtener redacción basada en fuentes del caso</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RAG filtrado y auditado.</w:t>
            </w:r>
          </w:p>
        </w:tc>
      </w:tr>
      <w:tr>
        <w:tc>
          <w:tcPr>
            <w:tcW w:type="dxa" w:w="1904"/>
            <w:vAlign w:val="center"/>
          </w:tcPr>
          <w:p>
            <w:pPr>
              <w:spacing w:after="40" w:before="20"/>
            </w:pPr>
            <w:r>
              <w:rPr>
                <w:sz w:val="14"/>
              </w:rPr>
              <w:t>HU-20</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Ver referencias de normas citadas</w:t>
            </w:r>
          </w:p>
        </w:tc>
        <w:tc>
          <w:tcPr>
            <w:tcW w:type="dxa" w:w="1904"/>
            <w:vAlign w:val="center"/>
          </w:tcPr>
          <w:p>
            <w:pPr>
              <w:spacing w:after="40" w:before="20"/>
            </w:pPr>
            <w:r>
              <w:rPr>
                <w:sz w:val="14"/>
              </w:rPr>
              <w:t>P0</w:t>
            </w:r>
          </w:p>
        </w:tc>
        <w:tc>
          <w:tcPr>
            <w:tcW w:type="dxa" w:w="1904"/>
            <w:vAlign w:val="center"/>
          </w:tcPr>
          <w:p>
            <w:pPr>
              <w:spacing w:after="40" w:before="20"/>
            </w:pPr>
            <w:r>
              <w:rPr>
                <w:sz w:val="14"/>
              </w:rPr>
              <w:t>Artículo + URL oficial.</w:t>
            </w:r>
          </w:p>
        </w:tc>
      </w:tr>
      <w:tr>
        <w:tc>
          <w:tcPr>
            <w:tcW w:type="dxa" w:w="1904"/>
            <w:vAlign w:val="center"/>
            <w:shd w:fill="F0F5F8"/>
          </w:tcPr>
          <w:p>
            <w:pPr>
              <w:spacing w:after="40" w:before="20"/>
            </w:pPr>
            <w:r>
              <w:rPr>
                <w:sz w:val="14"/>
              </w:rPr>
              <w:t>HU-21</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No usar fuentes jurídicas sin vigencia aprobada</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Bloqueo automático.</w:t>
            </w:r>
          </w:p>
        </w:tc>
      </w:tr>
      <w:tr>
        <w:tc>
          <w:tcPr>
            <w:tcW w:type="dxa" w:w="1904"/>
            <w:vAlign w:val="center"/>
          </w:tcPr>
          <w:p>
            <w:pPr>
              <w:spacing w:after="40" w:before="20"/>
            </w:pPr>
            <w:r>
              <w:rPr>
                <w:sz w:val="14"/>
              </w:rPr>
              <w:t>HU-22</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Generar borrador de demanda</w:t>
            </w:r>
          </w:p>
        </w:tc>
        <w:tc>
          <w:tcPr>
            <w:tcW w:type="dxa" w:w="1904"/>
            <w:vAlign w:val="center"/>
          </w:tcPr>
          <w:p>
            <w:pPr>
              <w:spacing w:after="40" w:before="20"/>
            </w:pPr>
            <w:r>
              <w:rPr>
                <w:sz w:val="14"/>
              </w:rPr>
              <w:t>P0</w:t>
            </w:r>
          </w:p>
        </w:tc>
        <w:tc>
          <w:tcPr>
            <w:tcW w:type="dxa" w:w="1904"/>
            <w:vAlign w:val="center"/>
          </w:tcPr>
          <w:p>
            <w:pPr>
              <w:spacing w:after="40" w:before="20"/>
            </w:pPr>
            <w:r>
              <w:rPr>
                <w:sz w:val="14"/>
              </w:rPr>
              <w:t>JSON estructurado.</w:t>
            </w:r>
          </w:p>
        </w:tc>
      </w:tr>
      <w:tr>
        <w:tc>
          <w:tcPr>
            <w:tcW w:type="dxa" w:w="1904"/>
            <w:vAlign w:val="center"/>
            <w:shd w:fill="F0F5F8"/>
          </w:tcPr>
          <w:p>
            <w:pPr>
              <w:spacing w:after="40" w:before="20"/>
            </w:pPr>
            <w:r>
              <w:rPr>
                <w:sz w:val="14"/>
              </w:rPr>
              <w:t>HU-23</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Obtener escrito en plantilla estable</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Sección y formato versionados.</w:t>
            </w:r>
          </w:p>
        </w:tc>
      </w:tr>
      <w:tr>
        <w:tc>
          <w:tcPr>
            <w:tcW w:type="dxa" w:w="1904"/>
            <w:vAlign w:val="center"/>
          </w:tcPr>
          <w:p>
            <w:pPr>
              <w:spacing w:after="40" w:before="20"/>
            </w:pPr>
            <w:r>
              <w:rPr>
                <w:sz w:val="14"/>
              </w:rPr>
              <w:t>HU-24</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Ver vista previa completa antes del PDF</w:t>
            </w:r>
          </w:p>
        </w:tc>
        <w:tc>
          <w:tcPr>
            <w:tcW w:type="dxa" w:w="1904"/>
            <w:vAlign w:val="center"/>
          </w:tcPr>
          <w:p>
            <w:pPr>
              <w:spacing w:after="40" w:before="20"/>
            </w:pPr>
            <w:r>
              <w:rPr>
                <w:sz w:val="14"/>
              </w:rPr>
              <w:t>P0</w:t>
            </w:r>
          </w:p>
        </w:tc>
        <w:tc>
          <w:tcPr>
            <w:tcW w:type="dxa" w:w="1904"/>
            <w:vAlign w:val="center"/>
          </w:tcPr>
          <w:p>
            <w:pPr>
              <w:spacing w:after="40" w:before="20"/>
            </w:pPr>
            <w:r>
              <w:rPr>
                <w:sz w:val="14"/>
              </w:rPr>
              <w:t>No generar versión final sin revisión.</w:t>
            </w:r>
          </w:p>
        </w:tc>
      </w:tr>
      <w:tr>
        <w:tc>
          <w:tcPr>
            <w:tcW w:type="dxa" w:w="1904"/>
            <w:vAlign w:val="center"/>
            <w:shd w:fill="F0F5F8"/>
          </w:tcPr>
          <w:p>
            <w:pPr>
              <w:spacing w:after="40" w:before="20"/>
            </w:pPr>
            <w:r>
              <w:rPr>
                <w:sz w:val="14"/>
              </w:rPr>
              <w:t>HU-25</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Editar errores desde la vista previa</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Rerender coherente.</w:t>
            </w:r>
          </w:p>
        </w:tc>
      </w:tr>
      <w:tr>
        <w:tc>
          <w:tcPr>
            <w:tcW w:type="dxa" w:w="1904"/>
            <w:vAlign w:val="center"/>
          </w:tcPr>
          <w:p>
            <w:pPr>
              <w:spacing w:after="40" w:before="20"/>
            </w:pPr>
            <w:r>
              <w:rPr>
                <w:sz w:val="14"/>
              </w:rPr>
              <w:t>HU-26</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Descargar PDF legible</w:t>
            </w:r>
          </w:p>
        </w:tc>
        <w:tc>
          <w:tcPr>
            <w:tcW w:type="dxa" w:w="1904"/>
            <w:vAlign w:val="center"/>
          </w:tcPr>
          <w:p>
            <w:pPr>
              <w:spacing w:after="40" w:before="20"/>
            </w:pPr>
            <w:r>
              <w:rPr>
                <w:sz w:val="14"/>
              </w:rPr>
              <w:t>P0</w:t>
            </w:r>
          </w:p>
        </w:tc>
        <w:tc>
          <w:tcPr>
            <w:tcW w:type="dxa" w:w="1904"/>
            <w:vAlign w:val="center"/>
          </w:tcPr>
          <w:p>
            <w:pPr>
              <w:spacing w:after="40" w:before="20"/>
            </w:pPr>
            <w:r>
              <w:rPr>
                <w:sz w:val="14"/>
              </w:rPr>
              <w:t>PDF A4 válido.</w:t>
            </w:r>
          </w:p>
        </w:tc>
      </w:tr>
      <w:tr>
        <w:tc>
          <w:tcPr>
            <w:tcW w:type="dxa" w:w="1904"/>
            <w:vAlign w:val="center"/>
            <w:shd w:fill="F0F5F8"/>
          </w:tcPr>
          <w:p>
            <w:pPr>
              <w:spacing w:after="40" w:before="20"/>
            </w:pPr>
            <w:r>
              <w:rPr>
                <w:sz w:val="14"/>
              </w:rPr>
              <w:t>HU-27</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Obtener índice y control de anexos</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Solo archivos efectivamente adjuntos.</w:t>
            </w:r>
          </w:p>
        </w:tc>
      </w:tr>
      <w:tr>
        <w:tc>
          <w:tcPr>
            <w:tcW w:type="dxa" w:w="1904"/>
            <w:vAlign w:val="center"/>
          </w:tcPr>
          <w:p>
            <w:pPr>
              <w:spacing w:after="40" w:before="20"/>
            </w:pPr>
            <w:r>
              <w:rPr>
                <w:sz w:val="14"/>
              </w:rPr>
              <w:t>HU-28</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Recibir instrucciones oficiales</w:t>
            </w:r>
          </w:p>
        </w:tc>
        <w:tc>
          <w:tcPr>
            <w:tcW w:type="dxa" w:w="1904"/>
            <w:vAlign w:val="center"/>
          </w:tcPr>
          <w:p>
            <w:pPr>
              <w:spacing w:after="40" w:before="20"/>
            </w:pPr>
            <w:r>
              <w:rPr>
                <w:sz w:val="14"/>
              </w:rPr>
              <w:t>P0</w:t>
            </w:r>
          </w:p>
        </w:tc>
        <w:tc>
          <w:tcPr>
            <w:tcW w:type="dxa" w:w="1904"/>
            <w:vAlign w:val="center"/>
          </w:tcPr>
          <w:p>
            <w:pPr>
              <w:spacing w:after="40" w:before="20"/>
            </w:pPr>
            <w:r>
              <w:rPr>
                <w:sz w:val="14"/>
              </w:rPr>
              <w:t>Enlace oficial y pasos revisados.</w:t>
            </w:r>
          </w:p>
        </w:tc>
      </w:tr>
      <w:tr>
        <w:tc>
          <w:tcPr>
            <w:tcW w:type="dxa" w:w="1904"/>
            <w:vAlign w:val="center"/>
            <w:shd w:fill="F0F5F8"/>
          </w:tcPr>
          <w:p>
            <w:pPr>
              <w:spacing w:after="40" w:before="20"/>
            </w:pPr>
            <w:r>
              <w:rPr>
                <w:sz w:val="14"/>
              </w:rPr>
              <w:t>HU-29</w:t>
            </w:r>
          </w:p>
        </w:tc>
        <w:tc>
          <w:tcPr>
            <w:tcW w:type="dxa" w:w="1904"/>
            <w:vAlign w:val="center"/>
            <w:shd w:fill="F0F5F8"/>
          </w:tcPr>
          <w:p>
            <w:pPr>
              <w:spacing w:after="40" w:before="20"/>
            </w:pPr>
            <w:r>
              <w:rPr>
                <w:sz w:val="14"/>
              </w:rPr>
              <w:t>Ciudadano</w:t>
            </w:r>
          </w:p>
        </w:tc>
        <w:tc>
          <w:tcPr>
            <w:tcW w:type="dxa" w:w="1904"/>
            <w:vAlign w:val="center"/>
            <w:shd w:fill="F0F5F8"/>
          </w:tcPr>
          <w:p>
            <w:pPr>
              <w:spacing w:after="40" w:before="20"/>
            </w:pPr>
            <w:r>
              <w:rPr>
                <w:sz w:val="14"/>
              </w:rPr>
              <w:t>Consultar historial de casos</w:t>
            </w:r>
          </w:p>
        </w:tc>
        <w:tc>
          <w:tcPr>
            <w:tcW w:type="dxa" w:w="1904"/>
            <w:vAlign w:val="center"/>
            <w:shd w:fill="F0F5F8"/>
          </w:tcPr>
          <w:p>
            <w:pPr>
              <w:spacing w:after="40" w:before="20"/>
            </w:pPr>
            <w:r>
              <w:rPr>
                <w:sz w:val="14"/>
              </w:rPr>
              <w:t>P1</w:t>
            </w:r>
          </w:p>
        </w:tc>
        <w:tc>
          <w:tcPr>
            <w:tcW w:type="dxa" w:w="1904"/>
            <w:vAlign w:val="center"/>
            <w:shd w:fill="F0F5F8"/>
          </w:tcPr>
          <w:p>
            <w:pPr>
              <w:spacing w:after="40" w:before="20"/>
            </w:pPr>
            <w:r>
              <w:rPr>
                <w:sz w:val="14"/>
              </w:rPr>
              <w:t>Lista privada de expedientes internos.</w:t>
            </w:r>
          </w:p>
        </w:tc>
      </w:tr>
      <w:tr>
        <w:tc>
          <w:tcPr>
            <w:tcW w:type="dxa" w:w="1904"/>
            <w:vAlign w:val="center"/>
          </w:tcPr>
          <w:p>
            <w:pPr>
              <w:spacing w:after="40" w:before="20"/>
            </w:pPr>
            <w:r>
              <w:rPr>
                <w:sz w:val="14"/>
              </w:rPr>
              <w:t>HU-30</w:t>
            </w:r>
          </w:p>
        </w:tc>
        <w:tc>
          <w:tcPr>
            <w:tcW w:type="dxa" w:w="1904"/>
            <w:vAlign w:val="center"/>
          </w:tcPr>
          <w:p>
            <w:pPr>
              <w:spacing w:after="40" w:before="20"/>
            </w:pPr>
            <w:r>
              <w:rPr>
                <w:sz w:val="14"/>
              </w:rPr>
              <w:t>Ciudadano</w:t>
            </w:r>
          </w:p>
        </w:tc>
        <w:tc>
          <w:tcPr>
            <w:tcW w:type="dxa" w:w="1904"/>
            <w:vAlign w:val="center"/>
          </w:tcPr>
          <w:p>
            <w:pPr>
              <w:spacing w:after="40" w:before="20"/>
            </w:pPr>
            <w:r>
              <w:rPr>
                <w:sz w:val="14"/>
              </w:rPr>
              <w:t>Solicitar eliminación de sus datos</w:t>
            </w:r>
          </w:p>
        </w:tc>
        <w:tc>
          <w:tcPr>
            <w:tcW w:type="dxa" w:w="1904"/>
            <w:vAlign w:val="center"/>
          </w:tcPr>
          <w:p>
            <w:pPr>
              <w:spacing w:after="40" w:before="20"/>
            </w:pPr>
            <w:r>
              <w:rPr>
                <w:sz w:val="14"/>
              </w:rPr>
              <w:t>P1</w:t>
            </w:r>
          </w:p>
        </w:tc>
        <w:tc>
          <w:tcPr>
            <w:tcW w:type="dxa" w:w="1904"/>
            <w:vAlign w:val="center"/>
          </w:tcPr>
          <w:p>
            <w:pPr>
              <w:spacing w:after="40" w:before="20"/>
            </w:pPr>
            <w:r>
              <w:rPr>
                <w:sz w:val="14"/>
              </w:rPr>
              <w:t>Política de conservación y atención.</w:t>
            </w:r>
          </w:p>
        </w:tc>
      </w:tr>
      <w:tr>
        <w:tc>
          <w:tcPr>
            <w:tcW w:type="dxa" w:w="1904"/>
            <w:vAlign w:val="center"/>
            <w:shd w:fill="F0F5F8"/>
          </w:tcPr>
          <w:p>
            <w:pPr>
              <w:spacing w:after="40" w:before="20"/>
            </w:pPr>
            <w:r>
              <w:rPr>
                <w:sz w:val="14"/>
              </w:rPr>
              <w:t>HU-31</w:t>
            </w:r>
          </w:p>
        </w:tc>
        <w:tc>
          <w:tcPr>
            <w:tcW w:type="dxa" w:w="1904"/>
            <w:vAlign w:val="center"/>
            <w:shd w:fill="F0F5F8"/>
          </w:tcPr>
          <w:p>
            <w:pPr>
              <w:spacing w:after="40" w:before="20"/>
            </w:pPr>
            <w:r>
              <w:rPr>
                <w:sz w:val="14"/>
              </w:rPr>
              <w:t>Administrador</w:t>
            </w:r>
          </w:p>
        </w:tc>
        <w:tc>
          <w:tcPr>
            <w:tcW w:type="dxa" w:w="1904"/>
            <w:vAlign w:val="center"/>
            <w:shd w:fill="F0F5F8"/>
          </w:tcPr>
          <w:p>
            <w:pPr>
              <w:spacing w:after="40" w:before="20"/>
            </w:pPr>
            <w:r>
              <w:rPr>
                <w:sz w:val="14"/>
              </w:rPr>
              <w:t>Dar de alta un procedimiento</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Ficha con revisión jurídica.</w:t>
            </w:r>
          </w:p>
        </w:tc>
      </w:tr>
      <w:tr>
        <w:tc>
          <w:tcPr>
            <w:tcW w:type="dxa" w:w="1904"/>
            <w:vAlign w:val="center"/>
          </w:tcPr>
          <w:p>
            <w:pPr>
              <w:spacing w:after="40" w:before="20"/>
            </w:pPr>
            <w:r>
              <w:rPr>
                <w:sz w:val="14"/>
              </w:rPr>
              <w:t>HU-32</w:t>
            </w:r>
          </w:p>
        </w:tc>
        <w:tc>
          <w:tcPr>
            <w:tcW w:type="dxa" w:w="1904"/>
            <w:vAlign w:val="center"/>
          </w:tcPr>
          <w:p>
            <w:pPr>
              <w:spacing w:after="40" w:before="20"/>
            </w:pPr>
            <w:r>
              <w:rPr>
                <w:sz w:val="14"/>
              </w:rPr>
              <w:t>Administrador</w:t>
            </w:r>
          </w:p>
        </w:tc>
        <w:tc>
          <w:tcPr>
            <w:tcW w:type="dxa" w:w="1904"/>
            <w:vAlign w:val="center"/>
          </w:tcPr>
          <w:p>
            <w:pPr>
              <w:spacing w:after="40" w:before="20"/>
            </w:pPr>
            <w:r>
              <w:rPr>
                <w:sz w:val="14"/>
              </w:rPr>
              <w:t>Configurar regla de no patrocinio</w:t>
            </w:r>
          </w:p>
        </w:tc>
        <w:tc>
          <w:tcPr>
            <w:tcW w:type="dxa" w:w="1904"/>
            <w:vAlign w:val="center"/>
          </w:tcPr>
          <w:p>
            <w:pPr>
              <w:spacing w:after="40" w:before="20"/>
            </w:pPr>
            <w:r>
              <w:rPr>
                <w:sz w:val="14"/>
              </w:rPr>
              <w:t>P0</w:t>
            </w:r>
          </w:p>
        </w:tc>
        <w:tc>
          <w:tcPr>
            <w:tcW w:type="dxa" w:w="1904"/>
            <w:vAlign w:val="center"/>
          </w:tcPr>
          <w:p>
            <w:pPr>
              <w:spacing w:after="40" w:before="20"/>
            </w:pPr>
            <w:r>
              <w:rPr>
                <w:sz w:val="14"/>
              </w:rPr>
              <w:t>Fuente, alcance, bloqueo.</w:t>
            </w:r>
          </w:p>
        </w:tc>
      </w:tr>
      <w:tr>
        <w:tc>
          <w:tcPr>
            <w:tcW w:type="dxa" w:w="1904"/>
            <w:vAlign w:val="center"/>
            <w:shd w:fill="F0F5F8"/>
          </w:tcPr>
          <w:p>
            <w:pPr>
              <w:spacing w:after="40" w:before="20"/>
            </w:pPr>
            <w:r>
              <w:rPr>
                <w:sz w:val="14"/>
              </w:rPr>
              <w:t>HU-33</w:t>
            </w:r>
          </w:p>
        </w:tc>
        <w:tc>
          <w:tcPr>
            <w:tcW w:type="dxa" w:w="1904"/>
            <w:vAlign w:val="center"/>
            <w:shd w:fill="F0F5F8"/>
          </w:tcPr>
          <w:p>
            <w:pPr>
              <w:spacing w:after="40" w:before="20"/>
            </w:pPr>
            <w:r>
              <w:rPr>
                <w:sz w:val="14"/>
              </w:rPr>
              <w:t>Administrador</w:t>
            </w:r>
          </w:p>
        </w:tc>
        <w:tc>
          <w:tcPr>
            <w:tcW w:type="dxa" w:w="1904"/>
            <w:vAlign w:val="center"/>
            <w:shd w:fill="F0F5F8"/>
          </w:tcPr>
          <w:p>
            <w:pPr>
              <w:spacing w:after="40" w:before="20"/>
            </w:pPr>
            <w:r>
              <w:rPr>
                <w:sz w:val="14"/>
              </w:rPr>
              <w:t>Definir preguntas y anexos</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Formulario dinámico por versión.</w:t>
            </w:r>
          </w:p>
        </w:tc>
      </w:tr>
      <w:tr>
        <w:tc>
          <w:tcPr>
            <w:tcW w:type="dxa" w:w="1904"/>
            <w:vAlign w:val="center"/>
          </w:tcPr>
          <w:p>
            <w:pPr>
              <w:spacing w:after="40" w:before="20"/>
            </w:pPr>
            <w:r>
              <w:rPr>
                <w:sz w:val="14"/>
              </w:rPr>
              <w:t>HU-34</w:t>
            </w:r>
          </w:p>
        </w:tc>
        <w:tc>
          <w:tcPr>
            <w:tcW w:type="dxa" w:w="1904"/>
            <w:vAlign w:val="center"/>
          </w:tcPr>
          <w:p>
            <w:pPr>
              <w:spacing w:after="40" w:before="20"/>
            </w:pPr>
            <w:r>
              <w:rPr>
                <w:sz w:val="14"/>
              </w:rPr>
              <w:t>Administrador</w:t>
            </w:r>
          </w:p>
        </w:tc>
        <w:tc>
          <w:tcPr>
            <w:tcW w:type="dxa" w:w="1904"/>
            <w:vAlign w:val="center"/>
          </w:tcPr>
          <w:p>
            <w:pPr>
              <w:spacing w:after="40" w:before="20"/>
            </w:pPr>
            <w:r>
              <w:rPr>
                <w:sz w:val="14"/>
              </w:rPr>
              <w:t>Incorporar normas oficiales</w:t>
            </w:r>
          </w:p>
        </w:tc>
        <w:tc>
          <w:tcPr>
            <w:tcW w:type="dxa" w:w="1904"/>
            <w:vAlign w:val="center"/>
          </w:tcPr>
          <w:p>
            <w:pPr>
              <w:spacing w:after="40" w:before="20"/>
            </w:pPr>
            <w:r>
              <w:rPr>
                <w:sz w:val="14"/>
              </w:rPr>
              <w:t>P0</w:t>
            </w:r>
          </w:p>
        </w:tc>
        <w:tc>
          <w:tcPr>
            <w:tcW w:type="dxa" w:w="1904"/>
            <w:vAlign w:val="center"/>
          </w:tcPr>
          <w:p>
            <w:pPr>
              <w:spacing w:after="40" w:before="20"/>
            </w:pPr>
            <w:r>
              <w:rPr>
                <w:sz w:val="14"/>
              </w:rPr>
              <w:t>Carga con procedencia.</w:t>
            </w:r>
          </w:p>
        </w:tc>
      </w:tr>
      <w:tr>
        <w:tc>
          <w:tcPr>
            <w:tcW w:type="dxa" w:w="1904"/>
            <w:vAlign w:val="center"/>
            <w:shd w:fill="F0F5F8"/>
          </w:tcPr>
          <w:p>
            <w:pPr>
              <w:spacing w:after="40" w:before="20"/>
            </w:pPr>
            <w:r>
              <w:rPr>
                <w:sz w:val="14"/>
              </w:rPr>
              <w:t>HU-35</w:t>
            </w:r>
          </w:p>
        </w:tc>
        <w:tc>
          <w:tcPr>
            <w:tcW w:type="dxa" w:w="1904"/>
            <w:vAlign w:val="center"/>
            <w:shd w:fill="F0F5F8"/>
          </w:tcPr>
          <w:p>
            <w:pPr>
              <w:spacing w:after="40" w:before="20"/>
            </w:pPr>
            <w:r>
              <w:rPr>
                <w:sz w:val="14"/>
              </w:rPr>
              <w:t>Administrador</w:t>
            </w:r>
          </w:p>
        </w:tc>
        <w:tc>
          <w:tcPr>
            <w:tcW w:type="dxa" w:w="1904"/>
            <w:vAlign w:val="center"/>
            <w:shd w:fill="F0F5F8"/>
          </w:tcPr>
          <w:p>
            <w:pPr>
              <w:spacing w:after="40" w:before="20"/>
            </w:pPr>
            <w:r>
              <w:rPr>
                <w:sz w:val="14"/>
              </w:rPr>
              <w:t>Vincular artículos a procedimientos</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Relaciones verificadas.</w:t>
            </w:r>
          </w:p>
        </w:tc>
      </w:tr>
      <w:tr>
        <w:tc>
          <w:tcPr>
            <w:tcW w:type="dxa" w:w="1904"/>
            <w:vAlign w:val="center"/>
          </w:tcPr>
          <w:p>
            <w:pPr>
              <w:spacing w:after="40" w:before="20"/>
            </w:pPr>
            <w:r>
              <w:rPr>
                <w:sz w:val="14"/>
              </w:rPr>
              <w:t>HU-36</w:t>
            </w:r>
          </w:p>
        </w:tc>
        <w:tc>
          <w:tcPr>
            <w:tcW w:type="dxa" w:w="1904"/>
            <w:vAlign w:val="center"/>
          </w:tcPr>
          <w:p>
            <w:pPr>
              <w:spacing w:after="40" w:before="20"/>
            </w:pPr>
            <w:r>
              <w:rPr>
                <w:sz w:val="14"/>
              </w:rPr>
              <w:t>Administrador</w:t>
            </w:r>
          </w:p>
        </w:tc>
        <w:tc>
          <w:tcPr>
            <w:tcW w:type="dxa" w:w="1904"/>
            <w:vAlign w:val="center"/>
          </w:tcPr>
          <w:p>
            <w:pPr>
              <w:spacing w:after="40" w:before="20"/>
            </w:pPr>
            <w:r>
              <w:rPr>
                <w:sz w:val="14"/>
              </w:rPr>
              <w:t>Versionar vigencia de normas</w:t>
            </w:r>
          </w:p>
        </w:tc>
        <w:tc>
          <w:tcPr>
            <w:tcW w:type="dxa" w:w="1904"/>
            <w:vAlign w:val="center"/>
          </w:tcPr>
          <w:p>
            <w:pPr>
              <w:spacing w:after="40" w:before="20"/>
            </w:pPr>
            <w:r>
              <w:rPr>
                <w:sz w:val="14"/>
              </w:rPr>
              <w:t>P0</w:t>
            </w:r>
          </w:p>
        </w:tc>
        <w:tc>
          <w:tcPr>
            <w:tcW w:type="dxa" w:w="1904"/>
            <w:vAlign w:val="center"/>
          </w:tcPr>
          <w:p>
            <w:pPr>
              <w:spacing w:after="40" w:before="20"/>
            </w:pPr>
            <w:r>
              <w:rPr>
                <w:sz w:val="14"/>
              </w:rPr>
              <w:t>Historial y aprobación.</w:t>
            </w:r>
          </w:p>
        </w:tc>
      </w:tr>
      <w:tr>
        <w:tc>
          <w:tcPr>
            <w:tcW w:type="dxa" w:w="1904"/>
            <w:vAlign w:val="center"/>
            <w:shd w:fill="F0F5F8"/>
          </w:tcPr>
          <w:p>
            <w:pPr>
              <w:spacing w:after="40" w:before="20"/>
            </w:pPr>
            <w:r>
              <w:rPr>
                <w:sz w:val="14"/>
              </w:rPr>
              <w:t>HU-37</w:t>
            </w:r>
          </w:p>
        </w:tc>
        <w:tc>
          <w:tcPr>
            <w:tcW w:type="dxa" w:w="1904"/>
            <w:vAlign w:val="center"/>
            <w:shd w:fill="F0F5F8"/>
          </w:tcPr>
          <w:p>
            <w:pPr>
              <w:spacing w:after="40" w:before="20"/>
            </w:pPr>
            <w:r>
              <w:rPr>
                <w:sz w:val="14"/>
              </w:rPr>
              <w:t>Administrador</w:t>
            </w:r>
          </w:p>
        </w:tc>
        <w:tc>
          <w:tcPr>
            <w:tcW w:type="dxa" w:w="1904"/>
            <w:vAlign w:val="center"/>
            <w:shd w:fill="F0F5F8"/>
          </w:tcPr>
          <w:p>
            <w:pPr>
              <w:spacing w:after="40" w:before="20"/>
            </w:pPr>
            <w:r>
              <w:rPr>
                <w:sz w:val="14"/>
              </w:rPr>
              <w:t>Versionar y actualizar plantillas</w:t>
            </w:r>
          </w:p>
        </w:tc>
        <w:tc>
          <w:tcPr>
            <w:tcW w:type="dxa" w:w="1904"/>
            <w:vAlign w:val="center"/>
            <w:shd w:fill="F0F5F8"/>
          </w:tcPr>
          <w:p>
            <w:pPr>
              <w:spacing w:after="40" w:before="20"/>
            </w:pPr>
            <w:r>
              <w:rPr>
                <w:sz w:val="14"/>
              </w:rPr>
              <w:t>P1</w:t>
            </w:r>
          </w:p>
        </w:tc>
        <w:tc>
          <w:tcPr>
            <w:tcW w:type="dxa" w:w="1904"/>
            <w:vAlign w:val="center"/>
            <w:shd w:fill="F0F5F8"/>
          </w:tcPr>
          <w:p>
            <w:pPr>
              <w:spacing w:after="40" w:before="20"/>
            </w:pPr>
            <w:r>
              <w:rPr>
                <w:sz w:val="14"/>
              </w:rPr>
              <w:t>Publicación aprobada.</w:t>
            </w:r>
          </w:p>
        </w:tc>
      </w:tr>
      <w:tr>
        <w:tc>
          <w:tcPr>
            <w:tcW w:type="dxa" w:w="1904"/>
            <w:vAlign w:val="center"/>
          </w:tcPr>
          <w:p>
            <w:pPr>
              <w:spacing w:after="40" w:before="20"/>
            </w:pPr>
            <w:r>
              <w:rPr>
                <w:sz w:val="14"/>
              </w:rPr>
              <w:t>HU-38</w:t>
            </w:r>
          </w:p>
        </w:tc>
        <w:tc>
          <w:tcPr>
            <w:tcW w:type="dxa" w:w="1904"/>
            <w:vAlign w:val="center"/>
          </w:tcPr>
          <w:p>
            <w:pPr>
              <w:spacing w:after="40" w:before="20"/>
            </w:pPr>
            <w:r>
              <w:rPr>
                <w:sz w:val="14"/>
              </w:rPr>
              <w:t>Administrador</w:t>
            </w:r>
          </w:p>
        </w:tc>
        <w:tc>
          <w:tcPr>
            <w:tcW w:type="dxa" w:w="1904"/>
            <w:vAlign w:val="center"/>
          </w:tcPr>
          <w:p>
            <w:pPr>
              <w:spacing w:after="40" w:before="20"/>
            </w:pPr>
            <w:r>
              <w:rPr>
                <w:sz w:val="14"/>
              </w:rPr>
              <w:t>Suspender procedimientos ante cambios legales</w:t>
            </w:r>
          </w:p>
        </w:tc>
        <w:tc>
          <w:tcPr>
            <w:tcW w:type="dxa" w:w="1904"/>
            <w:vAlign w:val="center"/>
          </w:tcPr>
          <w:p>
            <w:pPr>
              <w:spacing w:after="40" w:before="20"/>
            </w:pPr>
            <w:r>
              <w:rPr>
                <w:sz w:val="14"/>
              </w:rPr>
              <w:t>P0</w:t>
            </w:r>
          </w:p>
        </w:tc>
        <w:tc>
          <w:tcPr>
            <w:tcW w:type="dxa" w:w="1904"/>
            <w:vAlign w:val="center"/>
          </w:tcPr>
          <w:p>
            <w:pPr>
              <w:spacing w:after="40" w:before="20"/>
            </w:pPr>
            <w:r>
              <w:rPr>
                <w:sz w:val="14"/>
              </w:rPr>
              <w:t>Bloqueo efectivo inmediato.</w:t>
            </w:r>
          </w:p>
        </w:tc>
      </w:tr>
      <w:tr>
        <w:tc>
          <w:tcPr>
            <w:tcW w:type="dxa" w:w="1904"/>
            <w:vAlign w:val="center"/>
            <w:shd w:fill="F0F5F8"/>
          </w:tcPr>
          <w:p>
            <w:pPr>
              <w:spacing w:after="40" w:before="20"/>
            </w:pPr>
            <w:r>
              <w:rPr>
                <w:sz w:val="14"/>
              </w:rPr>
              <w:t>HU-39</w:t>
            </w:r>
          </w:p>
        </w:tc>
        <w:tc>
          <w:tcPr>
            <w:tcW w:type="dxa" w:w="1904"/>
            <w:vAlign w:val="center"/>
            <w:shd w:fill="F0F5F8"/>
          </w:tcPr>
          <w:p>
            <w:pPr>
              <w:spacing w:after="40" w:before="20"/>
            </w:pPr>
            <w:r>
              <w:rPr>
                <w:sz w:val="14"/>
              </w:rPr>
              <w:t>Administrador</w:t>
            </w:r>
          </w:p>
        </w:tc>
        <w:tc>
          <w:tcPr>
            <w:tcW w:type="dxa" w:w="1904"/>
            <w:vAlign w:val="center"/>
            <w:shd w:fill="F0F5F8"/>
          </w:tcPr>
          <w:p>
            <w:pPr>
              <w:spacing w:after="40" w:before="20"/>
            </w:pPr>
            <w:r>
              <w:rPr>
                <w:sz w:val="14"/>
              </w:rPr>
              <w:t>Auditar versión jurídica de cada PDF</w:t>
            </w:r>
          </w:p>
        </w:tc>
        <w:tc>
          <w:tcPr>
            <w:tcW w:type="dxa" w:w="1904"/>
            <w:vAlign w:val="center"/>
            <w:shd w:fill="F0F5F8"/>
          </w:tcPr>
          <w:p>
            <w:pPr>
              <w:spacing w:after="40" w:before="20"/>
            </w:pPr>
            <w:r>
              <w:rPr>
                <w:sz w:val="14"/>
              </w:rPr>
              <w:t>P0</w:t>
            </w:r>
          </w:p>
        </w:tc>
        <w:tc>
          <w:tcPr>
            <w:tcW w:type="dxa" w:w="1904"/>
            <w:vAlign w:val="center"/>
            <w:shd w:fill="F0F5F8"/>
          </w:tcPr>
          <w:p>
            <w:pPr>
              <w:spacing w:after="40" w:before="20"/>
            </w:pPr>
            <w:r>
              <w:rPr>
                <w:sz w:val="14"/>
              </w:rPr>
              <w:t>Snapshot inmutable por documento.</w:t>
            </w:r>
          </w:p>
        </w:tc>
      </w:tr>
      <w:tr>
        <w:tc>
          <w:tcPr>
            <w:tcW w:type="dxa" w:w="1904"/>
            <w:vAlign w:val="center"/>
          </w:tcPr>
          <w:p>
            <w:pPr>
              <w:spacing w:after="40" w:before="20"/>
            </w:pPr>
            <w:r>
              <w:rPr>
                <w:sz w:val="14"/>
              </w:rPr>
              <w:t>HU-40</w:t>
            </w:r>
          </w:p>
        </w:tc>
        <w:tc>
          <w:tcPr>
            <w:tcW w:type="dxa" w:w="1904"/>
            <w:vAlign w:val="center"/>
          </w:tcPr>
          <w:p>
            <w:pPr>
              <w:spacing w:after="40" w:before="20"/>
            </w:pPr>
            <w:r>
              <w:rPr>
                <w:sz w:val="14"/>
              </w:rPr>
              <w:t>Administrador</w:t>
            </w:r>
          </w:p>
        </w:tc>
        <w:tc>
          <w:tcPr>
            <w:tcW w:type="dxa" w:w="1904"/>
            <w:vAlign w:val="center"/>
          </w:tcPr>
          <w:p>
            <w:pPr>
              <w:spacing w:after="40" w:before="20"/>
            </w:pPr>
            <w:r>
              <w:rPr>
                <w:sz w:val="14"/>
              </w:rPr>
              <w:t>Consultar errores anonimizados</w:t>
            </w:r>
          </w:p>
        </w:tc>
        <w:tc>
          <w:tcPr>
            <w:tcW w:type="dxa" w:w="1904"/>
            <w:vAlign w:val="center"/>
          </w:tcPr>
          <w:p>
            <w:pPr>
              <w:spacing w:after="40" w:before="20"/>
            </w:pPr>
            <w:r>
              <w:rPr>
                <w:sz w:val="14"/>
              </w:rPr>
              <w:t>P1</w:t>
            </w:r>
          </w:p>
        </w:tc>
        <w:tc>
          <w:tcPr>
            <w:tcW w:type="dxa" w:w="1904"/>
            <w:vAlign w:val="center"/>
          </w:tcPr>
          <w:p>
            <w:pPr>
              <w:spacing w:after="40" w:before="20"/>
            </w:pPr>
            <w:r>
              <w:rPr>
                <w:sz w:val="14"/>
              </w:rPr>
              <w:t>Logs sin contenidos sensibles.</w:t>
            </w:r>
          </w:p>
        </w:tc>
      </w:tr>
    </w:tbl>
    <w:p>
      <w:pPr>
        <w:spacing w:after="0"/>
      </w:pPr>
    </w:p>
    <w:p>
      <w:pPr>
        <w:pStyle w:val="Heading2"/>
      </w:pPr>
      <w:r>
        <w:t>5.1 Criterios de aceptación para HU críticas</w:t>
      </w:r>
    </w:p>
    <w:p>
      <w:pPr>
        <w:pStyle w:val="Heading3"/>
      </w:pPr>
      <w:r>
        <w:t>HU-04 / HU-08 - Elegibilidad</w:t>
      </w:r>
    </w:p>
    <w:p>
      <w:pPr>
        <w:pStyle w:val="ListBullet"/>
      </w:pPr>
      <w:r>
        <w:t>Dado un procedimiento deshabilitado, no se muestra como opción de generación.</w:t>
      </w:r>
    </w:p>
    <w:p>
      <w:pPr>
        <w:pStyle w:val="ListBullet"/>
      </w:pPr>
      <w:r>
        <w:t>Dado un procedimiento habilitado, existe ficha y fecha de aprobación jurídica.</w:t>
      </w:r>
    </w:p>
    <w:p>
      <w:pPr>
        <w:pStyle w:val="ListBullet"/>
      </w:pPr>
      <w:r>
        <w:t>La salida de Groq no puede cambiar requires_lawyer ni enabled.</w:t>
      </w:r>
    </w:p>
    <w:p>
      <w:pPr>
        <w:pStyle w:val="Heading3"/>
      </w:pPr>
      <w:r>
        <w:t>HU-10 / HU-13 - Datos</w:t>
      </w:r>
    </w:p>
    <w:p>
      <w:pPr>
        <w:pStyle w:val="ListBullet"/>
      </w:pPr>
      <w:r>
        <w:t>Ningún dato extraído por IA se acepta como hecho hasta ser confirmado o provenir de una fuente verificada.</w:t>
      </w:r>
    </w:p>
    <w:p>
      <w:pPr>
        <w:pStyle w:val="ListBullet"/>
      </w:pPr>
      <w:r>
        <w:t>Editar un dato actualiza resumen, borrador y controles afectados.</w:t>
      </w:r>
    </w:p>
    <w:p>
      <w:pPr>
        <w:pStyle w:val="ListBullet"/>
      </w:pPr>
      <w:r>
        <w:t>Los valores desconocidos permanecen en null, no se rellenan por inferencia.</w:t>
      </w:r>
    </w:p>
    <w:p>
      <w:pPr>
        <w:pStyle w:val="Heading3"/>
      </w:pPr>
      <w:r>
        <w:t>HU-15 / HU-17 - Documentos</w:t>
      </w:r>
    </w:p>
    <w:p>
      <w:pPr>
        <w:pStyle w:val="ListBullet"/>
      </w:pPr>
      <w:r>
        <w:t>Se verifica tamaño, extensión, MIME, malware y acceso al objeto.</w:t>
      </w:r>
    </w:p>
    <w:p>
      <w:pPr>
        <w:pStyle w:val="ListBullet"/>
      </w:pPr>
      <w:r>
        <w:t>La lista distingue obligatorio, condicional, opcional y subsanable.</w:t>
      </w:r>
    </w:p>
    <w:p>
      <w:pPr>
        <w:pStyle w:val="ListBullet"/>
      </w:pPr>
      <w:r>
        <w:t>No se adjuntan archivos de un usuario a otro.</w:t>
      </w:r>
    </w:p>
    <w:p>
      <w:pPr>
        <w:pStyle w:val="Heading3"/>
      </w:pPr>
      <w:r>
        <w:t>HU-19 / HU-21 - RAG</w:t>
      </w:r>
    </w:p>
    <w:p>
      <w:pPr>
        <w:pStyle w:val="ListBullet"/>
      </w:pPr>
      <w:r>
        <w:t>No se cita un artículo no aprobado o fuera de vigencia conocida.</w:t>
      </w:r>
    </w:p>
    <w:p>
      <w:pPr>
        <w:pStyle w:val="ListBullet"/>
      </w:pPr>
      <w:r>
        <w:t>Cada cita enlaza a norma, artículo, fuente y versión.</w:t>
      </w:r>
    </w:p>
    <w:p>
      <w:pPr>
        <w:pStyle w:val="ListBullet"/>
      </w:pPr>
      <w:r>
        <w:t>Si RAG no encuentra respaldo suficiente, se detiene la afirmación.</w:t>
      </w:r>
    </w:p>
    <w:p>
      <w:pPr>
        <w:pStyle w:val="Heading3"/>
      </w:pPr>
      <w:r>
        <w:t>HU-22 / HU-26 - PDF</w:t>
      </w:r>
    </w:p>
    <w:p>
      <w:pPr>
        <w:pStyle w:val="ListBullet"/>
      </w:pPr>
      <w:r>
        <w:t>El esquema JSON pasa validación Zod y el PDF pasa pruebas visuales.</w:t>
      </w:r>
    </w:p>
    <w:p>
      <w:pPr>
        <w:pStyle w:val="ListBullet"/>
      </w:pPr>
      <w:r>
        <w:t>El PDF incluye únicamente hechos declarados y anexos reales.</w:t>
      </w:r>
    </w:p>
    <w:p>
      <w:pPr>
        <w:pStyle w:val="ListBullet"/>
      </w:pPr>
      <w:r>
        <w:t>Se conserva copia del snapshot de datos, fuentes y versión de plantilla.</w:t>
      </w:r>
    </w:p>
    <w:p>
      <w:pPr>
        <w:pStyle w:val="Heading3"/>
      </w:pPr>
      <w:r>
        <w:t>HU-28 - Presentación</w:t>
      </w:r>
    </w:p>
    <w:p>
      <w:pPr>
        <w:pStyle w:val="ListBullet"/>
      </w:pPr>
      <w:r>
        <w:t>La guía se corresponde con corte/canal indicado y está fechada.</w:t>
      </w:r>
    </w:p>
    <w:p>
      <w:pPr>
        <w:pStyle w:val="ListBullet"/>
      </w:pPr>
      <w:r>
        <w:t>La UI no indica “presentado” sin constancia oficial.</w:t>
      </w:r>
    </w:p>
    <w:p>
      <w:pPr>
        <w:pStyle w:val="ListBullet"/>
      </w:pPr>
      <w:r>
        <w:t>Nunca firma por el demandante ni automatiza controles de identidad.</w:t>
      </w:r>
    </w:p>
    <w:p>
      <w:pPr>
        <w:pStyle w:val="Heading1"/>
      </w:pPr>
      <w:r>
        <w:t>6. Flujo conversacional del MVP</w:t>
      </w:r>
    </w:p>
    <w:p>
      <w:pPr>
        <w:pStyle w:val="Heading2"/>
      </w:pPr>
      <w:r>
        <w:t>6.1 Máquina de estados</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NEW → SCOPE_CHECK → ELIGIBLE → INTERVIEW → DOC_UPLOAD</w:t>
            </w:r>
            <w:r>
              <w:br/>
            </w:r>
            <w:r>
              <w:rPr>
                <w:rFonts w:ascii="Consolas" w:hAnsi="Consolas"/>
                <w:sz w:val="16"/>
              </w:rPr>
              <w:t xml:space="preserve">                    ↓                ↓</w:t>
            </w:r>
            <w:r>
              <w:br/>
            </w:r>
            <w:r>
              <w:rPr>
                <w:rFonts w:ascii="Consolas" w:hAnsi="Consolas"/>
                <w:sz w:val="16"/>
              </w:rPr>
              <w:t xml:space="preserve">             UNSUPPORTED       NEED_MORE_INFO</w:t>
            </w:r>
            <w:r>
              <w:br/>
            </w:r>
            <w:r>
              <w:rPr>
                <w:rFonts w:ascii="Consolas" w:hAnsi="Consolas"/>
                <w:sz w:val="16"/>
              </w:rPr>
              <w:t xml:space="preserve">                                    ↓</w:t>
            </w:r>
            <w:r>
              <w:br/>
            </w:r>
            <w:r>
              <w:rPr>
                <w:rFonts w:ascii="Consolas" w:hAnsi="Consolas"/>
                <w:sz w:val="16"/>
              </w:rPr>
              <w:t>REVIEW → DRAFTING → VALIDATING → PDF_READY → COMPLETED</w:t>
            </w:r>
            <w:r>
              <w:br/>
            </w:r>
            <w:r>
              <w:rPr>
                <w:rFonts w:ascii="Consolas" w:hAnsi="Consolas"/>
                <w:sz w:val="16"/>
              </w:rPr>
              <w:t xml:space="preserve">                    ↘ FAILED_VALIDATION → INTERVIEW</w:t>
            </w:r>
          </w:p>
        </w:tc>
      </w:tr>
    </w:tbl>
    <w:p>
      <w:pPr>
        <w:spacing w:after="0"/>
      </w:pPr>
    </w:p>
    <w:p>
      <w:pPr>
        <w:pStyle w:val="Heading2"/>
      </w:pPr>
      <w:r>
        <w:t>6.2 Mapa de conversación: alimentos para NNA</w:t>
      </w:r>
    </w:p>
    <w:p>
      <w:pPr>
        <w:pStyle w:val="ListNumber"/>
      </w:pPr>
      <w:r>
        <w:t>Paso A. Aviso de servicio, privacidad, selección de demanda de alimentos para menores.</w:t>
      </w:r>
    </w:p>
    <w:p>
      <w:pPr>
        <w:pStyle w:val="ListNumber"/>
      </w:pPr>
      <w:r>
        <w:t>Paso B. Filtros de alcance: solicitante y legitimación, identidad, relación con menores, existencia de pretensiones acumuladas; escalar caso atípico.</w:t>
      </w:r>
    </w:p>
    <w:p>
      <w:pPr>
        <w:pStyle w:val="ListNumber"/>
      </w:pPr>
      <w:r>
        <w:t>Paso C. Identificación de demandante y domicilio, solo campos pertinentes.</w:t>
      </w:r>
    </w:p>
    <w:p>
      <w:pPr>
        <w:pStyle w:val="ListNumber"/>
      </w:pPr>
      <w:r>
        <w:t>Paso D. Datos del demandado y domicilio conocido; permitir “desconozco” cuando el procedimiento lo admita.</w:t>
      </w:r>
    </w:p>
    <w:p>
      <w:pPr>
        <w:pStyle w:val="ListNumber"/>
      </w:pPr>
      <w:r>
        <w:t>Paso E. Datos de alimentistas; número de hijos, parentesco, fechas de nacimiento; solicitar evidencia disponible.</w:t>
      </w:r>
    </w:p>
    <w:p>
      <w:pPr>
        <w:pStyle w:val="ListNumber"/>
      </w:pPr>
      <w:r>
        <w:t>Paso F. Situación económica y gastos razonables del menor (alimentación, salud, educación, vivienda, etc.).</w:t>
      </w:r>
    </w:p>
    <w:p>
      <w:pPr>
        <w:pStyle w:val="ListNumber"/>
      </w:pPr>
      <w:r>
        <w:t>Paso G. Información laboral del demandado si se conoce, sin inventar salarios.</w:t>
      </w:r>
    </w:p>
    <w:p>
      <w:pPr>
        <w:pStyle w:val="ListNumber"/>
      </w:pPr>
      <w:r>
        <w:t>Paso H. Petitorio: monto o porcentaje solicitado, periodicidad, confirmación de la pretensión y advertencia sobre razonabilidad.</w:t>
      </w:r>
    </w:p>
    <w:p>
      <w:pPr>
        <w:pStyle w:val="ListNumber"/>
      </w:pPr>
      <w:r>
        <w:t>Paso I. Documentos y medios probatorios: verificar procedencia, pertinencia y estado.</w:t>
      </w:r>
    </w:p>
    <w:p>
      <w:pPr>
        <w:pStyle w:val="ListNumber"/>
      </w:pPr>
      <w:r>
        <w:t>Paso J. Resumen, correcciones y consentimiento explícito para redactar.</w:t>
      </w:r>
    </w:p>
    <w:p>
      <w:pPr>
        <w:pStyle w:val="ListNumber"/>
      </w:pPr>
      <w:r>
        <w:t>Paso K. Recuperación de base jurídica y redacción de secciones según plantilla.</w:t>
      </w:r>
    </w:p>
    <w:p>
      <w:pPr>
        <w:pStyle w:val="ListNumber"/>
      </w:pPr>
      <w:r>
        <w:t>Paso L. Validación, vista previa, descarga y guía del canal oficial.</w:t>
      </w:r>
    </w:p>
    <w:p>
      <w:pPr>
        <w:pStyle w:val="Heading2"/>
      </w:pPr>
      <w:r>
        <w:t>6.3 Comportamiento esperado del bot</w:t>
      </w:r>
    </w:p>
    <w:p>
      <w:r>
        <w:t>Responder de forma clara, con una pregunta principal por turno; explicar vocabulario jurídico si el usuario pregunta; permitir “no sé”; resumir en intervalos; jamás asegurar admisión, sentencia, plazos ni pensión futura. En casos de situaciones graves o fuera del alcance, detener elaboración y orientar hacia canales oficiales pertinentes.</w:t>
      </w:r>
    </w:p>
    <w:p>
      <w:pPr>
        <w:pStyle w:val="Heading1"/>
      </w:pPr>
      <w:r>
        <w:t>7. Modelo lógico PostgreSQL y contratos API</w:t>
      </w:r>
    </w:p>
    <w:p>
      <w:pPr>
        <w:pStyle w:val="Heading2"/>
      </w:pPr>
      <w:r>
        <w:t>7.1 Tablas operativas</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4759"/>
            <w:shd w:fill="173B53"/>
            <w:vAlign w:val="center"/>
          </w:tcPr>
          <w:p>
            <w:r>
              <w:rPr>
                <w:b/>
                <w:color w:val="FFFFFF"/>
                <w:sz w:val="16"/>
              </w:rPr>
              <w:t>Tabla</w:t>
            </w:r>
          </w:p>
        </w:tc>
        <w:tc>
          <w:tcPr>
            <w:tcW w:type="dxa" w:w="4759"/>
            <w:shd w:fill="173B53"/>
            <w:vAlign w:val="center"/>
          </w:tcPr>
          <w:p>
            <w:r>
              <w:rPr>
                <w:b/>
                <w:color w:val="FFFFFF"/>
                <w:sz w:val="16"/>
              </w:rPr>
              <w:t>Propósito / relaciones</w:t>
            </w:r>
          </w:p>
        </w:tc>
      </w:tr>
      <w:tr>
        <w:tc>
          <w:tcPr>
            <w:tcW w:type="dxa" w:w="4759"/>
            <w:vAlign w:val="center"/>
            <w:shd w:fill="F0F5F8"/>
          </w:tcPr>
          <w:p>
            <w:pPr>
              <w:spacing w:after="40" w:before="20"/>
            </w:pPr>
            <w:r>
              <w:rPr>
                <w:sz w:val="16"/>
              </w:rPr>
              <w:t>users / profiles</w:t>
            </w:r>
          </w:p>
        </w:tc>
        <w:tc>
          <w:tcPr>
            <w:tcW w:type="dxa" w:w="4759"/>
            <w:vAlign w:val="center"/>
            <w:shd w:fill="F0F5F8"/>
          </w:tcPr>
          <w:p>
            <w:pPr>
              <w:spacing w:after="40" w:before="20"/>
            </w:pPr>
            <w:r>
              <w:rPr>
                <w:sz w:val="16"/>
              </w:rPr>
              <w:t>Identidad de aplicación y preferencias; sin duplicar secretos.</w:t>
            </w:r>
          </w:p>
        </w:tc>
      </w:tr>
      <w:tr>
        <w:tc>
          <w:tcPr>
            <w:tcW w:type="dxa" w:w="4759"/>
            <w:vAlign w:val="center"/>
          </w:tcPr>
          <w:p>
            <w:pPr>
              <w:spacing w:after="40" w:before="20"/>
            </w:pPr>
            <w:r>
              <w:rPr>
                <w:sz w:val="16"/>
              </w:rPr>
              <w:t>cases</w:t>
            </w:r>
          </w:p>
        </w:tc>
        <w:tc>
          <w:tcPr>
            <w:tcW w:type="dxa" w:w="4759"/>
            <w:vAlign w:val="center"/>
          </w:tcPr>
          <w:p>
            <w:pPr>
              <w:spacing w:after="40" w:before="20"/>
            </w:pPr>
            <w:r>
              <w:rPr>
                <w:sz w:val="16"/>
              </w:rPr>
              <w:t>user_id, procedure_id, status, timestamps, legal_version_snapshot.</w:t>
            </w:r>
          </w:p>
        </w:tc>
      </w:tr>
      <w:tr>
        <w:tc>
          <w:tcPr>
            <w:tcW w:type="dxa" w:w="4759"/>
            <w:vAlign w:val="center"/>
            <w:shd w:fill="F0F5F8"/>
          </w:tcPr>
          <w:p>
            <w:pPr>
              <w:spacing w:after="40" w:before="20"/>
            </w:pPr>
            <w:r>
              <w:rPr>
                <w:sz w:val="16"/>
              </w:rPr>
              <w:t>case_answers</w:t>
            </w:r>
          </w:p>
        </w:tc>
        <w:tc>
          <w:tcPr>
            <w:tcW w:type="dxa" w:w="4759"/>
            <w:vAlign w:val="center"/>
            <w:shd w:fill="F0F5F8"/>
          </w:tcPr>
          <w:p>
            <w:pPr>
              <w:spacing w:after="40" w:before="20"/>
            </w:pPr>
            <w:r>
              <w:rPr>
                <w:sz w:val="16"/>
              </w:rPr>
              <w:t>case_id, field_key, value_encrypted/JSONB, provenance, confirmed_at.</w:t>
            </w:r>
          </w:p>
        </w:tc>
      </w:tr>
      <w:tr>
        <w:tc>
          <w:tcPr>
            <w:tcW w:type="dxa" w:w="4759"/>
            <w:vAlign w:val="center"/>
          </w:tcPr>
          <w:p>
            <w:pPr>
              <w:spacing w:after="40" w:before="20"/>
            </w:pPr>
            <w:r>
              <w:rPr>
                <w:sz w:val="16"/>
              </w:rPr>
              <w:t>case_messages</w:t>
            </w:r>
          </w:p>
        </w:tc>
        <w:tc>
          <w:tcPr>
            <w:tcW w:type="dxa" w:w="4759"/>
            <w:vAlign w:val="center"/>
          </w:tcPr>
          <w:p>
            <w:pPr>
              <w:spacing w:after="40" w:before="20"/>
            </w:pPr>
            <w:r>
              <w:rPr>
                <w:sz w:val="16"/>
              </w:rPr>
              <w:t>Mensajes minimizados, TTL y retención limitada.</w:t>
            </w:r>
          </w:p>
        </w:tc>
      </w:tr>
      <w:tr>
        <w:tc>
          <w:tcPr>
            <w:tcW w:type="dxa" w:w="4759"/>
            <w:vAlign w:val="center"/>
            <w:shd w:fill="F0F5F8"/>
          </w:tcPr>
          <w:p>
            <w:pPr>
              <w:spacing w:after="40" w:before="20"/>
            </w:pPr>
            <w:r>
              <w:rPr>
                <w:sz w:val="16"/>
              </w:rPr>
              <w:t>case_documents</w:t>
            </w:r>
          </w:p>
        </w:tc>
        <w:tc>
          <w:tcPr>
            <w:tcW w:type="dxa" w:w="4759"/>
            <w:vAlign w:val="center"/>
            <w:shd w:fill="F0F5F8"/>
          </w:tcPr>
          <w:p>
            <w:pPr>
              <w:spacing w:after="40" w:before="20"/>
            </w:pPr>
            <w:r>
              <w:rPr>
                <w:sz w:val="16"/>
              </w:rPr>
              <w:t>case_id, private_storage_key, media_type, hash, audit status.</w:t>
            </w:r>
          </w:p>
        </w:tc>
      </w:tr>
      <w:tr>
        <w:tc>
          <w:tcPr>
            <w:tcW w:type="dxa" w:w="4759"/>
            <w:vAlign w:val="center"/>
          </w:tcPr>
          <w:p>
            <w:pPr>
              <w:spacing w:after="40" w:before="20"/>
            </w:pPr>
            <w:r>
              <w:rPr>
                <w:sz w:val="16"/>
              </w:rPr>
              <w:t>generated_documents</w:t>
            </w:r>
          </w:p>
        </w:tc>
        <w:tc>
          <w:tcPr>
            <w:tcW w:type="dxa" w:w="4759"/>
            <w:vAlign w:val="center"/>
          </w:tcPr>
          <w:p>
            <w:pPr>
              <w:spacing w:after="40" w:before="20"/>
            </w:pPr>
            <w:r>
              <w:rPr>
                <w:sz w:val="16"/>
              </w:rPr>
              <w:t>case_id, template_version, data_hash, legal_refs_hash, output_storage_key.</w:t>
            </w:r>
          </w:p>
        </w:tc>
      </w:tr>
      <w:tr>
        <w:tc>
          <w:tcPr>
            <w:tcW w:type="dxa" w:w="4759"/>
            <w:vAlign w:val="center"/>
            <w:shd w:fill="F0F5F8"/>
          </w:tcPr>
          <w:p>
            <w:pPr>
              <w:spacing w:after="40" w:before="20"/>
            </w:pPr>
            <w:r>
              <w:rPr>
                <w:sz w:val="16"/>
              </w:rPr>
              <w:t>audit_events</w:t>
            </w:r>
          </w:p>
        </w:tc>
        <w:tc>
          <w:tcPr>
            <w:tcW w:type="dxa" w:w="4759"/>
            <w:vAlign w:val="center"/>
            <w:shd w:fill="F0F5F8"/>
          </w:tcPr>
          <w:p>
            <w:pPr>
              <w:spacing w:after="40" w:before="20"/>
            </w:pPr>
            <w:r>
              <w:rPr>
                <w:sz w:val="16"/>
              </w:rPr>
              <w:t>actor_id, action, object_type, timestamp, no full personal payload.</w:t>
            </w:r>
          </w:p>
        </w:tc>
      </w:tr>
      <w:tr>
        <w:tc>
          <w:tcPr>
            <w:tcW w:type="dxa" w:w="4759"/>
            <w:vAlign w:val="center"/>
          </w:tcPr>
          <w:p>
            <w:pPr>
              <w:spacing w:after="40" w:before="20"/>
            </w:pPr>
            <w:r>
              <w:rPr>
                <w:sz w:val="16"/>
              </w:rPr>
              <w:t>procedure_versions</w:t>
            </w:r>
          </w:p>
        </w:tc>
        <w:tc>
          <w:tcPr>
            <w:tcW w:type="dxa" w:w="4759"/>
            <w:vAlign w:val="center"/>
          </w:tcPr>
          <w:p>
            <w:pPr>
              <w:spacing w:after="40" w:before="20"/>
            </w:pPr>
            <w:r>
              <w:rPr>
                <w:sz w:val="16"/>
              </w:rPr>
              <w:t>Ficha legal, status, reviewed_by, effective_at.</w:t>
            </w:r>
          </w:p>
        </w:tc>
      </w:tr>
      <w:tr>
        <w:tc>
          <w:tcPr>
            <w:tcW w:type="dxa" w:w="4759"/>
            <w:vAlign w:val="center"/>
            <w:shd w:fill="F0F5F8"/>
          </w:tcPr>
          <w:p>
            <w:pPr>
              <w:spacing w:after="40" w:before="20"/>
            </w:pPr>
            <w:r>
              <w:rPr>
                <w:sz w:val="16"/>
              </w:rPr>
              <w:t>legal_*</w:t>
            </w:r>
          </w:p>
        </w:tc>
        <w:tc>
          <w:tcPr>
            <w:tcW w:type="dxa" w:w="4759"/>
            <w:vAlign w:val="center"/>
            <w:shd w:fill="F0F5F8"/>
          </w:tcPr>
          <w:p>
            <w:pPr>
              <w:spacing w:after="40" w:before="20"/>
            </w:pPr>
            <w:r>
              <w:rPr>
                <w:sz w:val="16"/>
              </w:rPr>
              <w:t>Fuentes, normas, artículos, fragmentos y relaciones del corpus.</w:t>
            </w:r>
          </w:p>
        </w:tc>
      </w:tr>
    </w:tbl>
    <w:p>
      <w:pPr>
        <w:spacing w:after="0"/>
      </w:pPr>
    </w:p>
    <w:p>
      <w:pPr>
        <w:pStyle w:val="Heading2"/>
      </w:pPr>
      <w:r>
        <w:t>7.2 Endpoints sugeridos</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POST   /api/cases                       crear caso</w:t>
            </w:r>
            <w:r>
              <w:br/>
            </w:r>
            <w:r>
              <w:rPr>
                <w:rFonts w:ascii="Consolas" w:hAnsi="Consolas"/>
                <w:sz w:val="16"/>
              </w:rPr>
              <w:t>GET    /api/procedures                  catálogo habilitado</w:t>
            </w:r>
            <w:r>
              <w:br/>
            </w:r>
            <w:r>
              <w:rPr>
                <w:rFonts w:ascii="Consolas" w:hAnsi="Consolas"/>
                <w:sz w:val="16"/>
              </w:rPr>
              <w:t>GET    /api/cases/:id                   estado del caso</w:t>
            </w:r>
            <w:r>
              <w:br/>
            </w:r>
            <w:r>
              <w:rPr>
                <w:rFonts w:ascii="Consolas" w:hAnsi="Consolas"/>
                <w:sz w:val="16"/>
              </w:rPr>
              <w:t>POST   /api/cases/:id/messages          entrevista / extracción</w:t>
            </w:r>
            <w:r>
              <w:br/>
            </w:r>
            <w:r>
              <w:rPr>
                <w:rFonts w:ascii="Consolas" w:hAnsi="Consolas"/>
                <w:sz w:val="16"/>
              </w:rPr>
              <w:t>PATCH  /api/cases/:id/answers           corrección confirmada</w:t>
            </w:r>
            <w:r>
              <w:br/>
            </w:r>
            <w:r>
              <w:rPr>
                <w:rFonts w:ascii="Consolas" w:hAnsi="Consolas"/>
                <w:sz w:val="16"/>
              </w:rPr>
              <w:t>POST   /api/cases/:id/documents         subir adjunto</w:t>
            </w:r>
            <w:r>
              <w:br/>
            </w:r>
            <w:r>
              <w:rPr>
                <w:rFonts w:ascii="Consolas" w:hAnsi="Consolas"/>
                <w:sz w:val="16"/>
              </w:rPr>
              <w:t>POST   /api/cases/:id/review            validar antes del borrador</w:t>
            </w:r>
            <w:r>
              <w:br/>
            </w:r>
            <w:r>
              <w:rPr>
                <w:rFonts w:ascii="Consolas" w:hAnsi="Consolas"/>
                <w:sz w:val="16"/>
              </w:rPr>
              <w:t>POST   /api/cases/:id/draft             generar texto estructurado</w:t>
            </w:r>
            <w:r>
              <w:br/>
            </w:r>
            <w:r>
              <w:rPr>
                <w:rFonts w:ascii="Consolas" w:hAnsi="Consolas"/>
                <w:sz w:val="16"/>
              </w:rPr>
              <w:t>POST   /api/cases/:id/pdf               generar PDF definitivo</w:t>
            </w:r>
            <w:r>
              <w:br/>
            </w:r>
            <w:r>
              <w:rPr>
                <w:rFonts w:ascii="Consolas" w:hAnsi="Consolas"/>
                <w:sz w:val="16"/>
              </w:rPr>
              <w:t>GET    /api/cases/:id/download          URL firmada de descarga</w:t>
            </w:r>
            <w:r>
              <w:br/>
            </w:r>
            <w:r>
              <w:rPr>
                <w:rFonts w:ascii="Consolas" w:hAnsi="Consolas"/>
                <w:sz w:val="16"/>
              </w:rPr>
              <w:t>GET    /api/cases/:id/submission-guide  instrucciones oficiales</w:t>
            </w:r>
            <w:r>
              <w:br/>
            </w:r>
            <w:r>
              <w:rPr>
                <w:rFonts w:ascii="Consolas" w:hAnsi="Consolas"/>
                <w:sz w:val="16"/>
              </w:rPr>
              <w:t>[ADMIN] /api/admin/legal-sources       ingesta y revisión</w:t>
            </w:r>
          </w:p>
        </w:tc>
      </w:tr>
    </w:tbl>
    <w:p>
      <w:pPr>
        <w:spacing w:after="0"/>
      </w:pPr>
    </w:p>
    <w:p>
      <w:pPr>
        <w:pStyle w:val="SmallText"/>
      </w:pPr>
      <w:r>
        <w:t>Cada ruta debe comprobar autenticación, propiedad del recurso, límites de tasa y reglas de autorización. No aceptar procedure_id arbitrario del frontend al generar.</w:t>
      </w:r>
    </w:p>
    <w:p>
      <w:pPr>
        <w:pStyle w:val="Heading2"/>
      </w:pPr>
      <w:r>
        <w:t>7.3 Ejemplo conceptual de SQL para ficha y vínculo normativo</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CREATE TABLE procedures (</w:t>
            </w:r>
            <w:r>
              <w:br/>
            </w:r>
            <w:r>
              <w:rPr>
                <w:rFonts w:ascii="Consolas" w:hAnsi="Consolas"/>
                <w:sz w:val="16"/>
              </w:rPr>
              <w:t xml:space="preserve">  id UUID PRIMARY KEY,</w:t>
            </w:r>
            <w:r>
              <w:br/>
            </w:r>
            <w:r>
              <w:rPr>
                <w:rFonts w:ascii="Consolas" w:hAnsi="Consolas"/>
                <w:sz w:val="16"/>
              </w:rPr>
              <w:t xml:space="preserve">  code TEXT UNIQUE NOT NULL,</w:t>
            </w:r>
            <w:r>
              <w:br/>
            </w:r>
            <w:r>
              <w:rPr>
                <w:rFonts w:ascii="Consolas" w:hAnsi="Consolas"/>
                <w:sz w:val="16"/>
              </w:rPr>
              <w:t xml:space="preserve">  title TEXT NOT NULL,</w:t>
            </w:r>
            <w:r>
              <w:br/>
            </w:r>
            <w:r>
              <w:rPr>
                <w:rFonts w:ascii="Consolas" w:hAnsi="Consolas"/>
                <w:sz w:val="16"/>
              </w:rPr>
              <w:t xml:space="preserve">  self_service_allowed BOOLEAN NOT NULL DEFAULT FALSE,</w:t>
            </w:r>
            <w:r>
              <w:br/>
            </w:r>
            <w:r>
              <w:rPr>
                <w:rFonts w:ascii="Consolas" w:hAnsi="Consolas"/>
                <w:sz w:val="16"/>
              </w:rPr>
              <w:t xml:space="preserve">  enabled BOOLEAN NOT NULL DEFAULT FALSE,</w:t>
            </w:r>
            <w:r>
              <w:br/>
            </w:r>
            <w:r>
              <w:rPr>
                <w:rFonts w:ascii="Consolas" w:hAnsi="Consolas"/>
                <w:sz w:val="16"/>
              </w:rPr>
              <w:t xml:space="preserve">  legal_reviewed_at TIMESTAMPTZ</w:t>
            </w:r>
            <w:r>
              <w:br/>
            </w:r>
            <w:r>
              <w:rPr>
                <w:rFonts w:ascii="Consolas" w:hAnsi="Consolas"/>
                <w:sz w:val="16"/>
              </w:rPr>
              <w:t>);</w:t>
            </w:r>
            <w:r>
              <w:br/>
            </w:r>
            <w:r>
              <w:rPr>
                <w:rFonts w:ascii="Consolas" w:hAnsi="Consolas"/>
                <w:sz w:val="16"/>
              </w:rPr>
              <w:t>-- legal_provisions mantiene norma, artículo, texto y vigencia.</w:t>
            </w:r>
            <w:r>
              <w:br/>
            </w:r>
            <w:r>
              <w:rPr>
                <w:rFonts w:ascii="Consolas" w:hAnsi="Consolas"/>
                <w:sz w:val="16"/>
              </w:rPr>
              <w:t>-- procedure_provisions asocia muchos-a-muchos y estado aprobado.</w:t>
            </w:r>
            <w:r>
              <w:br/>
            </w:r>
            <w:r>
              <w:rPr>
                <w:rFonts w:ascii="Consolas" w:hAnsi="Consolas"/>
                <w:sz w:val="16"/>
              </w:rPr>
              <w:t>-- Vector dimensional según el modelo de embeddings seleccionado.</w:t>
            </w:r>
          </w:p>
        </w:tc>
      </w:tr>
    </w:tbl>
    <w:p>
      <w:pPr>
        <w:spacing w:after="0"/>
      </w:pPr>
    </w:p>
    <w:p>
      <w:pPr>
        <w:pStyle w:val="Heading1"/>
      </w:pPr>
      <w:r>
        <w:t>8. Generación controlada de PDF y canal oficial</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Respuestas confirmadas + documentos existentes</w:t>
            </w:r>
            <w:r>
              <w:br/>
            </w:r>
            <w:r>
              <w:rPr>
                <w:rFonts w:ascii="Consolas" w:hAnsi="Consolas"/>
                <w:sz w:val="16"/>
              </w:rPr>
              <w:t xml:space="preserve">      ↓</w:t>
            </w:r>
            <w:r>
              <w:br/>
            </w:r>
            <w:r>
              <w:rPr>
                <w:rFonts w:ascii="Consolas" w:hAnsi="Consolas"/>
                <w:sz w:val="16"/>
              </w:rPr>
              <w:t>Schema JSON del caso (Zod)</w:t>
            </w:r>
            <w:r>
              <w:br/>
            </w:r>
            <w:r>
              <w:rPr>
                <w:rFonts w:ascii="Consolas" w:hAnsi="Consolas"/>
                <w:sz w:val="16"/>
              </w:rPr>
              <w:t xml:space="preserve">      ↓</w:t>
            </w:r>
            <w:r>
              <w:br/>
            </w:r>
            <w:r>
              <w:rPr>
                <w:rFonts w:ascii="Consolas" w:hAnsi="Consolas"/>
                <w:sz w:val="16"/>
              </w:rPr>
              <w:t>Groq redacta solamente secciones narrativas delimitadas</w:t>
            </w:r>
            <w:r>
              <w:br/>
            </w:r>
            <w:r>
              <w:rPr>
                <w:rFonts w:ascii="Consolas" w:hAnsi="Consolas"/>
                <w:sz w:val="16"/>
              </w:rPr>
              <w:t xml:space="preserve">      ↓</w:t>
            </w:r>
            <w:r>
              <w:br/>
            </w:r>
            <w:r>
              <w:rPr>
                <w:rFonts w:ascii="Consolas" w:hAnsi="Consolas"/>
                <w:sz w:val="16"/>
              </w:rPr>
              <w:t>Verificador determinista: montos, nombres, fechas, fuentes</w:t>
            </w:r>
            <w:r>
              <w:br/>
            </w:r>
            <w:r>
              <w:rPr>
                <w:rFonts w:ascii="Consolas" w:hAnsi="Consolas"/>
                <w:sz w:val="16"/>
              </w:rPr>
              <w:t xml:space="preserve">      ↓</w:t>
            </w:r>
            <w:r>
              <w:br/>
            </w:r>
            <w:r>
              <w:rPr>
                <w:rFonts w:ascii="Consolas" w:hAnsi="Consolas"/>
                <w:sz w:val="16"/>
              </w:rPr>
              <w:t>Plantilla HTML versionada (sin HTML arbitrario del LLM)</w:t>
            </w:r>
            <w:r>
              <w:br/>
            </w:r>
            <w:r>
              <w:rPr>
                <w:rFonts w:ascii="Consolas" w:hAnsi="Consolas"/>
                <w:sz w:val="16"/>
              </w:rPr>
              <w:t xml:space="preserve">      ↓</w:t>
            </w:r>
            <w:r>
              <w:br/>
            </w:r>
            <w:r>
              <w:rPr>
                <w:rFonts w:ascii="Consolas" w:hAnsi="Consolas"/>
                <w:sz w:val="16"/>
              </w:rPr>
              <w:t>Renderer headless (Puppeteer / Playwright)</w:t>
            </w:r>
            <w:r>
              <w:br/>
            </w:r>
            <w:r>
              <w:rPr>
                <w:rFonts w:ascii="Consolas" w:hAnsi="Consolas"/>
                <w:sz w:val="16"/>
              </w:rPr>
              <w:t xml:space="preserve">      ↓</w:t>
            </w:r>
            <w:r>
              <w:br/>
            </w:r>
            <w:r>
              <w:rPr>
                <w:rFonts w:ascii="Consolas" w:hAnsi="Consolas"/>
                <w:sz w:val="16"/>
              </w:rPr>
              <w:t>PDF A4 + listado anexos + hash + almacenamiento privado</w:t>
            </w:r>
            <w:r>
              <w:br/>
            </w:r>
            <w:r>
              <w:rPr>
                <w:rFonts w:ascii="Consolas" w:hAnsi="Consolas"/>
                <w:sz w:val="16"/>
              </w:rPr>
              <w:t xml:space="preserve">      ↓</w:t>
            </w:r>
            <w:r>
              <w:br/>
            </w:r>
            <w:r>
              <w:rPr>
                <w:rFonts w:ascii="Consolas" w:hAnsi="Consolas"/>
                <w:sz w:val="16"/>
              </w:rPr>
              <w:t>Usuario revisa / firma por vía correspondiente / presenta</w:t>
            </w:r>
          </w:p>
        </w:tc>
      </w:tr>
    </w:tbl>
    <w:p>
      <w:pPr>
        <w:spacing w:after="0"/>
      </w:pPr>
    </w:p>
    <w:p>
      <w:pPr>
        <w:pStyle w:val="Heading2"/>
      </w:pPr>
      <w:r>
        <w:t>8.1 Componentes visibles del documento</w:t>
      </w:r>
    </w:p>
    <w:p>
      <w:pPr>
        <w:pStyle w:val="ListBullet"/>
      </w:pPr>
      <w:r>
        <w:t>Encabezado dirigido a órgano competente (selección validada, no inferencia libre).</w:t>
      </w:r>
    </w:p>
    <w:p>
      <w:pPr>
        <w:pStyle w:val="ListBullet"/>
      </w:pPr>
      <w:r>
        <w:t>Identificación de demandante y demandado según requisitos permitidos.</w:t>
      </w:r>
    </w:p>
    <w:p>
      <w:pPr>
        <w:pStyle w:val="ListBullet"/>
      </w:pPr>
      <w:r>
        <w:t>Petitorio confirmado, hechos enumerados y fundamentos normativos respaldados.</w:t>
      </w:r>
    </w:p>
    <w:p>
      <w:pPr>
        <w:pStyle w:val="ListBullet"/>
      </w:pPr>
      <w:r>
        <w:t>Medios probatorios y anexos que realmente existen.</w:t>
      </w:r>
    </w:p>
    <w:p>
      <w:pPr>
        <w:pStyle w:val="ListBullet"/>
      </w:pPr>
      <w:r>
        <w:t>Fecha y espacio de firma o formalidad que corresponda al canal oficial.</w:t>
      </w:r>
    </w:p>
    <w:p>
      <w:pPr>
        <w:pStyle w:val="ListBullet"/>
      </w:pPr>
      <w:r>
        <w:t>Metadatos internos invisibles al ciudadano: versión, procedimiento, artículo y hash de fuentes.</w:t>
      </w:r>
    </w:p>
    <w:p>
      <w:pPr>
        <w:pStyle w:val="Heading2"/>
      </w:pPr>
      <w:r>
        <w:t>8.2 Límite: PDF preparado no equivale a demanda presentada</w:t>
      </w:r>
    </w:p>
    <w:p>
      <w:r>
        <w:t>La Ley 31464 permite escritos y formularios físicos/electrónicos [S1]. El Poder Judicial también ofrece plataformas donde el ciudadano completa campos directamente [S3][S4]. Por ello, no asumas que cualquier PDF libre será aceptado en cualquier portal; tu integración debe verificar si la ruta concreta admite PDF, exige completar formulario oficial o requiere anexarlo por Mesa de Partes Electrónica. La plataforma ofrecerá PDF descargable y ayuda para trasladar los datos; no hará envío autónomo, firma por terceros ni eludirá validaciones.</w:t>
      </w:r>
    </w:p>
    <w:p>
      <w:pPr>
        <w:pStyle w:val="Heading1"/>
      </w:pPr>
      <w:r>
        <w:t>9. Seguridad, protección de datos y operación</w:t>
      </w:r>
    </w:p>
    <w:p>
      <w:r>
        <w:t>Se manejarán documentos de identidad, datos económicos, direcciones y datos de niñas, niños y adolescentes. Antes de casos reales, evaluar aplicación de Ley 29733 y su Reglamento aprobado por D.S. 016-2024-JUS [S8], bases legales del tratamiento, transferencias internacionales, derechos de titulares, conservación, seguridad y contratos con proveedores. Usar exclusivamente datos ficticios durante pruebas.</w:t>
      </w:r>
    </w:p>
    <w:tbl>
      <w:tblPr>
        <w:tblStyle w:val="TableGrid"/>
        <w:tblW w:type="auto" w:w="0"/>
        <w:jc w:val="center"/>
        <w:tblLook w:firstColumn="1" w:firstRow="1" w:lastColumn="0" w:lastRow="0" w:noHBand="0" w:noVBand="1" w:val="04A0"/>
      </w:tblPr>
      <w:tblGrid>
        <w:gridCol w:w="4759"/>
        <w:gridCol w:w="4759"/>
      </w:tblGrid>
      <w:tr>
        <w:trPr>
          <w:tblHeader w:val="true"/>
        </w:trPr>
        <w:tc>
          <w:tcPr>
            <w:tcW w:type="dxa" w:w="4759"/>
            <w:shd w:fill="173B53"/>
            <w:vAlign w:val="center"/>
          </w:tcPr>
          <w:p>
            <w:r>
              <w:rPr>
                <w:b/>
                <w:color w:val="FFFFFF"/>
                <w:sz w:val="16"/>
              </w:rPr>
              <w:t>Control</w:t>
            </w:r>
          </w:p>
        </w:tc>
        <w:tc>
          <w:tcPr>
            <w:tcW w:type="dxa" w:w="4759"/>
            <w:shd w:fill="173B53"/>
            <w:vAlign w:val="center"/>
          </w:tcPr>
          <w:p>
            <w:r>
              <w:rPr>
                <w:b/>
                <w:color w:val="FFFFFF"/>
                <w:sz w:val="16"/>
              </w:rPr>
              <w:t>Criterio mínimo</w:t>
            </w:r>
          </w:p>
        </w:tc>
      </w:tr>
      <w:tr>
        <w:tc>
          <w:tcPr>
            <w:tcW w:type="dxa" w:w="4759"/>
            <w:vAlign w:val="center"/>
            <w:shd w:fill="F0F5F8"/>
          </w:tcPr>
          <w:p>
            <w:pPr>
              <w:spacing w:after="40" w:before="20"/>
            </w:pPr>
            <w:r>
              <w:rPr>
                <w:sz w:val="16"/>
              </w:rPr>
              <w:t>Autenticación / sesión</w:t>
            </w:r>
          </w:p>
        </w:tc>
        <w:tc>
          <w:tcPr>
            <w:tcW w:type="dxa" w:w="4759"/>
            <w:vAlign w:val="center"/>
            <w:shd w:fill="F0F5F8"/>
          </w:tcPr>
          <w:p>
            <w:pPr>
              <w:spacing w:after="40" w:before="20"/>
            </w:pPr>
            <w:r>
              <w:rPr>
                <w:sz w:val="16"/>
              </w:rPr>
              <w:t>Token seguro, expiración, MFA para administrador.</w:t>
            </w:r>
          </w:p>
        </w:tc>
      </w:tr>
      <w:tr>
        <w:tc>
          <w:tcPr>
            <w:tcW w:type="dxa" w:w="4759"/>
            <w:vAlign w:val="center"/>
          </w:tcPr>
          <w:p>
            <w:pPr>
              <w:spacing w:after="40" w:before="20"/>
            </w:pPr>
            <w:r>
              <w:rPr>
                <w:sz w:val="16"/>
              </w:rPr>
              <w:t>Autorización</w:t>
            </w:r>
          </w:p>
        </w:tc>
        <w:tc>
          <w:tcPr>
            <w:tcW w:type="dxa" w:w="4759"/>
            <w:vAlign w:val="center"/>
          </w:tcPr>
          <w:p>
            <w:pPr>
              <w:spacing w:after="40" w:before="20"/>
            </w:pPr>
            <w:r>
              <w:rPr>
                <w:sz w:val="16"/>
              </w:rPr>
              <w:t>Propietario del caso + RLS si se expone Supabase; denegar por defecto.</w:t>
            </w:r>
          </w:p>
        </w:tc>
      </w:tr>
      <w:tr>
        <w:tc>
          <w:tcPr>
            <w:tcW w:type="dxa" w:w="4759"/>
            <w:vAlign w:val="center"/>
            <w:shd w:fill="F0F5F8"/>
          </w:tcPr>
          <w:p>
            <w:pPr>
              <w:spacing w:after="40" w:before="20"/>
            </w:pPr>
            <w:r>
              <w:rPr>
                <w:sz w:val="16"/>
              </w:rPr>
              <w:t>Transporte / almacenamiento</w:t>
            </w:r>
          </w:p>
        </w:tc>
        <w:tc>
          <w:tcPr>
            <w:tcW w:type="dxa" w:w="4759"/>
            <w:vAlign w:val="center"/>
            <w:shd w:fill="F0F5F8"/>
          </w:tcPr>
          <w:p>
            <w:pPr>
              <w:spacing w:after="40" w:before="20"/>
            </w:pPr>
            <w:r>
              <w:rPr>
                <w:sz w:val="16"/>
              </w:rPr>
              <w:t>HTTPS/TLS; cifrado de discos y claves administradas.</w:t>
            </w:r>
          </w:p>
        </w:tc>
      </w:tr>
      <w:tr>
        <w:tc>
          <w:tcPr>
            <w:tcW w:type="dxa" w:w="4759"/>
            <w:vAlign w:val="center"/>
          </w:tcPr>
          <w:p>
            <w:pPr>
              <w:spacing w:after="40" w:before="20"/>
            </w:pPr>
            <w:r>
              <w:rPr>
                <w:sz w:val="16"/>
              </w:rPr>
              <w:t>Archivos</w:t>
            </w:r>
          </w:p>
        </w:tc>
        <w:tc>
          <w:tcPr>
            <w:tcW w:type="dxa" w:w="4759"/>
            <w:vAlign w:val="center"/>
          </w:tcPr>
          <w:p>
            <w:pPr>
              <w:spacing w:after="40" w:before="20"/>
            </w:pPr>
            <w:r>
              <w:rPr>
                <w:sz w:val="16"/>
              </w:rPr>
              <w:t>Storage privado, enlaces expirables, AV scanning, MIME y tamaño.</w:t>
            </w:r>
          </w:p>
        </w:tc>
      </w:tr>
      <w:tr>
        <w:tc>
          <w:tcPr>
            <w:tcW w:type="dxa" w:w="4759"/>
            <w:vAlign w:val="center"/>
            <w:shd w:fill="F0F5F8"/>
          </w:tcPr>
          <w:p>
            <w:pPr>
              <w:spacing w:after="40" w:before="20"/>
            </w:pPr>
            <w:r>
              <w:rPr>
                <w:sz w:val="16"/>
              </w:rPr>
              <w:t>LLM externo</w:t>
            </w:r>
          </w:p>
        </w:tc>
        <w:tc>
          <w:tcPr>
            <w:tcW w:type="dxa" w:w="4759"/>
            <w:vAlign w:val="center"/>
            <w:shd w:fill="F0F5F8"/>
          </w:tcPr>
          <w:p>
            <w:pPr>
              <w:spacing w:after="40" w:before="20"/>
            </w:pPr>
            <w:r>
              <w:rPr>
                <w:sz w:val="16"/>
              </w:rPr>
              <w:t>Revisar condiciones de Groq, ubicación, retención y opciones ZDR.</w:t>
            </w:r>
          </w:p>
        </w:tc>
      </w:tr>
      <w:tr>
        <w:tc>
          <w:tcPr>
            <w:tcW w:type="dxa" w:w="4759"/>
            <w:vAlign w:val="center"/>
          </w:tcPr>
          <w:p>
            <w:pPr>
              <w:spacing w:after="40" w:before="20"/>
            </w:pPr>
            <w:r>
              <w:rPr>
                <w:sz w:val="16"/>
              </w:rPr>
              <w:t>Logs</w:t>
            </w:r>
          </w:p>
        </w:tc>
        <w:tc>
          <w:tcPr>
            <w:tcW w:type="dxa" w:w="4759"/>
            <w:vAlign w:val="center"/>
          </w:tcPr>
          <w:p>
            <w:pPr>
              <w:spacing w:after="40" w:before="20"/>
            </w:pPr>
            <w:r>
              <w:rPr>
                <w:sz w:val="16"/>
              </w:rPr>
              <w:t>No incluir DNI, partidas ni prompts íntegros en registros operativos.</w:t>
            </w:r>
          </w:p>
        </w:tc>
      </w:tr>
      <w:tr>
        <w:tc>
          <w:tcPr>
            <w:tcW w:type="dxa" w:w="4759"/>
            <w:vAlign w:val="center"/>
            <w:shd w:fill="F0F5F8"/>
          </w:tcPr>
          <w:p>
            <w:pPr>
              <w:spacing w:after="40" w:before="20"/>
            </w:pPr>
            <w:r>
              <w:rPr>
                <w:sz w:val="16"/>
              </w:rPr>
              <w:t>Borrado / retención</w:t>
            </w:r>
          </w:p>
        </w:tc>
        <w:tc>
          <w:tcPr>
            <w:tcW w:type="dxa" w:w="4759"/>
            <w:vAlign w:val="center"/>
            <w:shd w:fill="F0F5F8"/>
          </w:tcPr>
          <w:p>
            <w:pPr>
              <w:spacing w:after="40" w:before="20"/>
            </w:pPr>
            <w:r>
              <w:rPr>
                <w:sz w:val="16"/>
              </w:rPr>
              <w:t>Política, mecanismos de eliminación y backup.</w:t>
            </w:r>
          </w:p>
        </w:tc>
      </w:tr>
      <w:tr>
        <w:tc>
          <w:tcPr>
            <w:tcW w:type="dxa" w:w="4759"/>
            <w:vAlign w:val="center"/>
          </w:tcPr>
          <w:p>
            <w:pPr>
              <w:spacing w:after="40" w:before="20"/>
            </w:pPr>
            <w:r>
              <w:rPr>
                <w:sz w:val="16"/>
              </w:rPr>
              <w:t>Soporte</w:t>
            </w:r>
          </w:p>
        </w:tc>
        <w:tc>
          <w:tcPr>
            <w:tcW w:type="dxa" w:w="4759"/>
            <w:vAlign w:val="center"/>
          </w:tcPr>
          <w:p>
            <w:pPr>
              <w:spacing w:after="40" w:before="20"/>
            </w:pPr>
            <w:r>
              <w:rPr>
                <w:sz w:val="16"/>
              </w:rPr>
              <w:t>Accesos justificados, privilegio mínimo y registro de auditoría.</w:t>
            </w:r>
          </w:p>
        </w:tc>
      </w:tr>
      <w:tr>
        <w:tc>
          <w:tcPr>
            <w:tcW w:type="dxa" w:w="4759"/>
            <w:vAlign w:val="center"/>
            <w:shd w:fill="F0F5F8"/>
          </w:tcPr>
          <w:p>
            <w:pPr>
              <w:spacing w:after="40" w:before="20"/>
            </w:pPr>
            <w:r>
              <w:rPr>
                <w:sz w:val="16"/>
              </w:rPr>
              <w:t>Prompt injection</w:t>
            </w:r>
          </w:p>
        </w:tc>
        <w:tc>
          <w:tcPr>
            <w:tcW w:type="dxa" w:w="4759"/>
            <w:vAlign w:val="center"/>
            <w:shd w:fill="F0F5F8"/>
          </w:tcPr>
          <w:p>
            <w:pPr>
              <w:spacing w:after="40" w:before="20"/>
            </w:pPr>
            <w:r>
              <w:rPr>
                <w:sz w:val="16"/>
              </w:rPr>
              <w:t>Tratar PDFs y citas externas como datos no confiables, sin ejecución de instrucciones.</w:t>
            </w:r>
          </w:p>
        </w:tc>
      </w:tr>
      <w:tr>
        <w:tc>
          <w:tcPr>
            <w:tcW w:type="dxa" w:w="4759"/>
            <w:vAlign w:val="center"/>
          </w:tcPr>
          <w:p>
            <w:pPr>
              <w:spacing w:after="40" w:before="20"/>
            </w:pPr>
            <w:r>
              <w:rPr>
                <w:sz w:val="16"/>
              </w:rPr>
              <w:t>Respaldo</w:t>
            </w:r>
          </w:p>
        </w:tc>
        <w:tc>
          <w:tcPr>
            <w:tcW w:type="dxa" w:w="4759"/>
            <w:vAlign w:val="center"/>
          </w:tcPr>
          <w:p>
            <w:pPr>
              <w:spacing w:after="40" w:before="20"/>
            </w:pPr>
            <w:r>
              <w:rPr>
                <w:sz w:val="16"/>
              </w:rPr>
              <w:t>Pruebas periódicas de restauración para BD y objetos.</w:t>
            </w:r>
          </w:p>
        </w:tc>
      </w:tr>
      <w:tr>
        <w:tc>
          <w:tcPr>
            <w:tcW w:type="dxa" w:w="4759"/>
            <w:vAlign w:val="center"/>
            <w:shd w:fill="F0F5F8"/>
          </w:tcPr>
          <w:p>
            <w:pPr>
              <w:spacing w:after="40" w:before="20"/>
            </w:pPr>
            <w:r>
              <w:rPr>
                <w:sz w:val="16"/>
              </w:rPr>
              <w:t>Disponibilidad</w:t>
            </w:r>
          </w:p>
        </w:tc>
        <w:tc>
          <w:tcPr>
            <w:tcW w:type="dxa" w:w="4759"/>
            <w:vAlign w:val="center"/>
            <w:shd w:fill="F0F5F8"/>
          </w:tcPr>
          <w:p>
            <w:pPr>
              <w:spacing w:after="40" w:before="20"/>
            </w:pPr>
            <w:r>
              <w:rPr>
                <w:sz w:val="16"/>
              </w:rPr>
              <w:t>Timeouts, reintentos con backoff, fallos de IA y cola de tareas.</w:t>
            </w:r>
          </w:p>
        </w:tc>
      </w:tr>
      <w:tr>
        <w:tc>
          <w:tcPr>
            <w:tcW w:type="dxa" w:w="4759"/>
            <w:vAlign w:val="center"/>
          </w:tcPr>
          <w:p>
            <w:pPr>
              <w:spacing w:after="40" w:before="20"/>
            </w:pPr>
            <w:r>
              <w:rPr>
                <w:sz w:val="16"/>
              </w:rPr>
              <w:t>Vigencia</w:t>
            </w:r>
          </w:p>
        </w:tc>
        <w:tc>
          <w:tcPr>
            <w:tcW w:type="dxa" w:w="4759"/>
            <w:vAlign w:val="center"/>
          </w:tcPr>
          <w:p>
            <w:pPr>
              <w:spacing w:after="40" w:before="20"/>
            </w:pPr>
            <w:r>
              <w:rPr>
                <w:sz w:val="16"/>
              </w:rPr>
              <w:t>Alerta por norma modificada, bloqueo de plantilla no revisada.</w:t>
            </w:r>
          </w:p>
        </w:tc>
      </w:tr>
    </w:tbl>
    <w:p>
      <w:pPr>
        <w:spacing w:after="0"/>
      </w:pPr>
    </w:p>
    <w:p>
      <w:r>
        <w:t>La documentación de Groq indica que los datos de inferencia no se conservan por defecto de manera general, pero admite excepciones de fiabilidad/abuso y describe controles de Zero Data Retention (ZDR) [S10]. Eso no reemplaza la evaluación de privacidad ni autoriza enviar documentos sensibles indiscriminadamente.</w:t>
      </w:r>
    </w:p>
    <w:p>
      <w:pPr>
        <w:pStyle w:val="Heading1"/>
      </w:pPr>
      <w:r>
        <w:t>10. Publicación en la nube</w:t>
      </w:r>
    </w:p>
    <w:p>
      <w:pPr>
        <w:pStyle w:val="Heading2"/>
      </w:pPr>
      <w:r>
        <w:t>10.1 Esquema de despliegue</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Usuario → dominio HTTPS → frontend (Vercel)</w:t>
            </w:r>
            <w:r>
              <w:br/>
            </w:r>
            <w:r>
              <w:rPr>
                <w:rFonts w:ascii="Consolas" w:hAnsi="Consolas"/>
                <w:sz w:val="16"/>
              </w:rPr>
              <w:t xml:space="preserve">                                  ↓</w:t>
            </w:r>
            <w:r>
              <w:br/>
            </w:r>
            <w:r>
              <w:rPr>
                <w:rFonts w:ascii="Consolas" w:hAnsi="Consolas"/>
                <w:sz w:val="16"/>
              </w:rPr>
              <w:t xml:space="preserve">                            API (Render)</w:t>
            </w:r>
            <w:r>
              <w:br/>
            </w:r>
            <w:r>
              <w:rPr>
                <w:rFonts w:ascii="Consolas" w:hAnsi="Consolas"/>
                <w:sz w:val="16"/>
              </w:rPr>
              <w:t xml:space="preserve">                         ↙        |       ↘</w:t>
            </w:r>
            <w:r>
              <w:br/>
            </w:r>
            <w:r>
              <w:rPr>
                <w:rFonts w:ascii="Consolas" w:hAnsi="Consolas"/>
                <w:sz w:val="16"/>
              </w:rPr>
              <w:t xml:space="preserve">         Supabase Auth/Storage   PostgreSQL   Groq API</w:t>
            </w:r>
            <w:r>
              <w:br/>
            </w:r>
            <w:r>
              <w:rPr>
                <w:rFonts w:ascii="Consolas" w:hAnsi="Consolas"/>
                <w:sz w:val="16"/>
              </w:rPr>
              <w:t xml:space="preserve">                                  + pgvector</w:t>
            </w:r>
            <w:r>
              <w:br/>
            </w:r>
            <w:r>
              <w:rPr>
                <w:rFonts w:ascii="Consolas" w:hAnsi="Consolas"/>
                <w:sz w:val="16"/>
              </w:rPr>
              <w:t>* HTTPS y permisos privados en todos los enlaces.</w:t>
            </w:r>
          </w:p>
        </w:tc>
      </w:tr>
    </w:tbl>
    <w:p>
      <w:pPr>
        <w:spacing w:after="0"/>
      </w:pPr>
    </w:p>
    <w:p>
      <w:r>
        <w:t>La web NO contiene la base PostgreSQL. El frontend realiza solicitudes HTTPS a una API; esta valida la sesión y accede mediante credenciales protegidas a la base y a Groq. Supabase ofrece PostgreSQL gestionado, autenticación y almacenamiento. Como referencia consultada, el plan gratuito anuncia 500 MB de base y 1 GB de almacenamiento; los precios y cuotas pueden cambiar [S11].</w:t>
      </w:r>
    </w:p>
    <w:p>
      <w:pPr>
        <w:pStyle w:val="Heading2"/>
      </w:pPr>
      <w:r>
        <w:t>10.2 Variables de entorno y despliegue</w:t>
      </w:r>
    </w:p>
    <w:tbl>
      <w:tblPr>
        <w:tblW w:type="auto" w:w="0"/>
        <w:tblLayout w:type="autofit"/>
        <w:tblLook w:firstColumn="1" w:firstRow="1" w:lastColumn="0" w:lastRow="0" w:noHBand="0" w:noVBand="1" w:val="04A0"/>
      </w:tblPr>
      <w:tblGrid>
        <w:gridCol w:w="9519"/>
      </w:tblGrid>
      <w:tr>
        <w:tc>
          <w:tcPr>
            <w:tcW w:type="dxa" w:w="9519"/>
            <w:shd w:fill="F3F7FA"/>
          </w:tcPr>
          <w:p>
            <w:pPr>
              <w:spacing w:after="80"/>
            </w:pPr>
            <w:r>
              <w:rPr>
                <w:rFonts w:ascii="Consolas" w:hAnsi="Consolas"/>
                <w:sz w:val="16"/>
              </w:rPr>
              <w:t>FRONTEND: VITE_API_BASE_URL=https://api.ejemplo.pe</w:t>
            </w:r>
            <w:r>
              <w:br/>
            </w:r>
            <w:r>
              <w:rPr>
                <w:rFonts w:ascii="Consolas" w:hAnsi="Consolas"/>
                <w:sz w:val="16"/>
              </w:rPr>
              <w:t>BACKEND: GROQ_API_KEY=(secreto)</w:t>
            </w:r>
            <w:r>
              <w:br/>
            </w:r>
            <w:r>
              <w:rPr>
                <w:rFonts w:ascii="Consolas" w:hAnsi="Consolas"/>
                <w:sz w:val="16"/>
              </w:rPr>
              <w:t>BACKEND: DATABASE_URL=(cadena privada PostgreSQL)</w:t>
            </w:r>
            <w:r>
              <w:br/>
            </w:r>
            <w:r>
              <w:rPr>
                <w:rFonts w:ascii="Consolas" w:hAnsi="Consolas"/>
                <w:sz w:val="16"/>
              </w:rPr>
              <w:t>BACKEND: STORAGE_SERVICE_KEY=(secreto, nunca frontend)</w:t>
            </w:r>
            <w:r>
              <w:br/>
            </w:r>
            <w:r>
              <w:rPr>
                <w:rFonts w:ascii="Consolas" w:hAnsi="Consolas"/>
                <w:sz w:val="16"/>
              </w:rPr>
              <w:t>BACKEND: JWT verification / Supabase Auth settings</w:t>
            </w:r>
            <w:r>
              <w:br/>
            </w:r>
            <w:r>
              <w:rPr>
                <w:rFonts w:ascii="Consolas" w:hAnsi="Consolas"/>
                <w:sz w:val="16"/>
              </w:rPr>
              <w:t>BACKEND: PUBLIC_APP_URL=https://app.ejemplo.pe</w:t>
            </w:r>
          </w:p>
        </w:tc>
      </w:tr>
    </w:tbl>
    <w:p>
      <w:pPr>
        <w:spacing w:after="0"/>
      </w:pPr>
    </w:p>
    <w:p>
      <w:pPr>
        <w:pStyle w:val="ListBullet"/>
      </w:pPr>
      <w:r>
        <w:t>Usar migraciones versionadas y separar entornos local, staging y producción.</w:t>
      </w:r>
    </w:p>
    <w:p>
      <w:pPr>
        <w:pStyle w:val="ListBullet"/>
      </w:pPr>
      <w:r>
        <w:t>Proteger GitHub y rama principal; nunca subir .env ni anexos reales.</w:t>
      </w:r>
    </w:p>
    <w:p>
      <w:pPr>
        <w:pStyle w:val="ListBullet"/>
      </w:pPr>
      <w:r>
        <w:t>Probar acceso desde otra cuenta: no debe leer ni descargar casos ajenos.</w:t>
      </w:r>
    </w:p>
    <w:p>
      <w:pPr>
        <w:pStyle w:val="ListBullet"/>
      </w:pPr>
      <w:r>
        <w:t>Configurar dominio, TLS, CORS limitado, respaldo y alertas antes de abrir al público.</w:t>
      </w:r>
    </w:p>
    <w:p>
      <w:pPr>
        <w:pStyle w:val="ListBullet"/>
      </w:pPr>
      <w:r>
        <w:t>Si Render se duerme o el proveedor supera límites, mostrar una falla clara y permitir reintento sin duplicar documentos.</w:t>
      </w:r>
    </w:p>
    <w:p>
      <w:pPr>
        <w:pStyle w:val="Heading1"/>
      </w:pPr>
      <w:r>
        <w:t>11. Plan de trabajo, pruebas y calidad</w:t>
      </w:r>
    </w:p>
    <w:p>
      <w:pPr>
        <w:pStyle w:val="Heading2"/>
      </w:pPr>
      <w:r>
        <w:t>11.1 Roadmap recomendado (8 iteraciones cortas)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3"/>
            <w:vAlign w:val="center"/>
          </w:tcPr>
          <w:p>
            <w:r>
              <w:rPr>
                <w:b/>
                <w:color w:val="FFFFFF"/>
                <w:sz w:val="15"/>
              </w:rPr>
              <w:t>Iter.</w:t>
            </w:r>
          </w:p>
        </w:tc>
        <w:tc>
          <w:tcPr>
            <w:tcW w:type="dxa" w:w="3173"/>
            <w:shd w:fill="173B53"/>
            <w:vAlign w:val="center"/>
          </w:tcPr>
          <w:p>
            <w:r>
              <w:rPr>
                <w:b/>
                <w:color w:val="FFFFFF"/>
                <w:sz w:val="15"/>
              </w:rPr>
              <w:t>Entregable</w:t>
            </w:r>
          </w:p>
        </w:tc>
        <w:tc>
          <w:tcPr>
            <w:tcW w:type="dxa" w:w="3173"/>
            <w:shd w:fill="173B53"/>
            <w:vAlign w:val="center"/>
          </w:tcPr>
          <w:p>
            <w:r>
              <w:rPr>
                <w:b/>
                <w:color w:val="FFFFFF"/>
                <w:sz w:val="15"/>
              </w:rPr>
              <w:t>Criterio de salida</w:t>
            </w:r>
          </w:p>
        </w:tc>
      </w:tr>
      <w:tr>
        <w:tc>
          <w:tcPr>
            <w:tcW w:type="dxa" w:w="3173"/>
            <w:vAlign w:val="center"/>
            <w:shd w:fill="F0F5F8"/>
          </w:tcPr>
          <w:p>
            <w:pPr>
              <w:spacing w:after="40" w:before="20"/>
            </w:pPr>
            <w:r>
              <w:rPr>
                <w:sz w:val="15"/>
              </w:rPr>
              <w:t>1</w:t>
            </w:r>
          </w:p>
        </w:tc>
        <w:tc>
          <w:tcPr>
            <w:tcW w:type="dxa" w:w="3173"/>
            <w:vAlign w:val="center"/>
            <w:shd w:fill="F0F5F8"/>
          </w:tcPr>
          <w:p>
            <w:pPr>
              <w:spacing w:after="40" w:before="20"/>
            </w:pPr>
            <w:r>
              <w:rPr>
                <w:sz w:val="15"/>
              </w:rPr>
              <w:t>Proyecto, Git, autenticación, PostgreSQL</w:t>
            </w:r>
          </w:p>
        </w:tc>
        <w:tc>
          <w:tcPr>
            <w:tcW w:type="dxa" w:w="3173"/>
            <w:vAlign w:val="center"/>
            <w:shd w:fill="F0F5F8"/>
          </w:tcPr>
          <w:p>
            <w:pPr>
              <w:spacing w:after="40" w:before="20"/>
            </w:pPr>
            <w:r>
              <w:rPr>
                <w:sz w:val="15"/>
              </w:rPr>
              <w:t>Crear caso ficticio y guardar estado.</w:t>
            </w:r>
          </w:p>
        </w:tc>
      </w:tr>
      <w:tr>
        <w:tc>
          <w:tcPr>
            <w:tcW w:type="dxa" w:w="3173"/>
            <w:vAlign w:val="center"/>
          </w:tcPr>
          <w:p>
            <w:pPr>
              <w:spacing w:after="40" w:before="20"/>
            </w:pPr>
            <w:r>
              <w:rPr>
                <w:sz w:val="15"/>
              </w:rPr>
              <w:t>2</w:t>
            </w:r>
          </w:p>
        </w:tc>
        <w:tc>
          <w:tcPr>
            <w:tcW w:type="dxa" w:w="3173"/>
            <w:vAlign w:val="center"/>
          </w:tcPr>
          <w:p>
            <w:pPr>
              <w:spacing w:after="40" w:before="20"/>
            </w:pPr>
            <w:r>
              <w:rPr>
                <w:sz w:val="15"/>
              </w:rPr>
              <w:t>Ficha ALIMENTOS_NNA + reglas + preguntas</w:t>
            </w:r>
          </w:p>
        </w:tc>
        <w:tc>
          <w:tcPr>
            <w:tcW w:type="dxa" w:w="3173"/>
            <w:vAlign w:val="center"/>
          </w:tcPr>
          <w:p>
            <w:pPr>
              <w:spacing w:after="40" w:before="20"/>
            </w:pPr>
            <w:r>
              <w:rPr>
                <w:sz w:val="15"/>
              </w:rPr>
              <w:t>Checklist y condición de elegibilidad.</w:t>
            </w:r>
          </w:p>
        </w:tc>
      </w:tr>
      <w:tr>
        <w:tc>
          <w:tcPr>
            <w:tcW w:type="dxa" w:w="3173"/>
            <w:vAlign w:val="center"/>
            <w:shd w:fill="F0F5F8"/>
          </w:tcPr>
          <w:p>
            <w:pPr>
              <w:spacing w:after="40" w:before="20"/>
            </w:pPr>
            <w:r>
              <w:rPr>
                <w:sz w:val="15"/>
              </w:rPr>
              <w:t>3</w:t>
            </w:r>
          </w:p>
        </w:tc>
        <w:tc>
          <w:tcPr>
            <w:tcW w:type="dxa" w:w="3173"/>
            <w:vAlign w:val="center"/>
            <w:shd w:fill="F0F5F8"/>
          </w:tcPr>
          <w:p>
            <w:pPr>
              <w:spacing w:after="40" w:before="20"/>
            </w:pPr>
            <w:r>
              <w:rPr>
                <w:sz w:val="15"/>
              </w:rPr>
              <w:t>Corpus oficial curado + versionado</w:t>
            </w:r>
          </w:p>
        </w:tc>
        <w:tc>
          <w:tcPr>
            <w:tcW w:type="dxa" w:w="3173"/>
            <w:vAlign w:val="center"/>
            <w:shd w:fill="F0F5F8"/>
          </w:tcPr>
          <w:p>
            <w:pPr>
              <w:spacing w:after="40" w:before="20"/>
            </w:pPr>
            <w:r>
              <w:rPr>
                <w:sz w:val="15"/>
              </w:rPr>
              <w:t>Citas verificables y ninguna norma 2015 no contrastada.</w:t>
            </w:r>
          </w:p>
        </w:tc>
      </w:tr>
      <w:tr>
        <w:tc>
          <w:tcPr>
            <w:tcW w:type="dxa" w:w="3173"/>
            <w:vAlign w:val="center"/>
          </w:tcPr>
          <w:p>
            <w:pPr>
              <w:spacing w:after="40" w:before="20"/>
            </w:pPr>
            <w:r>
              <w:rPr>
                <w:sz w:val="15"/>
              </w:rPr>
              <w:t>4</w:t>
            </w:r>
          </w:p>
        </w:tc>
        <w:tc>
          <w:tcPr>
            <w:tcW w:type="dxa" w:w="3173"/>
            <w:vAlign w:val="center"/>
          </w:tcPr>
          <w:p>
            <w:pPr>
              <w:spacing w:after="40" w:before="20"/>
            </w:pPr>
            <w:r>
              <w:rPr>
                <w:sz w:val="15"/>
              </w:rPr>
              <w:t>Groq extracción a JSON y diálogo</w:t>
            </w:r>
          </w:p>
        </w:tc>
        <w:tc>
          <w:tcPr>
            <w:tcW w:type="dxa" w:w="3173"/>
            <w:vAlign w:val="center"/>
          </w:tcPr>
          <w:p>
            <w:pPr>
              <w:spacing w:after="40" w:before="20"/>
            </w:pPr>
            <w:r>
              <w:rPr>
                <w:sz w:val="15"/>
              </w:rPr>
              <w:t>Entrevista persistente sin inventar hechos.</w:t>
            </w:r>
          </w:p>
        </w:tc>
      </w:tr>
      <w:tr>
        <w:tc>
          <w:tcPr>
            <w:tcW w:type="dxa" w:w="3173"/>
            <w:vAlign w:val="center"/>
            <w:shd w:fill="F0F5F8"/>
          </w:tcPr>
          <w:p>
            <w:pPr>
              <w:spacing w:after="40" w:before="20"/>
            </w:pPr>
            <w:r>
              <w:rPr>
                <w:sz w:val="15"/>
              </w:rPr>
              <w:t>5</w:t>
            </w:r>
          </w:p>
        </w:tc>
        <w:tc>
          <w:tcPr>
            <w:tcW w:type="dxa" w:w="3173"/>
            <w:vAlign w:val="center"/>
            <w:shd w:fill="F0F5F8"/>
          </w:tcPr>
          <w:p>
            <w:pPr>
              <w:spacing w:after="40" w:before="20"/>
            </w:pPr>
            <w:r>
              <w:rPr>
                <w:sz w:val="15"/>
              </w:rPr>
              <w:t>Carga de anexos y validación</w:t>
            </w:r>
          </w:p>
        </w:tc>
        <w:tc>
          <w:tcPr>
            <w:tcW w:type="dxa" w:w="3173"/>
            <w:vAlign w:val="center"/>
            <w:shd w:fill="F0F5F8"/>
          </w:tcPr>
          <w:p>
            <w:pPr>
              <w:spacing w:after="40" w:before="20"/>
            </w:pPr>
            <w:r>
              <w:rPr>
                <w:sz w:val="15"/>
              </w:rPr>
              <w:t>Privacidad y reglas de documentos.</w:t>
            </w:r>
          </w:p>
        </w:tc>
      </w:tr>
      <w:tr>
        <w:tc>
          <w:tcPr>
            <w:tcW w:type="dxa" w:w="3173"/>
            <w:vAlign w:val="center"/>
          </w:tcPr>
          <w:p>
            <w:pPr>
              <w:spacing w:after="40" w:before="20"/>
            </w:pPr>
            <w:r>
              <w:rPr>
                <w:sz w:val="15"/>
              </w:rPr>
              <w:t>6</w:t>
            </w:r>
          </w:p>
        </w:tc>
        <w:tc>
          <w:tcPr>
            <w:tcW w:type="dxa" w:w="3173"/>
            <w:vAlign w:val="center"/>
          </w:tcPr>
          <w:p>
            <w:pPr>
              <w:spacing w:after="40" w:before="20"/>
            </w:pPr>
            <w:r>
              <w:rPr>
                <w:sz w:val="15"/>
              </w:rPr>
              <w:t>Plantilla + PDF + vista previa</w:t>
            </w:r>
          </w:p>
        </w:tc>
        <w:tc>
          <w:tcPr>
            <w:tcW w:type="dxa" w:w="3173"/>
            <w:vAlign w:val="center"/>
          </w:tcPr>
          <w:p>
            <w:pPr>
              <w:spacing w:after="40" w:before="20"/>
            </w:pPr>
            <w:r>
              <w:rPr>
                <w:sz w:val="15"/>
              </w:rPr>
              <w:t>Documento correcto para caso simulado.</w:t>
            </w:r>
          </w:p>
        </w:tc>
      </w:tr>
      <w:tr>
        <w:tc>
          <w:tcPr>
            <w:tcW w:type="dxa" w:w="3173"/>
            <w:vAlign w:val="center"/>
            <w:shd w:fill="F0F5F8"/>
          </w:tcPr>
          <w:p>
            <w:pPr>
              <w:spacing w:after="40" w:before="20"/>
            </w:pPr>
            <w:r>
              <w:rPr>
                <w:sz w:val="15"/>
              </w:rPr>
              <w:t>7</w:t>
            </w:r>
          </w:p>
        </w:tc>
        <w:tc>
          <w:tcPr>
            <w:tcW w:type="dxa" w:w="3173"/>
            <w:vAlign w:val="center"/>
            <w:shd w:fill="F0F5F8"/>
          </w:tcPr>
          <w:p>
            <w:pPr>
              <w:spacing w:after="40" w:before="20"/>
            </w:pPr>
            <w:r>
              <w:rPr>
                <w:sz w:val="15"/>
              </w:rPr>
              <w:t>Pruebas integrales / seguridad / revisión jurídica</w:t>
            </w:r>
          </w:p>
        </w:tc>
        <w:tc>
          <w:tcPr>
            <w:tcW w:type="dxa" w:w="3173"/>
            <w:vAlign w:val="center"/>
            <w:shd w:fill="F0F5F8"/>
          </w:tcPr>
          <w:p>
            <w:pPr>
              <w:spacing w:after="40" w:before="20"/>
            </w:pPr>
            <w:r>
              <w:rPr>
                <w:sz w:val="15"/>
              </w:rPr>
              <w:t>Bugs P0 cerrados y auditoría lista.</w:t>
            </w:r>
          </w:p>
        </w:tc>
      </w:tr>
      <w:tr>
        <w:tc>
          <w:tcPr>
            <w:tcW w:type="dxa" w:w="3173"/>
            <w:vAlign w:val="center"/>
          </w:tcPr>
          <w:p>
            <w:pPr>
              <w:spacing w:after="40" w:before="20"/>
            </w:pPr>
            <w:r>
              <w:rPr>
                <w:sz w:val="15"/>
              </w:rPr>
              <w:t>8</w:t>
            </w:r>
          </w:p>
        </w:tc>
        <w:tc>
          <w:tcPr>
            <w:tcW w:type="dxa" w:w="3173"/>
            <w:vAlign w:val="center"/>
          </w:tcPr>
          <w:p>
            <w:pPr>
              <w:spacing w:after="40" w:before="20"/>
            </w:pPr>
            <w:r>
              <w:rPr>
                <w:sz w:val="15"/>
              </w:rPr>
              <w:t>Deploy demo + manual + evaluación</w:t>
            </w:r>
          </w:p>
        </w:tc>
        <w:tc>
          <w:tcPr>
            <w:tcW w:type="dxa" w:w="3173"/>
            <w:vAlign w:val="center"/>
          </w:tcPr>
          <w:p>
            <w:pPr>
              <w:spacing w:after="40" w:before="20"/>
            </w:pPr>
            <w:r>
              <w:rPr>
                <w:sz w:val="15"/>
              </w:rPr>
              <w:t>Demo de extremo a extremo en nube.</w:t>
            </w:r>
          </w:p>
        </w:tc>
      </w:tr>
    </w:tbl>
    <w:p>
      <w:pPr>
        <w:spacing w:after="0"/>
      </w:pPr>
    </w:p>
    <w:p>
      <w:pPr>
        <w:pStyle w:val="Heading2"/>
      </w:pPr>
      <w:r>
        <w:t>11.2 Casos de prueba obligatorios</w:t>
      </w:r>
    </w:p>
    <w:p>
      <w:pPr>
        <w:pStyle w:val="ListBullet"/>
      </w:pPr>
      <w:r>
        <w:t>Caso ficticio completo: genera PDF con todas las secciones y referencias correctas.</w:t>
      </w:r>
    </w:p>
    <w:p>
      <w:pPr>
        <w:pStyle w:val="ListBullet"/>
      </w:pPr>
      <w:r>
        <w:t>Caso con dato desconocido válido: no inventa ingreso del demandado.</w:t>
      </w:r>
    </w:p>
    <w:p>
      <w:pPr>
        <w:pStyle w:val="ListBullet"/>
      </w:pPr>
      <w:r>
        <w:t>Documento ausente: distingue entre exigencia, opción y posibilidad de subsanar.</w:t>
      </w:r>
    </w:p>
    <w:p>
      <w:pPr>
        <w:pStyle w:val="ListBullet"/>
      </w:pPr>
      <w:r>
        <w:t>DNI o fecha contradictorios entre formulario y anexo: informa y solicita corrección.</w:t>
      </w:r>
    </w:p>
    <w:p>
      <w:pPr>
        <w:pStyle w:val="ListBullet"/>
      </w:pPr>
      <w:r>
        <w:t>Caso fuera del alcance: bloquea generación y explica alcance.</w:t>
      </w:r>
    </w:p>
    <w:p>
      <w:pPr>
        <w:pStyle w:val="ListBullet"/>
      </w:pPr>
      <w:r>
        <w:t>Norma desactualizada: falla cerrado e informa que requiere revisión jurídica.</w:t>
      </w:r>
    </w:p>
    <w:p>
      <w:pPr>
        <w:pStyle w:val="ListBullet"/>
      </w:pPr>
      <w:r>
        <w:t>Dos usuarios diferentes: ningún acceso cruzado a expedientes ni storage.</w:t>
      </w:r>
    </w:p>
    <w:p>
      <w:pPr>
        <w:pStyle w:val="ListBullet"/>
      </w:pPr>
      <w:r>
        <w:t>Intento de prompt injection dentro del PDF adjunto: no altera reglas.</w:t>
      </w:r>
    </w:p>
    <w:p>
      <w:pPr>
        <w:pStyle w:val="ListBullet"/>
      </w:pPr>
      <w:r>
        <w:t>API Groq retorna 429/timeout: conserva datos y ofrece reintento.</w:t>
      </w:r>
    </w:p>
    <w:p>
      <w:pPr>
        <w:pStyle w:val="ListBullet"/>
      </w:pPr>
      <w:r>
        <w:t>Salida de IA inválida/no JSON: se rechaza sin contaminar la base.</w:t>
      </w:r>
    </w:p>
    <w:p>
      <w:pPr>
        <w:pStyle w:val="ListBullet"/>
      </w:pPr>
      <w:r>
        <w:t>PDF multipágina: no corta párrafos ni pierde numeración.</w:t>
      </w:r>
    </w:p>
    <w:p>
      <w:pPr>
        <w:pStyle w:val="ListBullet"/>
      </w:pPr>
      <w:r>
        <w:t>Enlace final de presentación: dirige al canal oficial, no declara envío exitoso.</w:t>
      </w:r>
    </w:p>
    <w:p>
      <w:pPr>
        <w:pStyle w:val="Heading2"/>
      </w:pPr>
      <w:r>
        <w:t>11.3 Métricas medibles (objetivos propuestos, NO resultados)</w:t>
      </w:r>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shd w:fill="173B53"/>
            <w:vAlign w:val="center"/>
          </w:tcPr>
          <w:p>
            <w:r>
              <w:rPr>
                <w:b/>
                <w:color w:val="FFFFFF"/>
                <w:sz w:val="15"/>
              </w:rPr>
              <w:t>Métrica</w:t>
            </w:r>
          </w:p>
        </w:tc>
        <w:tc>
          <w:tcPr>
            <w:tcW w:type="dxa" w:w="3173"/>
            <w:shd w:fill="173B53"/>
            <w:vAlign w:val="center"/>
          </w:tcPr>
          <w:p>
            <w:r>
              <w:rPr>
                <w:b/>
                <w:color w:val="FFFFFF"/>
                <w:sz w:val="15"/>
              </w:rPr>
              <w:t>Cómo medir</w:t>
            </w:r>
          </w:p>
        </w:tc>
        <w:tc>
          <w:tcPr>
            <w:tcW w:type="dxa" w:w="3173"/>
            <w:shd w:fill="173B53"/>
            <w:vAlign w:val="center"/>
          </w:tcPr>
          <w:p>
            <w:r>
              <w:rPr>
                <w:b/>
                <w:color w:val="FFFFFF"/>
                <w:sz w:val="15"/>
              </w:rPr>
              <w:t>Meta de prueba inicial</w:t>
            </w:r>
          </w:p>
        </w:tc>
      </w:tr>
      <w:tr>
        <w:tc>
          <w:tcPr>
            <w:tcW w:type="dxa" w:w="3173"/>
            <w:vAlign w:val="center"/>
            <w:shd w:fill="F0F5F8"/>
          </w:tcPr>
          <w:p>
            <w:pPr>
              <w:spacing w:after="40" w:before="20"/>
            </w:pPr>
            <w:r>
              <w:rPr>
                <w:sz w:val="15"/>
              </w:rPr>
              <w:t>Exactitud de extracción</w:t>
            </w:r>
          </w:p>
        </w:tc>
        <w:tc>
          <w:tcPr>
            <w:tcW w:type="dxa" w:w="3173"/>
            <w:vAlign w:val="center"/>
            <w:shd w:fill="F0F5F8"/>
          </w:tcPr>
          <w:p>
            <w:pPr>
              <w:spacing w:after="40" w:before="20"/>
            </w:pPr>
            <w:r>
              <w:rPr>
                <w:sz w:val="15"/>
              </w:rPr>
              <w:t>Campos correctos / campos revisados</w:t>
            </w:r>
          </w:p>
        </w:tc>
        <w:tc>
          <w:tcPr>
            <w:tcW w:type="dxa" w:w="3173"/>
            <w:vAlign w:val="center"/>
            <w:shd w:fill="F0F5F8"/>
          </w:tcPr>
          <w:p>
            <w:pPr>
              <w:spacing w:after="40" w:before="20"/>
            </w:pPr>
            <w:r>
              <w:rPr>
                <w:sz w:val="15"/>
              </w:rPr>
              <w:t>≥95 % en casos ficticios.</w:t>
            </w:r>
          </w:p>
        </w:tc>
      </w:tr>
      <w:tr>
        <w:tc>
          <w:tcPr>
            <w:tcW w:type="dxa" w:w="3173"/>
            <w:vAlign w:val="center"/>
          </w:tcPr>
          <w:p>
            <w:pPr>
              <w:spacing w:after="40" w:before="20"/>
            </w:pPr>
            <w:r>
              <w:rPr>
                <w:sz w:val="15"/>
              </w:rPr>
              <w:t>Hechos inventados</w:t>
            </w:r>
          </w:p>
        </w:tc>
        <w:tc>
          <w:tcPr>
            <w:tcW w:type="dxa" w:w="3173"/>
            <w:vAlign w:val="center"/>
          </w:tcPr>
          <w:p>
            <w:pPr>
              <w:spacing w:after="40" w:before="20"/>
            </w:pPr>
            <w:r>
              <w:rPr>
                <w:sz w:val="15"/>
              </w:rPr>
              <w:t>Afirmaciones no respaldadas / total</w:t>
            </w:r>
          </w:p>
        </w:tc>
        <w:tc>
          <w:tcPr>
            <w:tcW w:type="dxa" w:w="3173"/>
            <w:vAlign w:val="center"/>
          </w:tcPr>
          <w:p>
            <w:pPr>
              <w:spacing w:after="40" w:before="20"/>
            </w:pPr>
            <w:r>
              <w:rPr>
                <w:sz w:val="15"/>
              </w:rPr>
              <w:t>0 tolerados en PDF final.</w:t>
            </w:r>
          </w:p>
        </w:tc>
      </w:tr>
      <w:tr>
        <w:tc>
          <w:tcPr>
            <w:tcW w:type="dxa" w:w="3173"/>
            <w:vAlign w:val="center"/>
            <w:shd w:fill="F0F5F8"/>
          </w:tcPr>
          <w:p>
            <w:pPr>
              <w:spacing w:after="40" w:before="20"/>
            </w:pPr>
            <w:r>
              <w:rPr>
                <w:sz w:val="15"/>
              </w:rPr>
              <w:t>Citas incorrectas</w:t>
            </w:r>
          </w:p>
        </w:tc>
        <w:tc>
          <w:tcPr>
            <w:tcW w:type="dxa" w:w="3173"/>
            <w:vAlign w:val="center"/>
            <w:shd w:fill="F0F5F8"/>
          </w:tcPr>
          <w:p>
            <w:pPr>
              <w:spacing w:after="40" w:before="20"/>
            </w:pPr>
            <w:r>
              <w:rPr>
                <w:sz w:val="15"/>
              </w:rPr>
              <w:t>Referencias inválidas / total</w:t>
            </w:r>
          </w:p>
        </w:tc>
        <w:tc>
          <w:tcPr>
            <w:tcW w:type="dxa" w:w="3173"/>
            <w:vAlign w:val="center"/>
            <w:shd w:fill="F0F5F8"/>
          </w:tcPr>
          <w:p>
            <w:pPr>
              <w:spacing w:after="40" w:before="20"/>
            </w:pPr>
            <w:r>
              <w:rPr>
                <w:sz w:val="15"/>
              </w:rPr>
              <w:t>0 toleradas en PDF final.</w:t>
            </w:r>
          </w:p>
        </w:tc>
      </w:tr>
      <w:tr>
        <w:tc>
          <w:tcPr>
            <w:tcW w:type="dxa" w:w="3173"/>
            <w:vAlign w:val="center"/>
          </w:tcPr>
          <w:p>
            <w:pPr>
              <w:spacing w:after="40" w:before="20"/>
            </w:pPr>
            <w:r>
              <w:rPr>
                <w:sz w:val="15"/>
              </w:rPr>
              <w:t>Cobertura del formulario</w:t>
            </w:r>
          </w:p>
        </w:tc>
        <w:tc>
          <w:tcPr>
            <w:tcW w:type="dxa" w:w="3173"/>
            <w:vAlign w:val="center"/>
          </w:tcPr>
          <w:p>
            <w:pPr>
              <w:spacing w:after="40" w:before="20"/>
            </w:pPr>
            <w:r>
              <w:rPr>
                <w:sz w:val="15"/>
              </w:rPr>
              <w:t>Campos mapeados / campos aplicables</w:t>
            </w:r>
          </w:p>
        </w:tc>
        <w:tc>
          <w:tcPr>
            <w:tcW w:type="dxa" w:w="3173"/>
            <w:vAlign w:val="center"/>
          </w:tcPr>
          <w:p>
            <w:pPr>
              <w:spacing w:after="40" w:before="20"/>
            </w:pPr>
            <w:r>
              <w:rPr>
                <w:sz w:val="15"/>
              </w:rPr>
              <w:t>100 % para procedimiento piloto.</w:t>
            </w:r>
          </w:p>
        </w:tc>
      </w:tr>
      <w:tr>
        <w:tc>
          <w:tcPr>
            <w:tcW w:type="dxa" w:w="3173"/>
            <w:vAlign w:val="center"/>
            <w:shd w:fill="F0F5F8"/>
          </w:tcPr>
          <w:p>
            <w:pPr>
              <w:spacing w:after="40" w:before="20"/>
            </w:pPr>
            <w:r>
              <w:rPr>
                <w:sz w:val="15"/>
              </w:rPr>
              <w:t>Éxito end-to-end</w:t>
            </w:r>
          </w:p>
        </w:tc>
        <w:tc>
          <w:tcPr>
            <w:tcW w:type="dxa" w:w="3173"/>
            <w:vAlign w:val="center"/>
            <w:shd w:fill="F0F5F8"/>
          </w:tcPr>
          <w:p>
            <w:pPr>
              <w:spacing w:after="40" w:before="20"/>
            </w:pPr>
            <w:r>
              <w:rPr>
                <w:sz w:val="15"/>
              </w:rPr>
              <w:t>Casos ficticios completados / iniciados</w:t>
            </w:r>
          </w:p>
        </w:tc>
        <w:tc>
          <w:tcPr>
            <w:tcW w:type="dxa" w:w="3173"/>
            <w:vAlign w:val="center"/>
            <w:shd w:fill="F0F5F8"/>
          </w:tcPr>
          <w:p>
            <w:pPr>
              <w:spacing w:after="40" w:before="20"/>
            </w:pPr>
            <w:r>
              <w:rPr>
                <w:sz w:val="15"/>
              </w:rPr>
              <w:t>≥90 % tras correcciones.</w:t>
            </w:r>
          </w:p>
        </w:tc>
      </w:tr>
      <w:tr>
        <w:tc>
          <w:tcPr>
            <w:tcW w:type="dxa" w:w="3173"/>
            <w:vAlign w:val="center"/>
          </w:tcPr>
          <w:p>
            <w:pPr>
              <w:spacing w:after="40" w:before="20"/>
            </w:pPr>
            <w:r>
              <w:rPr>
                <w:sz w:val="15"/>
              </w:rPr>
              <w:t>Aislamiento de datos</w:t>
            </w:r>
          </w:p>
        </w:tc>
        <w:tc>
          <w:tcPr>
            <w:tcW w:type="dxa" w:w="3173"/>
            <w:vAlign w:val="center"/>
          </w:tcPr>
          <w:p>
            <w:pPr>
              <w:spacing w:after="40" w:before="20"/>
            </w:pPr>
            <w:r>
              <w:rPr>
                <w:sz w:val="15"/>
              </w:rPr>
              <w:t>Pruebas de acceso cruzado superadas</w:t>
            </w:r>
          </w:p>
        </w:tc>
        <w:tc>
          <w:tcPr>
            <w:tcW w:type="dxa" w:w="3173"/>
            <w:vAlign w:val="center"/>
          </w:tcPr>
          <w:p>
            <w:pPr>
              <w:spacing w:after="40" w:before="20"/>
            </w:pPr>
            <w:r>
              <w:rPr>
                <w:sz w:val="15"/>
              </w:rPr>
              <w:t>100 %.</w:t>
            </w:r>
          </w:p>
        </w:tc>
      </w:tr>
      <w:tr>
        <w:tc>
          <w:tcPr>
            <w:tcW w:type="dxa" w:w="3173"/>
            <w:vAlign w:val="center"/>
            <w:shd w:fill="F0F5F8"/>
          </w:tcPr>
          <w:p>
            <w:pPr>
              <w:spacing w:after="40" w:before="20"/>
            </w:pPr>
            <w:r>
              <w:rPr>
                <w:sz w:val="15"/>
              </w:rPr>
              <w:t>Tiempo de generación</w:t>
            </w:r>
          </w:p>
        </w:tc>
        <w:tc>
          <w:tcPr>
            <w:tcW w:type="dxa" w:w="3173"/>
            <w:vAlign w:val="center"/>
            <w:shd w:fill="F0F5F8"/>
          </w:tcPr>
          <w:p>
            <w:pPr>
              <w:spacing w:after="40" w:before="20"/>
            </w:pPr>
            <w:r>
              <w:rPr>
                <w:sz w:val="15"/>
              </w:rPr>
              <w:t>Desde confirmación a PDF</w:t>
            </w:r>
          </w:p>
        </w:tc>
        <w:tc>
          <w:tcPr>
            <w:tcW w:type="dxa" w:w="3173"/>
            <w:vAlign w:val="center"/>
            <w:shd w:fill="F0F5F8"/>
          </w:tcPr>
          <w:p>
            <w:pPr>
              <w:spacing w:after="40" w:before="20"/>
            </w:pPr>
            <w:r>
              <w:rPr>
                <w:sz w:val="15"/>
              </w:rPr>
              <w:t>Medir y optimizar sin prometer SLA.</w:t>
            </w:r>
          </w:p>
        </w:tc>
      </w:tr>
    </w:tbl>
    <w:p>
      <w:pPr>
        <w:spacing w:after="0"/>
      </w:pPr>
    </w:p>
    <w:p>
      <w:r>
        <w:t>Para demostrar diferenciación frente a un chatbot genérico, comparar con la misma muestra ficticia y rúbrica; revisión de un profesional competente, sin presentar estimaciones como resultados. No probar con casos ni documentos reales de menores sin controles y autorización adecuados.</w:t>
      </w:r>
    </w:p>
    <w:p>
      <w:pPr>
        <w:pStyle w:val="Heading1"/>
      </w:pPr>
      <w:r>
        <w:t>12. Decisiones pendientes antes de aceptar usuarios reales</w:t>
      </w:r>
    </w:p>
    <w:p>
      <w:pPr>
        <w:pStyle w:val="ListNumber"/>
      </w:pPr>
      <w:r>
        <w:t>Conseguir versiones oficiales actuales de Código Civil y Procesal Civil; revisar artículos de alimentos por un especialista.</w:t>
      </w:r>
    </w:p>
    <w:p>
      <w:pPr>
        <w:pStyle w:val="ListNumber"/>
      </w:pPr>
      <w:r>
        <w:t>Obtener el formulario oficial vigente y mapear cada campo obligatorio/condicional a tu estructura.</w:t>
      </w:r>
    </w:p>
    <w:p>
      <w:pPr>
        <w:pStyle w:val="ListNumber"/>
      </w:pPr>
      <w:r>
        <w:t>Validar procedimiento y canal: juzgado/corte, presentación por MPE o formulario web, PDF admisible y firma exigida.</w:t>
      </w:r>
    </w:p>
    <w:p>
      <w:pPr>
        <w:pStyle w:val="ListNumber"/>
      </w:pPr>
      <w:r>
        <w:t>Establecer un acuerdo de revisión jurídica de reglas, plantillas y casos de exclusión.</w:t>
      </w:r>
    </w:p>
    <w:p>
      <w:pPr>
        <w:pStyle w:val="ListNumber"/>
      </w:pPr>
      <w:r>
        <w:t>Completar evaluación de tratamiento de datos de menores y de transferencia a proveedores externos.</w:t>
      </w:r>
    </w:p>
    <w:p>
      <w:pPr>
        <w:pStyle w:val="ListNumber"/>
      </w:pPr>
      <w:r>
        <w:t>Definir respaldo, retención de casos y eliminación de archivos.</w:t>
      </w:r>
    </w:p>
    <w:p>
      <w:pPr>
        <w:pStyle w:val="ListNumber"/>
      </w:pPr>
      <w:r>
        <w:t>Confirmar derechos de descarga, extracción y reutilización de cada fuente legal.</w:t>
      </w:r>
    </w:p>
    <w:p>
      <w:pPr>
        <w:pStyle w:val="ListNumber"/>
      </w:pPr>
      <w:r>
        <w:t>Definir si la app permitirá anónimos o exige registro antes de almacenar datos.</w:t>
      </w:r>
    </w:p>
    <w:p>
      <w:pPr>
        <w:pStyle w:val="ListNumber"/>
      </w:pPr>
      <w:r>
        <w:t>Establecer costos operativos y política de acceso si se comercializa.</w:t>
      </w:r>
    </w:p>
    <w:p>
      <w:pPr>
        <w:pStyle w:val="ListNumber"/>
      </w:pPr>
      <w:r>
        <w:t>Crear pruebas automatizadas con expedientes totalmente ficticios.</w:t>
      </w:r>
    </w:p>
    <w:p>
      <w:pPr>
        <w:pStyle w:val="Callout"/>
      </w:pPr>
      <w:r>
        <w:t>RECOMENDACIÓN FINAL: el PDF de Código Civil 2015 no alcanza. Antes del primer caso real, completar y verificar el corpus mínimo de alimentos, validar la plantilla y proteger los datos. Sí puedes empezar a programar hoy con Groq y PostgreSQL usando expedientes ficticios.</w:t>
      </w:r>
    </w:p>
    <w:p>
      <w:pPr>
        <w:pStyle w:val="Heading1"/>
      </w:pPr>
      <w:r>
        <w:t>13. Fuentes y enlaces de implementación</w:t>
      </w:r>
    </w:p>
    <w:p>
      <w:pPr>
        <w:pStyle w:val="SmallText"/>
      </w:pPr>
      <w:r>
        <w:t>Referencias verificadas el 07/10/2026. La fecha de una página no garantiza que su texto íntegro siga vigente. Revisar siempre el contenido normativo efectivo y condiciones de uso.</w:t>
      </w:r>
    </w:p>
    <w:p>
      <w:pPr>
        <w:pStyle w:val="SmallText"/>
      </w:pPr>
      <w:r>
        <w:t xml:space="preserve">[S1] Congreso: Ley 31464, texto consolidado: </w:t>
      </w:r>
      <w:hyperlink r:id="rId11">
        <w:r>
          <w:rPr>
            <w:color w:val="007775"/>
            <w:u w:val="single"/>
          </w:rPr>
          <w:t>enlace oficial / documentación</w:t>
        </w:r>
      </w:hyperlink>
    </w:p>
    <w:p>
      <w:pPr>
        <w:pStyle w:val="SmallText"/>
      </w:pPr>
      <w:r>
        <w:t xml:space="preserve">[S2] SPIJ - MINJUSDH, acceso y consulta: </w:t>
      </w:r>
      <w:hyperlink r:id="rId12">
        <w:r>
          <w:rPr>
            <w:color w:val="007775"/>
            <w:u w:val="single"/>
          </w:rPr>
          <w:t>enlace oficial / documentación</w:t>
        </w:r>
      </w:hyperlink>
    </w:p>
    <w:p>
      <w:pPr>
        <w:pStyle w:val="SmallText"/>
      </w:pPr>
      <w:r>
        <w:t xml:space="preserve">[S3] Poder Judicial, formatos de alimentos: </w:t>
      </w:r>
      <w:hyperlink r:id="rId13">
        <w:r>
          <w:rPr>
            <w:color w:val="007775"/>
            <w:u w:val="single"/>
          </w:rPr>
          <w:t>enlace oficial / documentación</w:t>
        </w:r>
      </w:hyperlink>
    </w:p>
    <w:p>
      <w:pPr>
        <w:pStyle w:val="SmallText"/>
      </w:pPr>
      <w:r>
        <w:t xml:space="preserve">[S4] Poder Judicial, Demanda de Alimentos Web: </w:t>
      </w:r>
      <w:hyperlink r:id="rId14">
        <w:r>
          <w:rPr>
            <w:color w:val="007775"/>
            <w:u w:val="single"/>
          </w:rPr>
          <w:t>enlace oficial / documentación</w:t>
        </w:r>
      </w:hyperlink>
    </w:p>
    <w:p>
      <w:pPr>
        <w:pStyle w:val="SmallText"/>
      </w:pPr>
      <w:r>
        <w:t xml:space="preserve">[S5] MIMP, Código de los Niños y Adolescentes (publicación 2026): </w:t>
      </w:r>
      <w:hyperlink r:id="rId15">
        <w:r>
          <w:rPr>
            <w:color w:val="007775"/>
            <w:u w:val="single"/>
          </w:rPr>
          <w:t>enlace oficial / documentación</w:t>
        </w:r>
      </w:hyperlink>
    </w:p>
    <w:p>
      <w:pPr>
        <w:pStyle w:val="SmallText"/>
      </w:pPr>
      <w:r>
        <w:t xml:space="preserve">[S6] Groq, modelos disponibles: </w:t>
      </w:r>
      <w:hyperlink r:id="rId16">
        <w:r>
          <w:rPr>
            <w:color w:val="007775"/>
            <w:u w:val="single"/>
          </w:rPr>
          <w:t>enlace oficial / documentación</w:t>
        </w:r>
      </w:hyperlink>
    </w:p>
    <w:p>
      <w:pPr>
        <w:pStyle w:val="SmallText"/>
      </w:pPr>
      <w:r>
        <w:t xml:space="preserve">[S7] Groq, límites del plan gratuito: </w:t>
      </w:r>
      <w:hyperlink r:id="rId17">
        <w:r>
          <w:rPr>
            <w:color w:val="007775"/>
            <w:u w:val="single"/>
          </w:rPr>
          <w:t>enlace oficial / documentación</w:t>
        </w:r>
      </w:hyperlink>
    </w:p>
    <w:p>
      <w:pPr>
        <w:pStyle w:val="SmallText"/>
      </w:pPr>
      <w:r>
        <w:t xml:space="preserve">[S8] Reglamento peruano de datos personales, D.S. 016-2024-JUS: </w:t>
      </w:r>
      <w:hyperlink r:id="rId18">
        <w:r>
          <w:rPr>
            <w:color w:val="007775"/>
            <w:u w:val="single"/>
          </w:rPr>
          <w:t>enlace oficial / documentación</w:t>
        </w:r>
      </w:hyperlink>
    </w:p>
    <w:p>
      <w:pPr>
        <w:pStyle w:val="SmallText"/>
      </w:pPr>
      <w:r>
        <w:t xml:space="preserve">[S9] Supabase, pgvector y filtros: </w:t>
      </w:r>
      <w:hyperlink r:id="rId19">
        <w:r>
          <w:rPr>
            <w:color w:val="007775"/>
            <w:u w:val="single"/>
          </w:rPr>
          <w:t>enlace oficial / documentación</w:t>
        </w:r>
      </w:hyperlink>
    </w:p>
    <w:p>
      <w:pPr>
        <w:pStyle w:val="SmallText"/>
      </w:pPr>
      <w:r>
        <w:t xml:space="preserve">[S10] Groq, retención de datos: </w:t>
      </w:r>
      <w:hyperlink r:id="rId20">
        <w:r>
          <w:rPr>
            <w:color w:val="007775"/>
            <w:u w:val="single"/>
          </w:rPr>
          <w:t>enlace oficial / documentación</w:t>
        </w:r>
      </w:hyperlink>
    </w:p>
    <w:p>
      <w:pPr>
        <w:pStyle w:val="SmallText"/>
      </w:pPr>
      <w:r>
        <w:t xml:space="preserve">[S11] Supabase, cuotas y facturación: </w:t>
      </w:r>
      <w:hyperlink r:id="rId21">
        <w:r>
          <w:rPr>
            <w:color w:val="007775"/>
            <w:u w:val="single"/>
          </w:rPr>
          <w:t>enlace oficial / documentación</w:t>
        </w:r>
      </w:hyperlink>
    </w:p>
    <w:p>
      <w:pPr>
        <w:pStyle w:val="SmallText"/>
      </w:pPr>
      <w:r>
        <w:t xml:space="preserve">[S12] SPIJ, dataset abierto de metadatos: </w:t>
      </w:r>
      <w:hyperlink r:id="rId22">
        <w:r>
          <w:rPr>
            <w:color w:val="007775"/>
            <w:u w:val="single"/>
          </w:rPr>
          <w:t>enlace oficial / documentación</w:t>
        </w:r>
      </w:hyperlink>
    </w:p>
    <w:p>
      <w:pPr>
        <w:pStyle w:val="SmallText"/>
      </w:pPr>
      <w:r>
        <w:t xml:space="preserve">[S13] Poder Judicial, tutoriales de MPE: </w:t>
      </w:r>
      <w:hyperlink r:id="rId23">
        <w:r>
          <w:rPr>
            <w:color w:val="007775"/>
            <w:u w:val="single"/>
          </w:rPr>
          <w:t>enlace oficial / documentación</w:t>
        </w:r>
      </w:hyperlink>
    </w:p>
    <w:p>
      <w:pPr>
        <w:pStyle w:val="SmallText"/>
      </w:pPr>
      <w:r>
        <w:t xml:space="preserve">[S14] Ley 27337, ficha del Congreso: </w:t>
      </w:r>
      <w:hyperlink r:id="rId24">
        <w:r>
          <w:rPr>
            <w:color w:val="007775"/>
            <w:u w:val="single"/>
          </w:rPr>
          <w:t>enlace oficial / documentación</w:t>
        </w:r>
      </w:hyperlink>
    </w:p>
    <w:p>
      <w:pPr>
        <w:pStyle w:val="SmallText"/>
      </w:pPr>
      <w:r>
        <w:t xml:space="preserve">[S15] Texto actualizado de Constitución 2025: </w:t>
      </w:r>
      <w:hyperlink r:id="rId25">
        <w:r>
          <w:rPr>
            <w:color w:val="007775"/>
            <w:u w:val="single"/>
          </w:rPr>
          <w:t>enlace oficial / documentación</w:t>
        </w:r>
      </w:hyperlink>
    </w:p>
    <w:p>
      <w:pPr>
        <w:pStyle w:val="SmallText"/>
      </w:pPr>
      <w:r>
        <w:t xml:space="preserve">[S16] Poder Judicial, guía del trámite virtual: </w:t>
      </w:r>
      <w:hyperlink r:id="rId26">
        <w:r>
          <w:rPr>
            <w:color w:val="007775"/>
            <w:u w:val="single"/>
          </w:rPr>
          <w:t>enlace oficial / documentación</w:t>
        </w:r>
      </w:hyperlink>
    </w:p>
    <w:p>
      <w:pPr>
        <w:pStyle w:val="SmallText"/>
      </w:pPr>
      <w:r>
        <w:t xml:space="preserve">[S17] El Peruano, normas legales actualizadas: </w:t>
      </w:r>
      <w:hyperlink r:id="rId27">
        <w:r>
          <w:rPr>
            <w:color w:val="007775"/>
            <w:u w:val="single"/>
          </w:rPr>
          <w:t>enlace oficial / documentación</w:t>
        </w:r>
      </w:hyperlink>
    </w:p>
    <w:p>
      <w:pPr>
        <w:pStyle w:val="SmallText"/>
      </w:pPr>
      <w:r>
        <w:t>Archivo entregado por el usuario: Codigo-Civil.pdf, Decreto Legislativo N.º 295, MINJUSDH, decimosexta edición (marzo 2015); actualización declarada al 1 de marzo de 2015, guía del lector p. 15. No es una versión consolidada de 2026.</w:t>
      </w:r>
    </w:p>
    <w:sectPr w:rsidR="00FC693F" w:rsidRPr="0006063C" w:rsidSect="00034616">
      <w:headerReference w:type="default" r:id="rId9"/>
      <w:footerReference w:type="default" r:id="rId10"/>
      <w:pgSz w:w="11909" w:h="16834"/>
      <w:pgMar w:top="1008" w:right="1195" w:bottom="893" w:left="1195" w:header="518"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A76"/>
        <w:sz w:val="16"/>
      </w:rPr>
      <w:t xml:space="preserve">Documento de planificación  •  07 octubre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pPr>
    <w:r>
      <w:rPr>
        <w:color w:val="007775"/>
      </w:rPr>
      <w:t>PROYECTO LEGALTECH  |  ESPECIFICACIÓN DEL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831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32C4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32C44"/>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77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32C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rPr>
      <w:color w:val="5E6A76"/>
      <w:sz w:val="16"/>
    </w:rPr>
  </w:style>
  <w:style w:type="paragraph" w:customStyle="1" w:styleId="Callout">
    <w:name w:val="Callout"/>
    <w:basedOn w:val="Normal"/>
    <w:pPr>
      <w:spacing w:before="80" w:after="140"/>
    </w:pPr>
    <w:rPr>
      <w:b/>
      <w:color w:val="132C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yes.congreso.gob.pe/Documentos/2021_2026/ADLP/Texto_Consolidado/31464-TXM.pdf" TargetMode="External"/><Relationship Id="rId12" Type="http://schemas.openxmlformats.org/officeDocument/2006/relationships/hyperlink" Target="https://www.gob.pe/748-sistema-peruano-de-informacion-juridica-spij" TargetMode="External"/><Relationship Id="rId13" Type="http://schemas.openxmlformats.org/officeDocument/2006/relationships/hyperlink" Target="https://www.pj.gob.pe/wps/wcm/connect/CorteSuprema/s_cortes_suprema_home/as_servicios/as_enlaces_de_interes/as_orientacion_juridica_usuario/as_formatos/" TargetMode="External"/><Relationship Id="rId14" Type="http://schemas.openxmlformats.org/officeDocument/2006/relationships/hyperlink" Target="https://dalimentos.pj.gob.pe/cortes/limanorte/demanda/1" TargetMode="External"/><Relationship Id="rId15" Type="http://schemas.openxmlformats.org/officeDocument/2006/relationships/hyperlink" Target="https://www.gob.pe/institucion/mimp/informes-publicaciones/7858302-codigo-de-los-ninos-y-adolescentes" TargetMode="External"/><Relationship Id="rId16" Type="http://schemas.openxmlformats.org/officeDocument/2006/relationships/hyperlink" Target="https://console.groq.com/docs/models" TargetMode="External"/><Relationship Id="rId17" Type="http://schemas.openxmlformats.org/officeDocument/2006/relationships/hyperlink" Target="https://console.groq.com/docs/rate-limits" TargetMode="External"/><Relationship Id="rId18" Type="http://schemas.openxmlformats.org/officeDocument/2006/relationships/hyperlink" Target="https://www.gob.pe/institucion/anpd/normas-legales/6554453-n-016-2024-jus" TargetMode="External"/><Relationship Id="rId19" Type="http://schemas.openxmlformats.org/officeDocument/2006/relationships/hyperlink" Target="https://supabase.com/docs/guides/database/extensions/pgvector" TargetMode="External"/><Relationship Id="rId20" Type="http://schemas.openxmlformats.org/officeDocument/2006/relationships/hyperlink" Target="https://console.groq.com/docs/your-data" TargetMode="External"/><Relationship Id="rId21" Type="http://schemas.openxmlformats.org/officeDocument/2006/relationships/hyperlink" Target="https://supabase.com/docs/guides/platform/billing-on-supabase" TargetMode="External"/><Relationship Id="rId22" Type="http://schemas.openxmlformats.org/officeDocument/2006/relationships/hyperlink" Target="https://www.datosabiertos.gob.pe/dataset/sistematizaci%C3%B3n-de-normas-legales-en-el-sistema-peruano-de-informaci%C3%B3n-jur%C3%ADdica-spij-desde" TargetMode="External"/><Relationship Id="rId23" Type="http://schemas.openxmlformats.org/officeDocument/2006/relationships/hyperlink" Target="https://www.pj.gob.pe/wps/wcm/connect/eje/s_eje2/as_manuales/as_videos_tutor" TargetMode="External"/><Relationship Id="rId24" Type="http://schemas.openxmlformats.org/officeDocument/2006/relationships/hyperlink" Target="https://www.gob.pe/institucion/congreso-de-la-republica/normas-legales/3366849-27337" TargetMode="External"/><Relationship Id="rId25" Type="http://schemas.openxmlformats.org/officeDocument/2006/relationships/hyperlink" Target="https://www.gob.pe/institucion/minjus/informes-publicaciones/7498785-vigesima-primera-edicion-oficial-de-la-constitucion-politica-del-peru-bolsillo-actualizada-al-05-de-diciembre-de-2025" TargetMode="External"/><Relationship Id="rId26" Type="http://schemas.openxmlformats.org/officeDocument/2006/relationships/hyperlink" Target="https://www.gob.pe/50555-presentar-una-demanda-por-pension-de-alimentos-ante-la-corte-superior-de-justicia?child=26607" TargetMode="External"/><Relationship Id="rId27" Type="http://schemas.openxmlformats.org/officeDocument/2006/relationships/hyperlink" Target="https://diariooficial.elperuano.pe/normas/normasactualizad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integral del MVP - Asistente legal IA Perú</dc:title>
  <dc:subject>Historias de usuario, corpus normativo, RAG, Groq, PostgreSQL y PDF</dc:subject>
  <dc:creator>Documento de trabajo</dc:creator>
  <cp:keywords/>
  <dc:description>generated by python-docx</dc:description>
  <cp:lastModifiedBy/>
  <cp:revision>1</cp:revision>
  <dcterms:created xsi:type="dcterms:W3CDTF">2013-12-23T23:15:00Z</dcterms:created>
  <dcterms:modified xsi:type="dcterms:W3CDTF">2013-12-23T23:15:00Z</dcterms:modified>
  <cp:category/>
</cp:coreProperties>
</file>