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actualizada para exponer</w:t>
        <w:br/>
        <w:t>el proyecto GNN Autoencoder</w:t>
      </w:r>
    </w:p>
    <w:p>
      <w:pPr>
        <w:pStyle w:val="Subtitle"/>
      </w:pPr>
      <w:r>
        <w:t>Código de los dos escenarios evaluación temporal y explicabilidad SHAP</w:t>
      </w:r>
    </w:p>
    <w:p>
      <w:r>
        <w:t>Beteta Paucar Brandon Jonathan</w:t>
        <w:br/>
        <w:t>Seminario de Investigación 1 · 12 de octubre de 2026</w:t>
      </w:r>
    </w:p>
    <w:p>
      <w:pPr>
        <w:pStyle w:val="Heading2"/>
      </w:pPr>
      <w:r>
        <w:t>Estado del proyecto ejecutable</w:t>
      </w:r>
    </w:p>
    <w:p>
      <w:r>
        <w:t>La ruta actual implementa los seis objetivos específicos: preparación, grafo causal, cuatro modelos, métricas, costo separado y SHAP. Se ejecutaron los cuatro modelos en ambos escenarios con tres semillas, se verificaron sus evidencias y se generaron explicaciones del híbrido. Esto completa el alcance computacional de estas ventanas; no significa que la tesis o una validación de producción estén concluidas.</w:t>
      </w:r>
    </w:p>
    <w:p>
      <w:r>
        <w:t>Esta guía reemplaza la explicación del avance anterior, donde SHAP y la comparación mejorada aún figuraban como pendientes. Conserva los resultados de corridas anteriores solo como antecedentes; las tablas siguientes pertenecen exclusivamente a la corrida actual.</w:t>
      </w:r>
    </w:p>
    <w:p>
      <w:r>
        <w:t>Corrida de evidencia: thesis_v1_20261012_154354. Auditoría: 24 resultados, mismas particiones por dataset, checkpoints y umbrales congelados, métricas reproducidas.</w:t>
      </w:r>
    </w:p>
    <w:p>
      <w:pPr>
        <w:pStyle w:val="Heading2"/>
      </w:pPr>
      <w:r>
        <w:t>Apertura de la exposición</w:t>
      </w:r>
    </w:p>
    <w:p>
      <w:r>
        <w:rPr>
          <w:i/>
        </w:rPr>
        <w:t>Qué decir  «Evalué una arquitectura que combina contexto relacional, representación tabular y reconstrucción de un Autoencoder. Utilicé un pipeline común en IEEE-CIS y PaySim, adapté sus relaciones, comparé cuatro modelos y expliqué predicciones del híbrido mediante SHAP. El resultado científico depende del escenario; la arquitectura no garantiza ganar.»</w:t>
      </w:r>
    </w:p>
    <w:p>
      <w:r>
        <w:t>Duración sugerida: 30 a 40 minutos. Presenta los objetivos, los datos, el grafo, cada modelo, el entrenamiento y la evaluación; cierra con SHAP y una demostración de resultados guardados.</w:t>
      </w:r>
    </w:p>
    <w:p>
      <w:r>
        <w:br w:type="page"/>
      </w:r>
    </w:p>
    <w:p>
      <w:pPr>
        <w:pStyle w:val="Heading1"/>
      </w:pPr>
      <w:r>
        <w:t>Objetivos y evidencias de cumplimiento</w:t>
      </w:r>
    </w:p>
    <w:p>
      <w:r>
        <w:t>El objetivo general es evaluar el híbrido frente a modelos individuales y una referencia bajo condiciones comparables. Una evaluación puede cumplir el objetivo aunque el híbrido no sea el mejor modelo.</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816"/>
        <w:gridCol w:w="2592"/>
        <w:gridCol w:w="3384"/>
      </w:tblGrid>
      <w:tr>
        <w:trPr>
          <w:tblHeader/>
        </w:trPr>
        <w:tc>
          <w:tcPr>
            <w:tcW w:type="dxa" w:w="3816"/>
            <w:shd w:fill="EEEEEE"/>
            <w:vAlign w:val="center"/>
            <w:tcMar>
              <w:top w:w="85" w:type="dxa"/>
              <w:bottom w:w="85" w:type="dxa"/>
              <w:left w:w="85" w:type="dxa"/>
              <w:right w:w="85" w:type="dxa"/>
            </w:tcMar>
          </w:tcPr>
          <w:p>
            <w:pPr>
              <w:spacing w:after="60"/>
            </w:pPr>
            <w:r>
              <w:rPr>
                <w:b/>
                <w:sz w:val="20"/>
              </w:rPr>
              <w:t>Objetivo específico</w:t>
            </w:r>
          </w:p>
        </w:tc>
        <w:tc>
          <w:tcPr>
            <w:tcW w:type="dxa" w:w="2592"/>
            <w:shd w:fill="EEEEEE"/>
            <w:vAlign w:val="center"/>
            <w:tcMar>
              <w:top w:w="85" w:type="dxa"/>
              <w:bottom w:w="85" w:type="dxa"/>
              <w:left w:w="85" w:type="dxa"/>
              <w:right w:w="85" w:type="dxa"/>
            </w:tcMar>
          </w:tcPr>
          <w:p>
            <w:pPr>
              <w:spacing w:after="60"/>
              <w:jc w:val="center"/>
            </w:pPr>
            <w:r>
              <w:rPr>
                <w:b/>
                <w:sz w:val="20"/>
              </w:rPr>
              <w:t>Componente</w:t>
            </w:r>
          </w:p>
        </w:tc>
        <w:tc>
          <w:tcPr>
            <w:tcW w:type="dxa" w:w="3384"/>
            <w:shd w:fill="EEEEEE"/>
            <w:vAlign w:val="center"/>
            <w:tcMar>
              <w:top w:w="85" w:type="dxa"/>
              <w:bottom w:w="85" w:type="dxa"/>
              <w:left w:w="85" w:type="dxa"/>
              <w:right w:w="85" w:type="dxa"/>
            </w:tcMar>
          </w:tcPr>
          <w:p>
            <w:pPr>
              <w:spacing w:after="60"/>
              <w:jc w:val="center"/>
            </w:pPr>
            <w:r>
              <w:rPr>
                <w:b/>
                <w:sz w:val="20"/>
              </w:rPr>
              <w:t>Evidencia</w:t>
            </w:r>
          </w:p>
        </w:tc>
      </w:tr>
      <w:tr>
        <w:tc>
          <w:tcPr>
            <w:tcW w:type="dxa" w:w="3816"/>
            <w:vAlign w:val="center"/>
            <w:tcMar>
              <w:top w:w="85" w:type="dxa"/>
              <w:bottom w:w="85" w:type="dxa"/>
              <w:left w:w="85" w:type="dxa"/>
              <w:right w:w="85" w:type="dxa"/>
            </w:tcMar>
          </w:tcPr>
          <w:p>
            <w:pPr>
              <w:spacing w:after="60"/>
            </w:pPr>
            <w:r>
              <w:rPr>
                <w:sz w:val="20"/>
              </w:rPr>
              <w:t>1 Caracterizar y preprocesar ambos datasets</w:t>
            </w:r>
          </w:p>
        </w:tc>
        <w:tc>
          <w:tcPr>
            <w:tcW w:type="dxa" w:w="2592"/>
            <w:vAlign w:val="center"/>
            <w:tcMar>
              <w:top w:w="85" w:type="dxa"/>
              <w:bottom w:w="85" w:type="dxa"/>
              <w:left w:w="85" w:type="dxa"/>
              <w:right w:w="85" w:type="dxa"/>
            </w:tcMar>
          </w:tcPr>
          <w:p>
            <w:pPr>
              <w:spacing w:after="60"/>
              <w:jc w:val="center"/>
            </w:pPr>
            <w:r>
              <w:rPr>
                <w:sz w:val="20"/>
              </w:rPr>
              <w:t>src/data y preparación</w:t>
            </w:r>
          </w:p>
        </w:tc>
        <w:tc>
          <w:tcPr>
            <w:tcW w:type="dxa" w:w="3384"/>
            <w:vAlign w:val="center"/>
            <w:tcMar>
              <w:top w:w="85" w:type="dxa"/>
              <w:bottom w:w="85" w:type="dxa"/>
              <w:left w:w="85" w:type="dxa"/>
              <w:right w:w="85" w:type="dxa"/>
            </w:tcMar>
          </w:tcPr>
          <w:p>
            <w:pPr>
              <w:spacing w:after="60"/>
              <w:jc w:val="center"/>
            </w:pPr>
            <w:r>
              <w:rPr>
                <w:sz w:val="20"/>
              </w:rPr>
              <w:t>Variables retenidas, faltantes, tiempos y conteos</w:t>
            </w:r>
          </w:p>
        </w:tc>
      </w:tr>
      <w:tr>
        <w:tc>
          <w:tcPr>
            <w:tcW w:type="dxa" w:w="3816"/>
            <w:vAlign w:val="center"/>
            <w:tcMar>
              <w:top w:w="85" w:type="dxa"/>
              <w:bottom w:w="85" w:type="dxa"/>
              <w:left w:w="85" w:type="dxa"/>
              <w:right w:w="85" w:type="dxa"/>
            </w:tcMar>
          </w:tcPr>
          <w:p>
            <w:pPr>
              <w:spacing w:after="60"/>
            </w:pPr>
            <w:r>
              <w:rPr>
                <w:sz w:val="20"/>
              </w:rPr>
              <w:t>2 Construir relaciones adaptadas</w:t>
            </w:r>
          </w:p>
        </w:tc>
        <w:tc>
          <w:tcPr>
            <w:tcW w:type="dxa" w:w="2592"/>
            <w:vAlign w:val="center"/>
            <w:tcMar>
              <w:top w:w="85" w:type="dxa"/>
              <w:bottom w:w="85" w:type="dxa"/>
              <w:left w:w="85" w:type="dxa"/>
              <w:right w:w="85" w:type="dxa"/>
            </w:tcMar>
          </w:tcPr>
          <w:p>
            <w:pPr>
              <w:spacing w:after="60"/>
              <w:jc w:val="center"/>
            </w:pPr>
            <w:r>
              <w:rPr>
                <w:sz w:val="20"/>
              </w:rPr>
              <w:t>temporal_graph.py</w:t>
            </w:r>
          </w:p>
        </w:tc>
        <w:tc>
          <w:tcPr>
            <w:tcW w:type="dxa" w:w="3384"/>
            <w:vAlign w:val="center"/>
            <w:tcMar>
              <w:top w:w="85" w:type="dxa"/>
              <w:bottom w:w="85" w:type="dxa"/>
              <w:left w:w="85" w:type="dxa"/>
              <w:right w:w="85" w:type="dxa"/>
            </w:tcMar>
          </w:tcPr>
          <w:p>
            <w:pPr>
              <w:spacing w:after="60"/>
              <w:jc w:val="center"/>
            </w:pPr>
            <w:r>
              <w:rPr>
                <w:sz w:val="20"/>
              </w:rPr>
              <w:t>Grafo de transacciones pasado a presente</w:t>
            </w:r>
          </w:p>
        </w:tc>
      </w:tr>
      <w:tr>
        <w:tc>
          <w:tcPr>
            <w:tcW w:type="dxa" w:w="3816"/>
            <w:vAlign w:val="center"/>
            <w:tcMar>
              <w:top w:w="85" w:type="dxa"/>
              <w:bottom w:w="85" w:type="dxa"/>
              <w:left w:w="85" w:type="dxa"/>
              <w:right w:w="85" w:type="dxa"/>
            </w:tcMar>
          </w:tcPr>
          <w:p>
            <w:pPr>
              <w:spacing w:after="60"/>
            </w:pPr>
            <w:r>
              <w:rPr>
                <w:sz w:val="20"/>
              </w:rPr>
              <w:t>3 Implementar cuatro modelos comparables</w:t>
            </w:r>
          </w:p>
        </w:tc>
        <w:tc>
          <w:tcPr>
            <w:tcW w:type="dxa" w:w="2592"/>
            <w:vAlign w:val="center"/>
            <w:tcMar>
              <w:top w:w="85" w:type="dxa"/>
              <w:bottom w:w="85" w:type="dxa"/>
              <w:left w:w="85" w:type="dxa"/>
              <w:right w:w="85" w:type="dxa"/>
            </w:tcMar>
          </w:tcPr>
          <w:p>
            <w:pPr>
              <w:spacing w:after="60"/>
              <w:jc w:val="center"/>
            </w:pPr>
            <w:r>
              <w:rPr>
                <w:sz w:val="20"/>
              </w:rPr>
              <w:t>src/models y thesis_experiment.py</w:t>
            </w:r>
          </w:p>
        </w:tc>
        <w:tc>
          <w:tcPr>
            <w:tcW w:type="dxa" w:w="3384"/>
            <w:vAlign w:val="center"/>
            <w:tcMar>
              <w:top w:w="85" w:type="dxa"/>
              <w:bottom w:w="85" w:type="dxa"/>
              <w:left w:w="85" w:type="dxa"/>
              <w:right w:w="85" w:type="dxa"/>
            </w:tcMar>
          </w:tcPr>
          <w:p>
            <w:pPr>
              <w:spacing w:after="60"/>
              <w:jc w:val="center"/>
            </w:pPr>
            <w:r>
              <w:rPr>
                <w:sz w:val="20"/>
              </w:rPr>
              <w:t>Cuatro modelos por dataset y semilla</w:t>
            </w:r>
          </w:p>
        </w:tc>
      </w:tr>
      <w:tr>
        <w:tc>
          <w:tcPr>
            <w:tcW w:type="dxa" w:w="3816"/>
            <w:vAlign w:val="center"/>
            <w:tcMar>
              <w:top w:w="85" w:type="dxa"/>
              <w:bottom w:w="85" w:type="dxa"/>
              <w:left w:w="85" w:type="dxa"/>
              <w:right w:w="85" w:type="dxa"/>
            </w:tcMar>
          </w:tcPr>
          <w:p>
            <w:pPr>
              <w:spacing w:after="60"/>
            </w:pPr>
            <w:r>
              <w:rPr>
                <w:sz w:val="20"/>
              </w:rPr>
              <w:t>4 Comparar AP Precision Recall F1</w:t>
            </w:r>
          </w:p>
        </w:tc>
        <w:tc>
          <w:tcPr>
            <w:tcW w:type="dxa" w:w="2592"/>
            <w:vAlign w:val="center"/>
            <w:tcMar>
              <w:top w:w="85" w:type="dxa"/>
              <w:bottom w:w="85" w:type="dxa"/>
              <w:left w:w="85" w:type="dxa"/>
              <w:right w:w="85" w:type="dxa"/>
            </w:tcMar>
          </w:tcPr>
          <w:p>
            <w:pPr>
              <w:spacing w:after="60"/>
              <w:jc w:val="center"/>
            </w:pPr>
            <w:r>
              <w:rPr>
                <w:sz w:val="20"/>
              </w:rPr>
              <w:t>src/evaluation</w:t>
            </w:r>
          </w:p>
        </w:tc>
        <w:tc>
          <w:tcPr>
            <w:tcW w:type="dxa" w:w="3384"/>
            <w:vAlign w:val="center"/>
            <w:tcMar>
              <w:top w:w="85" w:type="dxa"/>
              <w:bottom w:w="85" w:type="dxa"/>
              <w:left w:w="85" w:type="dxa"/>
              <w:right w:w="85" w:type="dxa"/>
            </w:tcMar>
          </w:tcPr>
          <w:p>
            <w:pPr>
              <w:spacing w:after="60"/>
              <w:jc w:val="center"/>
            </w:pPr>
            <w:r>
              <w:rPr>
                <w:sz w:val="20"/>
              </w:rPr>
              <w:t>Scores, umbrales, métricas y auditoría</w:t>
            </w:r>
          </w:p>
        </w:tc>
      </w:tr>
      <w:tr>
        <w:tc>
          <w:tcPr>
            <w:tcW w:type="dxa" w:w="3816"/>
            <w:vAlign w:val="center"/>
            <w:tcMar>
              <w:top w:w="85" w:type="dxa"/>
              <w:bottom w:w="85" w:type="dxa"/>
              <w:left w:w="85" w:type="dxa"/>
              <w:right w:w="85" w:type="dxa"/>
            </w:tcMar>
          </w:tcPr>
          <w:p>
            <w:pPr>
              <w:spacing w:after="60"/>
            </w:pPr>
            <w:r>
              <w:rPr>
                <w:sz w:val="20"/>
              </w:rPr>
              <w:t>5 Evaluar costo computacional</w:t>
            </w:r>
          </w:p>
        </w:tc>
        <w:tc>
          <w:tcPr>
            <w:tcW w:type="dxa" w:w="2592"/>
            <w:vAlign w:val="center"/>
            <w:tcMar>
              <w:top w:w="85" w:type="dxa"/>
              <w:bottom w:w="85" w:type="dxa"/>
              <w:left w:w="85" w:type="dxa"/>
              <w:right w:w="85" w:type="dxa"/>
            </w:tcMar>
          </w:tcPr>
          <w:p>
            <w:pPr>
              <w:spacing w:after="60"/>
              <w:jc w:val="center"/>
            </w:pPr>
            <w:r>
              <w:rPr>
                <w:sz w:val="20"/>
              </w:rPr>
              <w:t>Entrenadores y evaluación</w:t>
            </w:r>
          </w:p>
        </w:tc>
        <w:tc>
          <w:tcPr>
            <w:tcW w:type="dxa" w:w="3384"/>
            <w:vAlign w:val="center"/>
            <w:tcMar>
              <w:top w:w="85" w:type="dxa"/>
              <w:bottom w:w="85" w:type="dxa"/>
              <w:left w:w="85" w:type="dxa"/>
              <w:right w:w="85" w:type="dxa"/>
            </w:tcMar>
          </w:tcPr>
          <w:p>
            <w:pPr>
              <w:spacing w:after="60"/>
              <w:jc w:val="center"/>
            </w:pPr>
            <w:r>
              <w:rPr>
                <w:sz w:val="20"/>
              </w:rPr>
              <w:t>Optimización, validación e inferencia separadas</w:t>
            </w:r>
          </w:p>
        </w:tc>
      </w:tr>
      <w:tr>
        <w:tc>
          <w:tcPr>
            <w:tcW w:type="dxa" w:w="3816"/>
            <w:vAlign w:val="center"/>
            <w:tcMar>
              <w:top w:w="85" w:type="dxa"/>
              <w:bottom w:w="85" w:type="dxa"/>
              <w:left w:w="85" w:type="dxa"/>
              <w:right w:w="85" w:type="dxa"/>
            </w:tcMar>
          </w:tcPr>
          <w:p>
            <w:pPr>
              <w:spacing w:after="60"/>
            </w:pPr>
            <w:r>
              <w:rPr>
                <w:sz w:val="20"/>
              </w:rPr>
              <w:t>6 Incorporar explicabilidad SHAP</w:t>
            </w:r>
          </w:p>
        </w:tc>
        <w:tc>
          <w:tcPr>
            <w:tcW w:type="dxa" w:w="2592"/>
            <w:vAlign w:val="center"/>
            <w:tcMar>
              <w:top w:w="85" w:type="dxa"/>
              <w:bottom w:w="85" w:type="dxa"/>
              <w:left w:w="85" w:type="dxa"/>
              <w:right w:w="85" w:type="dxa"/>
            </w:tcMar>
          </w:tcPr>
          <w:p>
            <w:pPr>
              <w:spacing w:after="60"/>
              <w:jc w:val="center"/>
            </w:pPr>
            <w:r>
              <w:rPr>
                <w:sz w:val="20"/>
              </w:rPr>
              <w:t>src/explainability</w:t>
            </w:r>
          </w:p>
        </w:tc>
        <w:tc>
          <w:tcPr>
            <w:tcW w:type="dxa" w:w="3384"/>
            <w:vAlign w:val="center"/>
            <w:tcMar>
              <w:top w:w="85" w:type="dxa"/>
              <w:bottom w:w="85" w:type="dxa"/>
              <w:left w:w="85" w:type="dxa"/>
              <w:right w:w="85" w:type="dxa"/>
            </w:tcMar>
          </w:tcPr>
          <w:p>
            <w:pPr>
              <w:spacing w:after="60"/>
              <w:jc w:val="center"/>
            </w:pPr>
            <w:r>
              <w:rPr>
                <w:sz w:val="20"/>
              </w:rPr>
              <w:t>Valores, ranking de muestra y casos locales</w:t>
            </w:r>
          </w:p>
        </w:tc>
      </w:tr>
    </w:tbl>
    <w:p/>
    <w:p>
      <w:pPr>
        <w:pStyle w:val="Heading2"/>
      </w:pPr>
      <w:r>
        <w:t>Lo que debes actualizar en la redacción metodológica</w:t>
      </w:r>
    </w:p>
    <w:p>
      <w:r>
        <w:t>Los cortes temporales reales son explícitos y no siempre equivalen a 70/15/15. Indica las ventanas y sus cantidades exactas. Aclara que PaySim principal excluye todos los saldos y que IEEE utiliza un grafo proxy. Describe SHAP como una explicación de atributos de la transacción condicionada al contexto histórico fijo.</w:t>
      </w:r>
    </w:p>
    <w:p>
      <w:pPr>
        <w:pStyle w:val="Heading2"/>
      </w:pPr>
      <w:r>
        <w:t>Límites que se mantienen</w:t>
      </w:r>
    </w:p>
    <w:p>
      <w:r>
        <w:t>No se ejecuta toda la data original, no se evalúa transferencia IEEE → PaySim y no se establece superioridad estadística con tres semillas del mismo período. Los nuevos bloques son posteriores al piloto registrado, pero no se puede certificar acceso histórico externo. Es necesario reportar estas condiciones.</w:t>
      </w:r>
    </w:p>
    <w:p>
      <w:r>
        <w:rPr>
          <w:i/>
        </w:rPr>
        <w:t>Qué decir  «La contribución es la implementación y evaluación comparable del enfoque y su explicación. Si un modelo simple gana, lo reporto; no modifico el test para que la hipótesis salga favorable.»</w:t>
      </w:r>
    </w:p>
    <w:p>
      <w:r>
        <w:br w:type="page"/>
      </w:r>
    </w:p>
    <w:p>
      <w:pPr>
        <w:pStyle w:val="Heading1"/>
      </w:pPr>
      <w:r>
        <w:t>Organización y ruta del código</w:t>
      </w:r>
    </w:p>
    <w:p>
      <w:r>
        <w:rPr>
          <w:rFonts w:ascii="Consolas" w:hAnsi="Consolas"/>
          <w:sz w:val="18"/>
        </w:rPr>
        <w:t>configs/              escenarios base</w:t>
        <w:br/>
        <w:t>data/raw/             CSV originales</w:t>
        <w:br/>
        <w:t>src/data/             carga y preparación</w:t>
        <w:br/>
        <w:t>src/graph/            aristas y subgrafos causales</w:t>
        <w:br/>
        <w:t>src/models/           baseline AE GNN e híbrido</w:t>
        <w:br/>
        <w:t>src/training/         pérdidas optimización y lotes</w:t>
        <w:br/>
        <w:t>src/explainability/   SHAP del híbrido real</w:t>
        <w:br/>
        <w:t>outputs/thesis_v1_... evidencias de la corrida</w:t>
      </w:r>
    </w:p>
    <w:p>
      <w:r>
        <w:t>Abre primero thesis_experiment.py: build_thesis_config fija las ventanas y variables; create_run guarda el protocolo; train_run aprende los modelos y fija decisiones; evaluate_run produce las métricas; audit_run comprueba integridad; explain_run ejecuta SHAP.</w:t>
      </w:r>
    </w:p>
    <w:p>
      <w:r>
        <w:t>prepare_experiment en run_experiment.py centraliza carga, división temporal, ajuste del preprocesador, matrices y grafos. Este componente se reutiliza para todos los modelos del escenario.</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84"/>
        <w:gridCol w:w="6408"/>
      </w:tblGrid>
      <w:tr>
        <w:trPr>
          <w:tblHeader/>
        </w:trPr>
        <w:tc>
          <w:tcPr>
            <w:tcW w:type="dxa" w:w="3384"/>
            <w:shd w:fill="EEEEEE"/>
            <w:vAlign w:val="center"/>
            <w:tcMar>
              <w:top w:w="85" w:type="dxa"/>
              <w:bottom w:w="85" w:type="dxa"/>
              <w:left w:w="85" w:type="dxa"/>
              <w:right w:w="85" w:type="dxa"/>
            </w:tcMar>
          </w:tcPr>
          <w:p>
            <w:pPr>
              <w:spacing w:after="60"/>
            </w:pPr>
            <w:r>
              <w:rPr>
                <w:b/>
                <w:sz w:val="20"/>
              </w:rPr>
              <w:t>Orden de exposición</w:t>
            </w:r>
          </w:p>
        </w:tc>
        <w:tc>
          <w:tcPr>
            <w:tcW w:type="dxa" w:w="6408"/>
            <w:shd w:fill="EEEEEE"/>
            <w:vAlign w:val="center"/>
            <w:tcMar>
              <w:top w:w="85" w:type="dxa"/>
              <w:bottom w:w="85" w:type="dxa"/>
              <w:left w:w="85" w:type="dxa"/>
              <w:right w:w="85" w:type="dxa"/>
            </w:tcMar>
          </w:tcPr>
          <w:p>
            <w:pPr>
              <w:spacing w:after="60"/>
              <w:jc w:val="center"/>
            </w:pPr>
            <w:r>
              <w:rPr>
                <w:b/>
                <w:sz w:val="20"/>
              </w:rPr>
              <w:t>Código a mostrar</w:t>
            </w:r>
          </w:p>
        </w:tc>
      </w:tr>
      <w:tr>
        <w:tc>
          <w:tcPr>
            <w:tcW w:type="dxa" w:w="3384"/>
            <w:vAlign w:val="center"/>
            <w:tcMar>
              <w:top w:w="85" w:type="dxa"/>
              <w:bottom w:w="85" w:type="dxa"/>
              <w:left w:w="85" w:type="dxa"/>
              <w:right w:w="85" w:type="dxa"/>
            </w:tcMar>
          </w:tcPr>
          <w:p>
            <w:pPr>
              <w:spacing w:after="60"/>
            </w:pPr>
            <w:r>
              <w:rPr>
                <w:sz w:val="20"/>
              </w:rPr>
              <w:t>Carga y variables</w:t>
            </w:r>
          </w:p>
        </w:tc>
        <w:tc>
          <w:tcPr>
            <w:tcW w:type="dxa" w:w="6408"/>
            <w:vAlign w:val="center"/>
            <w:tcMar>
              <w:top w:w="85" w:type="dxa"/>
              <w:bottom w:w="85" w:type="dxa"/>
              <w:left w:w="85" w:type="dxa"/>
              <w:right w:w="85" w:type="dxa"/>
            </w:tcMar>
          </w:tcPr>
          <w:p>
            <w:pPr>
              <w:spacing w:after="60"/>
              <w:jc w:val="center"/>
            </w:pPr>
            <w:r>
              <w:rPr>
                <w:sz w:val="20"/>
              </w:rPr>
              <w:t>src/data/loaders.py</w:t>
            </w:r>
          </w:p>
        </w:tc>
      </w:tr>
      <w:tr>
        <w:tc>
          <w:tcPr>
            <w:tcW w:type="dxa" w:w="3384"/>
            <w:vAlign w:val="center"/>
            <w:tcMar>
              <w:top w:w="85" w:type="dxa"/>
              <w:bottom w:w="85" w:type="dxa"/>
              <w:left w:w="85" w:type="dxa"/>
              <w:right w:w="85" w:type="dxa"/>
            </w:tcMar>
          </w:tcPr>
          <w:p>
            <w:pPr>
              <w:spacing w:after="60"/>
            </w:pPr>
            <w:r>
              <w:rPr>
                <w:sz w:val="20"/>
              </w:rPr>
              <w:t>Particiones y transformación</w:t>
            </w:r>
          </w:p>
        </w:tc>
        <w:tc>
          <w:tcPr>
            <w:tcW w:type="dxa" w:w="6408"/>
            <w:vAlign w:val="center"/>
            <w:tcMar>
              <w:top w:w="85" w:type="dxa"/>
              <w:bottom w:w="85" w:type="dxa"/>
              <w:left w:w="85" w:type="dxa"/>
              <w:right w:w="85" w:type="dxa"/>
            </w:tcMar>
          </w:tcPr>
          <w:p>
            <w:pPr>
              <w:spacing w:after="60"/>
              <w:jc w:val="center"/>
            </w:pPr>
            <w:r>
              <w:rPr>
                <w:sz w:val="20"/>
              </w:rPr>
              <w:t>temporal_split.py y preprocessing.py</w:t>
            </w:r>
          </w:p>
        </w:tc>
      </w:tr>
      <w:tr>
        <w:tc>
          <w:tcPr>
            <w:tcW w:type="dxa" w:w="3384"/>
            <w:vAlign w:val="center"/>
            <w:tcMar>
              <w:top w:w="85" w:type="dxa"/>
              <w:bottom w:w="85" w:type="dxa"/>
              <w:left w:w="85" w:type="dxa"/>
              <w:right w:w="85" w:type="dxa"/>
            </w:tcMar>
          </w:tcPr>
          <w:p>
            <w:pPr>
              <w:spacing w:after="60"/>
            </w:pPr>
            <w:r>
              <w:rPr>
                <w:sz w:val="20"/>
              </w:rPr>
              <w:t>Relaciones</w:t>
            </w:r>
          </w:p>
        </w:tc>
        <w:tc>
          <w:tcPr>
            <w:tcW w:type="dxa" w:w="6408"/>
            <w:vAlign w:val="center"/>
            <w:tcMar>
              <w:top w:w="85" w:type="dxa"/>
              <w:bottom w:w="85" w:type="dxa"/>
              <w:left w:w="85" w:type="dxa"/>
              <w:right w:w="85" w:type="dxa"/>
            </w:tcMar>
          </w:tcPr>
          <w:p>
            <w:pPr>
              <w:spacing w:after="60"/>
              <w:jc w:val="center"/>
            </w:pPr>
            <w:r>
              <w:rPr>
                <w:sz w:val="20"/>
              </w:rPr>
              <w:t>src/graph/temporal_graph.py</w:t>
            </w:r>
          </w:p>
        </w:tc>
      </w:tr>
      <w:tr>
        <w:tc>
          <w:tcPr>
            <w:tcW w:type="dxa" w:w="3384"/>
            <w:vAlign w:val="center"/>
            <w:tcMar>
              <w:top w:w="85" w:type="dxa"/>
              <w:bottom w:w="85" w:type="dxa"/>
              <w:left w:w="85" w:type="dxa"/>
              <w:right w:w="85" w:type="dxa"/>
            </w:tcMar>
          </w:tcPr>
          <w:p>
            <w:pPr>
              <w:spacing w:after="60"/>
            </w:pPr>
            <w:r>
              <w:rPr>
                <w:sz w:val="20"/>
              </w:rPr>
              <w:t>Arquitecturas</w:t>
            </w:r>
          </w:p>
        </w:tc>
        <w:tc>
          <w:tcPr>
            <w:tcW w:type="dxa" w:w="6408"/>
            <w:vAlign w:val="center"/>
            <w:tcMar>
              <w:top w:w="85" w:type="dxa"/>
              <w:bottom w:w="85" w:type="dxa"/>
              <w:left w:w="85" w:type="dxa"/>
              <w:right w:w="85" w:type="dxa"/>
            </w:tcMar>
          </w:tcPr>
          <w:p>
            <w:pPr>
              <w:spacing w:after="60"/>
              <w:jc w:val="center"/>
            </w:pPr>
            <w:r>
              <w:rPr>
                <w:sz w:val="20"/>
              </w:rPr>
              <w:t>src/models/</w:t>
            </w:r>
          </w:p>
        </w:tc>
      </w:tr>
      <w:tr>
        <w:tc>
          <w:tcPr>
            <w:tcW w:type="dxa" w:w="3384"/>
            <w:vAlign w:val="center"/>
            <w:tcMar>
              <w:top w:w="85" w:type="dxa"/>
              <w:bottom w:w="85" w:type="dxa"/>
              <w:left w:w="85" w:type="dxa"/>
              <w:right w:w="85" w:type="dxa"/>
            </w:tcMar>
          </w:tcPr>
          <w:p>
            <w:pPr>
              <w:spacing w:after="60"/>
            </w:pPr>
            <w:r>
              <w:rPr>
                <w:sz w:val="20"/>
              </w:rPr>
              <w:t>Aprendizaje</w:t>
            </w:r>
          </w:p>
        </w:tc>
        <w:tc>
          <w:tcPr>
            <w:tcW w:type="dxa" w:w="6408"/>
            <w:vAlign w:val="center"/>
            <w:tcMar>
              <w:top w:w="85" w:type="dxa"/>
              <w:bottom w:w="85" w:type="dxa"/>
              <w:left w:w="85" w:type="dxa"/>
              <w:right w:w="85" w:type="dxa"/>
            </w:tcMar>
          </w:tcPr>
          <w:p>
            <w:pPr>
              <w:spacing w:after="60"/>
              <w:jc w:val="center"/>
            </w:pPr>
            <w:r>
              <w:rPr>
                <w:sz w:val="20"/>
              </w:rPr>
              <w:t>torch_trainer.py graph_batches.py gnn_batches.py</w:t>
            </w:r>
          </w:p>
        </w:tc>
      </w:tr>
      <w:tr>
        <w:tc>
          <w:tcPr>
            <w:tcW w:type="dxa" w:w="3384"/>
            <w:vAlign w:val="center"/>
            <w:tcMar>
              <w:top w:w="85" w:type="dxa"/>
              <w:bottom w:w="85" w:type="dxa"/>
              <w:left w:w="85" w:type="dxa"/>
              <w:right w:w="85" w:type="dxa"/>
            </w:tcMar>
          </w:tcPr>
          <w:p>
            <w:pPr>
              <w:spacing w:after="60"/>
            </w:pPr>
            <w:r>
              <w:rPr>
                <w:sz w:val="20"/>
              </w:rPr>
              <w:t>Prueba y evidencia</w:t>
            </w:r>
          </w:p>
        </w:tc>
        <w:tc>
          <w:tcPr>
            <w:tcW w:type="dxa" w:w="6408"/>
            <w:vAlign w:val="center"/>
            <w:tcMar>
              <w:top w:w="85" w:type="dxa"/>
              <w:bottom w:w="85" w:type="dxa"/>
              <w:left w:w="85" w:type="dxa"/>
              <w:right w:w="85" w:type="dxa"/>
            </w:tcMar>
          </w:tcPr>
          <w:p>
            <w:pPr>
              <w:spacing w:after="60"/>
              <w:jc w:val="center"/>
            </w:pPr>
            <w:r>
              <w:rPr>
                <w:sz w:val="20"/>
              </w:rPr>
              <w:t>thesis_experiment.py y metrics.py</w:t>
            </w:r>
          </w:p>
        </w:tc>
      </w:tr>
      <w:tr>
        <w:tc>
          <w:tcPr>
            <w:tcW w:type="dxa" w:w="3384"/>
            <w:vAlign w:val="center"/>
            <w:tcMar>
              <w:top w:w="85" w:type="dxa"/>
              <w:bottom w:w="85" w:type="dxa"/>
              <w:left w:w="85" w:type="dxa"/>
              <w:right w:w="85" w:type="dxa"/>
            </w:tcMar>
          </w:tcPr>
          <w:p>
            <w:pPr>
              <w:spacing w:after="60"/>
            </w:pPr>
            <w:r>
              <w:rPr>
                <w:sz w:val="20"/>
              </w:rPr>
              <w:t>Explicabilidad</w:t>
            </w:r>
          </w:p>
        </w:tc>
        <w:tc>
          <w:tcPr>
            <w:tcW w:type="dxa" w:w="6408"/>
            <w:vAlign w:val="center"/>
            <w:tcMar>
              <w:top w:w="85" w:type="dxa"/>
              <w:bottom w:w="85" w:type="dxa"/>
              <w:left w:w="85" w:type="dxa"/>
              <w:right w:w="85" w:type="dxa"/>
            </w:tcMar>
          </w:tcPr>
          <w:p>
            <w:pPr>
              <w:spacing w:after="60"/>
              <w:jc w:val="center"/>
            </w:pPr>
            <w:r>
              <w:rPr>
                <w:sz w:val="20"/>
              </w:rPr>
              <w:t>conditional_shap.py y report.py</w:t>
            </w:r>
          </w:p>
        </w:tc>
      </w:tr>
    </w:tbl>
    <w:p/>
    <w:p>
      <w:r>
        <w:rPr>
          <w:i/>
        </w:rPr>
        <w:t>Qué decir  «Tengo dos escenarios dentro de un mismo proyecto. Las configuraciones y claves relacionales son distintas; los modelos y criterios de evaluación son compartidos. No son dos implementaciones desconectadas.»</w:t>
      </w:r>
    </w:p>
    <w:p>
      <w:r>
        <w:br w:type="page"/>
      </w:r>
    </w:p>
    <w:p>
      <w:pPr>
        <w:pStyle w:val="Heading1"/>
      </w:pPr>
      <w:r>
        <w:t>Datos utilizados y particiones cronológicas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304"/>
        <w:gridCol w:w="2304"/>
        <w:gridCol w:w="2304"/>
      </w:tblGrid>
      <w:tr>
        <w:trPr>
          <w:tblHeader/>
        </w:trPr>
        <w:tc>
          <w:tcPr>
            <w:tcW w:type="dxa" w:w="2880"/>
            <w:shd w:fill="EEEEEE"/>
            <w:vAlign w:val="center"/>
            <w:tcMar>
              <w:top w:w="85" w:type="dxa"/>
              <w:bottom w:w="85" w:type="dxa"/>
              <w:left w:w="85" w:type="dxa"/>
              <w:right w:w="85" w:type="dxa"/>
            </w:tcMar>
          </w:tcPr>
          <w:p>
            <w:pPr>
              <w:spacing w:after="60"/>
            </w:pPr>
            <w:r>
              <w:rPr>
                <w:b/>
                <w:sz w:val="20"/>
              </w:rPr>
              <w:t>Escenario</w:t>
            </w:r>
          </w:p>
        </w:tc>
        <w:tc>
          <w:tcPr>
            <w:tcW w:type="dxa" w:w="2304"/>
            <w:shd w:fill="EEEEEE"/>
            <w:vAlign w:val="center"/>
            <w:tcMar>
              <w:top w:w="85" w:type="dxa"/>
              <w:bottom w:w="85" w:type="dxa"/>
              <w:left w:w="85" w:type="dxa"/>
              <w:right w:w="85" w:type="dxa"/>
            </w:tcMar>
          </w:tcPr>
          <w:p>
            <w:pPr>
              <w:spacing w:after="60"/>
              <w:jc w:val="center"/>
            </w:pPr>
            <w:r>
              <w:rPr>
                <w:b/>
                <w:sz w:val="20"/>
              </w:rPr>
              <w:t>Train</w:t>
            </w:r>
          </w:p>
        </w:tc>
        <w:tc>
          <w:tcPr>
            <w:tcW w:type="dxa" w:w="2304"/>
            <w:shd w:fill="EEEEEE"/>
            <w:vAlign w:val="center"/>
            <w:tcMar>
              <w:top w:w="85" w:type="dxa"/>
              <w:bottom w:w="85" w:type="dxa"/>
              <w:left w:w="85" w:type="dxa"/>
              <w:right w:w="85" w:type="dxa"/>
            </w:tcMar>
          </w:tcPr>
          <w:p>
            <w:pPr>
              <w:spacing w:after="60"/>
              <w:jc w:val="center"/>
            </w:pPr>
            <w:r>
              <w:rPr>
                <w:b/>
                <w:sz w:val="20"/>
              </w:rPr>
              <w:t>Validación</w:t>
            </w:r>
          </w:p>
        </w:tc>
        <w:tc>
          <w:tcPr>
            <w:tcW w:type="dxa" w:w="2304"/>
            <w:shd w:fill="EEEEEE"/>
            <w:vAlign w:val="center"/>
            <w:tcMar>
              <w:top w:w="85" w:type="dxa"/>
              <w:bottom w:w="85" w:type="dxa"/>
              <w:left w:w="85" w:type="dxa"/>
              <w:right w:w="85" w:type="dxa"/>
            </w:tcMar>
          </w:tcPr>
          <w:p>
            <w:pPr>
              <w:spacing w:after="60"/>
              <w:jc w:val="center"/>
            </w:pPr>
            <w:r>
              <w:rPr>
                <w:b/>
                <w:sz w:val="20"/>
              </w:rPr>
              <w:t>Test</w:t>
            </w:r>
          </w:p>
        </w:tc>
      </w:tr>
      <w:tr>
        <w:tc>
          <w:tcPr>
            <w:tcW w:type="dxa" w:w="2880"/>
            <w:vAlign w:val="center"/>
            <w:tcMar>
              <w:top w:w="85" w:type="dxa"/>
              <w:bottom w:w="85" w:type="dxa"/>
              <w:left w:w="85" w:type="dxa"/>
              <w:right w:w="85" w:type="dxa"/>
            </w:tcMar>
          </w:tcPr>
          <w:p>
            <w:pPr>
              <w:spacing w:after="60"/>
            </w:pPr>
            <w:r>
              <w:rPr>
                <w:sz w:val="20"/>
              </w:rPr>
              <w:t>IEEE-CIS días</w:t>
            </w:r>
          </w:p>
        </w:tc>
        <w:tc>
          <w:tcPr>
            <w:tcW w:type="dxa" w:w="2304"/>
            <w:vAlign w:val="center"/>
            <w:tcMar>
              <w:top w:w="85" w:type="dxa"/>
              <w:bottom w:w="85" w:type="dxa"/>
              <w:left w:w="85" w:type="dxa"/>
              <w:right w:w="85" w:type="dxa"/>
            </w:tcMar>
          </w:tcPr>
          <w:p>
            <w:pPr>
              <w:spacing w:after="60"/>
              <w:jc w:val="center"/>
            </w:pPr>
            <w:r>
              <w:rPr>
                <w:sz w:val="20"/>
              </w:rPr>
              <w:t>[30,50)</w:t>
            </w:r>
          </w:p>
        </w:tc>
        <w:tc>
          <w:tcPr>
            <w:tcW w:type="dxa" w:w="2304"/>
            <w:vAlign w:val="center"/>
            <w:tcMar>
              <w:top w:w="85" w:type="dxa"/>
              <w:bottom w:w="85" w:type="dxa"/>
              <w:left w:w="85" w:type="dxa"/>
              <w:right w:w="85" w:type="dxa"/>
            </w:tcMar>
          </w:tcPr>
          <w:p>
            <w:pPr>
              <w:spacing w:after="60"/>
              <w:jc w:val="center"/>
            </w:pPr>
            <w:r>
              <w:rPr>
                <w:sz w:val="20"/>
              </w:rPr>
              <w:t>[50,60)</w:t>
            </w:r>
          </w:p>
        </w:tc>
        <w:tc>
          <w:tcPr>
            <w:tcW w:type="dxa" w:w="2304"/>
            <w:vAlign w:val="center"/>
            <w:tcMar>
              <w:top w:w="85" w:type="dxa"/>
              <w:bottom w:w="85" w:type="dxa"/>
              <w:left w:w="85" w:type="dxa"/>
              <w:right w:w="85" w:type="dxa"/>
            </w:tcMar>
          </w:tcPr>
          <w:p>
            <w:pPr>
              <w:spacing w:after="60"/>
              <w:jc w:val="center"/>
            </w:pPr>
            <w:r>
              <w:rPr>
                <w:sz w:val="20"/>
              </w:rPr>
              <w:t>[60,75)</w:t>
            </w:r>
          </w:p>
        </w:tc>
      </w:tr>
      <w:tr>
        <w:tc>
          <w:tcPr>
            <w:tcW w:type="dxa" w:w="2880"/>
            <w:vAlign w:val="center"/>
            <w:tcMar>
              <w:top w:w="85" w:type="dxa"/>
              <w:bottom w:w="85" w:type="dxa"/>
              <w:left w:w="85" w:type="dxa"/>
              <w:right w:w="85" w:type="dxa"/>
            </w:tcMar>
          </w:tcPr>
          <w:p>
            <w:pPr>
              <w:spacing w:after="60"/>
            </w:pPr>
            <w:r>
              <w:rPr>
                <w:sz w:val="20"/>
              </w:rPr>
              <w:t>PaySim pasos</w:t>
            </w:r>
          </w:p>
        </w:tc>
        <w:tc>
          <w:tcPr>
            <w:tcW w:type="dxa" w:w="2304"/>
            <w:vAlign w:val="center"/>
            <w:tcMar>
              <w:top w:w="85" w:type="dxa"/>
              <w:bottom w:w="85" w:type="dxa"/>
              <w:left w:w="85" w:type="dxa"/>
              <w:right w:w="85" w:type="dxa"/>
            </w:tcMar>
          </w:tcPr>
          <w:p>
            <w:pPr>
              <w:spacing w:after="60"/>
              <w:jc w:val="center"/>
            </w:pPr>
            <w:r>
              <w:rPr>
                <w:sz w:val="20"/>
              </w:rPr>
              <w:t>1–16</w:t>
            </w:r>
          </w:p>
        </w:tc>
        <w:tc>
          <w:tcPr>
            <w:tcW w:type="dxa" w:w="2304"/>
            <w:vAlign w:val="center"/>
            <w:tcMar>
              <w:top w:w="85" w:type="dxa"/>
              <w:bottom w:w="85" w:type="dxa"/>
              <w:left w:w="85" w:type="dxa"/>
              <w:right w:w="85" w:type="dxa"/>
            </w:tcMar>
          </w:tcPr>
          <w:p>
            <w:pPr>
              <w:spacing w:after="60"/>
              <w:jc w:val="center"/>
            </w:pPr>
            <w:r>
              <w:rPr>
                <w:sz w:val="20"/>
              </w:rPr>
              <w:t>17–24</w:t>
            </w:r>
          </w:p>
        </w:tc>
        <w:tc>
          <w:tcPr>
            <w:tcW w:type="dxa" w:w="2304"/>
            <w:vAlign w:val="center"/>
            <w:tcMar>
              <w:top w:w="85" w:type="dxa"/>
              <w:bottom w:w="85" w:type="dxa"/>
              <w:left w:w="85" w:type="dxa"/>
              <w:right w:w="85" w:type="dxa"/>
            </w:tcMar>
          </w:tcPr>
          <w:p>
            <w:pPr>
              <w:spacing w:after="60"/>
              <w:jc w:val="center"/>
            </w:pPr>
            <w:r>
              <w:rPr>
                <w:sz w:val="20"/>
              </w:rPr>
              <w:t>25–72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736"/>
        <w:gridCol w:w="2736"/>
        <w:gridCol w:w="2880"/>
      </w:tblGrid>
      <w:tr>
        <w:trPr>
          <w:tblHeader/>
        </w:trPr>
        <w:tc>
          <w:tcPr>
            <w:tcW w:type="dxa" w:w="1440"/>
            <w:shd w:fill="EEEEEE"/>
            <w:vAlign w:val="center"/>
            <w:tcMar>
              <w:top w:w="85" w:type="dxa"/>
              <w:bottom w:w="85" w:type="dxa"/>
              <w:left w:w="85" w:type="dxa"/>
              <w:right w:w="85" w:type="dxa"/>
            </w:tcMar>
          </w:tcPr>
          <w:p>
            <w:pPr>
              <w:spacing w:after="60"/>
            </w:pPr>
            <w:r>
              <w:rPr>
                <w:b/>
                <w:sz w:val="20"/>
              </w:rPr>
              <w:t>Dataset</w:t>
            </w:r>
          </w:p>
        </w:tc>
        <w:tc>
          <w:tcPr>
            <w:tcW w:type="dxa" w:w="2736"/>
            <w:shd w:fill="EEEEEE"/>
            <w:vAlign w:val="center"/>
            <w:tcMar>
              <w:top w:w="85" w:type="dxa"/>
              <w:bottom w:w="85" w:type="dxa"/>
              <w:left w:w="85" w:type="dxa"/>
              <w:right w:w="85" w:type="dxa"/>
            </w:tcMar>
          </w:tcPr>
          <w:p>
            <w:pPr>
              <w:spacing w:after="60"/>
              <w:jc w:val="center"/>
            </w:pPr>
            <w:r>
              <w:rPr>
                <w:b/>
                <w:sz w:val="20"/>
              </w:rPr>
              <w:t>Train</w:t>
            </w:r>
          </w:p>
        </w:tc>
        <w:tc>
          <w:tcPr>
            <w:tcW w:type="dxa" w:w="2736"/>
            <w:shd w:fill="EEEEEE"/>
            <w:vAlign w:val="center"/>
            <w:tcMar>
              <w:top w:w="85" w:type="dxa"/>
              <w:bottom w:w="85" w:type="dxa"/>
              <w:left w:w="85" w:type="dxa"/>
              <w:right w:w="85" w:type="dxa"/>
            </w:tcMar>
          </w:tcPr>
          <w:p>
            <w:pPr>
              <w:spacing w:after="60"/>
              <w:jc w:val="center"/>
            </w:pPr>
            <w:r>
              <w:rPr>
                <w:b/>
                <w:sz w:val="20"/>
              </w:rPr>
              <w:t>Validación</w:t>
            </w:r>
          </w:p>
        </w:tc>
        <w:tc>
          <w:tcPr>
            <w:tcW w:type="dxa" w:w="2880"/>
            <w:shd w:fill="EEEEEE"/>
            <w:vAlign w:val="center"/>
            <w:tcMar>
              <w:top w:w="85" w:type="dxa"/>
              <w:bottom w:w="85" w:type="dxa"/>
              <w:left w:w="85" w:type="dxa"/>
              <w:right w:w="85" w:type="dxa"/>
            </w:tcMar>
          </w:tcPr>
          <w:p>
            <w:pPr>
              <w:spacing w:after="60"/>
              <w:jc w:val="center"/>
            </w:pPr>
            <w:r>
              <w:rPr>
                <w:b/>
                <w:sz w:val="20"/>
              </w:rPr>
              <w:t>Test</w:t>
            </w:r>
          </w:p>
        </w:tc>
      </w:tr>
      <w:tr>
        <w:tc>
          <w:tcPr>
            <w:tcW w:type="dxa" w:w="1440"/>
            <w:vAlign w:val="center"/>
            <w:tcMar>
              <w:top w:w="85" w:type="dxa"/>
              <w:bottom w:w="85" w:type="dxa"/>
              <w:left w:w="85" w:type="dxa"/>
              <w:right w:w="85" w:type="dxa"/>
            </w:tcMar>
          </w:tcPr>
          <w:p>
            <w:pPr>
              <w:spacing w:after="60"/>
            </w:pPr>
            <w:r>
              <w:rPr>
                <w:sz w:val="20"/>
              </w:rPr>
              <w:t>IEEE</w:t>
            </w:r>
          </w:p>
        </w:tc>
        <w:tc>
          <w:tcPr>
            <w:tcW w:type="dxa" w:w="2736"/>
            <w:vAlign w:val="center"/>
            <w:tcMar>
              <w:top w:w="85" w:type="dxa"/>
              <w:bottom w:w="85" w:type="dxa"/>
              <w:left w:w="85" w:type="dxa"/>
              <w:right w:w="85" w:type="dxa"/>
            </w:tcMar>
          </w:tcPr>
          <w:p>
            <w:pPr>
              <w:spacing w:after="60"/>
              <w:jc w:val="center"/>
            </w:pPr>
            <w:r>
              <w:rPr>
                <w:sz w:val="20"/>
              </w:rPr>
              <w:t>61,720 operaciones</w:t>
              <w:br/>
              <w:t>2,386 fraudes</w:t>
            </w:r>
          </w:p>
        </w:tc>
        <w:tc>
          <w:tcPr>
            <w:tcW w:type="dxa" w:w="2736"/>
            <w:vAlign w:val="center"/>
            <w:tcMar>
              <w:top w:w="85" w:type="dxa"/>
              <w:bottom w:w="85" w:type="dxa"/>
              <w:left w:w="85" w:type="dxa"/>
              <w:right w:w="85" w:type="dxa"/>
            </w:tcMar>
          </w:tcPr>
          <w:p>
            <w:pPr>
              <w:spacing w:after="60"/>
              <w:jc w:val="center"/>
            </w:pPr>
            <w:r>
              <w:rPr>
                <w:sz w:val="20"/>
              </w:rPr>
              <w:t>28,118 operaciones</w:t>
              <w:br/>
              <w:t>1,241 fraudes</w:t>
            </w:r>
          </w:p>
        </w:tc>
        <w:tc>
          <w:tcPr>
            <w:tcW w:type="dxa" w:w="2880"/>
            <w:vAlign w:val="center"/>
            <w:tcMar>
              <w:top w:w="85" w:type="dxa"/>
              <w:bottom w:w="85" w:type="dxa"/>
              <w:left w:w="85" w:type="dxa"/>
              <w:right w:w="85" w:type="dxa"/>
            </w:tcMar>
          </w:tcPr>
          <w:p>
            <w:pPr>
              <w:spacing w:after="60"/>
              <w:jc w:val="center"/>
            </w:pPr>
            <w:r>
              <w:rPr>
                <w:sz w:val="20"/>
              </w:rPr>
              <w:t>47,046 operaciones</w:t>
              <w:br/>
              <w:t>2,045 fraudes</w:t>
            </w:r>
          </w:p>
        </w:tc>
      </w:tr>
      <w:tr>
        <w:tc>
          <w:tcPr>
            <w:tcW w:type="dxa" w:w="1440"/>
            <w:vAlign w:val="center"/>
            <w:tcMar>
              <w:top w:w="85" w:type="dxa"/>
              <w:bottom w:w="85" w:type="dxa"/>
              <w:left w:w="85" w:type="dxa"/>
              <w:right w:w="85" w:type="dxa"/>
            </w:tcMar>
          </w:tcPr>
          <w:p>
            <w:pPr>
              <w:spacing w:after="60"/>
            </w:pPr>
            <w:r>
              <w:rPr>
                <w:sz w:val="20"/>
              </w:rPr>
              <w:t>PAYSIM</w:t>
            </w:r>
          </w:p>
        </w:tc>
        <w:tc>
          <w:tcPr>
            <w:tcW w:type="dxa" w:w="2736"/>
            <w:vAlign w:val="center"/>
            <w:tcMar>
              <w:top w:w="85" w:type="dxa"/>
              <w:bottom w:w="85" w:type="dxa"/>
              <w:left w:w="85" w:type="dxa"/>
              <w:right w:w="85" w:type="dxa"/>
            </w:tcMar>
          </w:tcPr>
          <w:p>
            <w:pPr>
              <w:spacing w:after="60"/>
              <w:jc w:val="center"/>
            </w:pPr>
            <w:r>
              <w:rPr>
                <w:sz w:val="20"/>
              </w:rPr>
              <w:t>348,191 operaciones</w:t>
              <w:br/>
              <w:t>197 fraudes</w:t>
            </w:r>
          </w:p>
        </w:tc>
        <w:tc>
          <w:tcPr>
            <w:tcW w:type="dxa" w:w="2736"/>
            <w:vAlign w:val="center"/>
            <w:tcMar>
              <w:top w:w="85" w:type="dxa"/>
              <w:bottom w:w="85" w:type="dxa"/>
              <w:left w:w="85" w:type="dxa"/>
              <w:right w:w="85" w:type="dxa"/>
            </w:tcMar>
          </w:tcPr>
          <w:p>
            <w:pPr>
              <w:spacing w:after="60"/>
              <w:jc w:val="center"/>
            </w:pPr>
            <w:r>
              <w:rPr>
                <w:sz w:val="20"/>
              </w:rPr>
              <w:t>226,064 operaciones</w:t>
              <w:br/>
              <w:t>74 fraudes</w:t>
            </w:r>
          </w:p>
        </w:tc>
        <w:tc>
          <w:tcPr>
            <w:tcW w:type="dxa" w:w="2880"/>
            <w:vAlign w:val="center"/>
            <w:tcMar>
              <w:top w:w="85" w:type="dxa"/>
              <w:bottom w:w="85" w:type="dxa"/>
              <w:left w:w="85" w:type="dxa"/>
              <w:right w:w="85" w:type="dxa"/>
            </w:tcMar>
          </w:tcPr>
          <w:p>
            <w:pPr>
              <w:spacing w:after="60"/>
              <w:jc w:val="center"/>
            </w:pPr>
            <w:r>
              <w:rPr>
                <w:sz w:val="20"/>
              </w:rPr>
              <w:t>456,308 operaciones</w:t>
              <w:br/>
              <w:t>619 fraudes</w:t>
            </w:r>
          </w:p>
        </w:tc>
      </w:tr>
    </w:tbl>
    <w:p/>
    <w:p>
      <w:r>
        <w:t>En IEEE se unen train_transaction y train_identity por TransactionID. La etiqueta isFraud está en el archivo etiquetado. El test de investigación es su partición temporal; no son los archivos test oficiales de Kaggle sin etiqueta.</w:t>
      </w:r>
    </w:p>
    <w:p>
      <w:r>
        <w:t>PaySim contiene transacciones sintéticas, monto, tipo, pasos horarios y cuentas de origen/destino. Las cuentas conectan transacciones y permiten historial estrictamente anterior. Las operaciones de la misma hora no se informan entre sí.</w:t>
      </w:r>
    </w:p>
    <w:p>
      <w:r>
        <w:rPr>
          <w:i/>
        </w:rPr>
        <w:t>Qué decir  «Entreno con el pasado, elijo decisiones con validación y evalúo en un período posterior. No uso una partición aleatoria como prueba principal. Tampoco llamo test nuevo al período que ya utilicé para mejorar el modelo.»</w:t>
      </w:r>
    </w:p>
    <w:p>
      <w:r>
        <w:t>La configuración se congeló antes de preparar datos. Se guardaron hashes de los CSV, código y parámetros. Es una comprobación local de reproducibilidad, no una certificación de que estos registros nunca se hayan visto fuera del proyecto.</w:t>
      </w:r>
    </w:p>
    <w:p>
      <w:r>
        <w:br w:type="page"/>
      </w:r>
    </w:p>
    <w:p>
      <w:pPr>
        <w:pStyle w:val="Heading1"/>
      </w:pPr>
      <w:r>
        <w:t>Preprocesamiento sin ajustar con prueba</w:t>
      </w:r>
    </w:p>
    <w:p>
      <w:r>
        <w:t>Abre TabularPreprocessor. fit aprende columnas válidas, medianas de imputación, medias y desviaciones, frecuencias y categorías únicamente con train. transform aplica esos parámetros a validación y test sin reaprenderlos.</w:t>
      </w:r>
    </w:p>
    <w:p>
      <w:r>
        <w:rPr>
          <w:rFonts w:ascii="Consolas" w:hAnsi="Consolas"/>
          <w:sz w:val="18"/>
        </w:rPr>
        <w:t>preprocessor.fit(train)</w:t>
        <w:br/>
        <w:t>X_train = preprocessor.transform(train)</w:t>
        <w:br/>
        <w:t>X_val = preprocessor.transform(validation)</w:t>
        <w:br/>
        <w:t>X_test = preprocessor.transform(test)</w:t>
      </w:r>
    </w:p>
    <w:p>
      <w:r>
        <w:t>El fragmento expresa la regla del pipeline. Los numéricos se imputan y escalan; el monto usa transformación logarítmica. La versión enriquecida conserva frecuencias categóricas, añade hasta 16 categorías frecuentes por campo e indicadores de faltantes; limita magnitudes estandarizadas a 10.</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6912"/>
      </w:tblGrid>
      <w:tr>
        <w:trPr>
          <w:tblHeader/>
        </w:trPr>
        <w:tc>
          <w:tcPr>
            <w:tcW w:type="dxa" w:w="2880"/>
            <w:shd w:fill="EEEEEE"/>
            <w:vAlign w:val="center"/>
            <w:tcMar>
              <w:top w:w="85" w:type="dxa"/>
              <w:bottom w:w="85" w:type="dxa"/>
              <w:left w:w="85" w:type="dxa"/>
              <w:right w:w="85" w:type="dxa"/>
            </w:tcMar>
          </w:tcPr>
          <w:p>
            <w:pPr>
              <w:spacing w:after="60"/>
            </w:pPr>
            <w:r>
              <w:rPr>
                <w:b/>
                <w:sz w:val="20"/>
              </w:rPr>
              <w:t>Dataset</w:t>
            </w:r>
          </w:p>
        </w:tc>
        <w:tc>
          <w:tcPr>
            <w:tcW w:type="dxa" w:w="6912"/>
            <w:shd w:fill="EEEEEE"/>
            <w:vAlign w:val="center"/>
            <w:tcMar>
              <w:top w:w="85" w:type="dxa"/>
              <w:bottom w:w="85" w:type="dxa"/>
              <w:left w:w="85" w:type="dxa"/>
              <w:right w:w="85" w:type="dxa"/>
            </w:tcMar>
          </w:tcPr>
          <w:p>
            <w:pPr>
              <w:spacing w:after="60"/>
              <w:jc w:val="center"/>
            </w:pPr>
            <w:r>
              <w:rPr>
                <w:b/>
                <w:sz w:val="20"/>
              </w:rPr>
              <w:t>Variables transformadas comunes</w:t>
            </w:r>
          </w:p>
        </w:tc>
      </w:tr>
      <w:tr>
        <w:tc>
          <w:tcPr>
            <w:tcW w:type="dxa" w:w="2880"/>
            <w:vAlign w:val="center"/>
            <w:tcMar>
              <w:top w:w="85" w:type="dxa"/>
              <w:bottom w:w="85" w:type="dxa"/>
              <w:left w:w="85" w:type="dxa"/>
              <w:right w:w="85" w:type="dxa"/>
            </w:tcMar>
          </w:tcPr>
          <w:p>
            <w:pPr>
              <w:spacing w:after="60"/>
            </w:pPr>
            <w:r>
              <w:rPr>
                <w:sz w:val="20"/>
              </w:rPr>
              <w:t>IEEE</w:t>
            </w:r>
          </w:p>
        </w:tc>
        <w:tc>
          <w:tcPr>
            <w:tcW w:type="dxa" w:w="6912"/>
            <w:vAlign w:val="center"/>
            <w:tcMar>
              <w:top w:w="85" w:type="dxa"/>
              <w:bottom w:w="85" w:type="dxa"/>
              <w:left w:w="85" w:type="dxa"/>
              <w:right w:w="85" w:type="dxa"/>
            </w:tcMar>
          </w:tcPr>
          <w:p>
            <w:pPr>
              <w:spacing w:after="60"/>
              <w:jc w:val="center"/>
            </w:pPr>
            <w:r>
              <w:rPr>
                <w:sz w:val="20"/>
              </w:rPr>
              <w:t>913</w:t>
            </w:r>
          </w:p>
        </w:tc>
      </w:tr>
      <w:tr>
        <w:tc>
          <w:tcPr>
            <w:tcW w:type="dxa" w:w="2880"/>
            <w:vAlign w:val="center"/>
            <w:tcMar>
              <w:top w:w="85" w:type="dxa"/>
              <w:bottom w:w="85" w:type="dxa"/>
              <w:left w:w="85" w:type="dxa"/>
              <w:right w:w="85" w:type="dxa"/>
            </w:tcMar>
          </w:tcPr>
          <w:p>
            <w:pPr>
              <w:spacing w:after="60"/>
            </w:pPr>
            <w:r>
              <w:rPr>
                <w:sz w:val="20"/>
              </w:rPr>
              <w:t>PAYSIM</w:t>
            </w:r>
          </w:p>
        </w:tc>
        <w:tc>
          <w:tcPr>
            <w:tcW w:type="dxa" w:w="6912"/>
            <w:vAlign w:val="center"/>
            <w:tcMar>
              <w:top w:w="85" w:type="dxa"/>
              <w:bottom w:w="85" w:type="dxa"/>
              <w:left w:w="85" w:type="dxa"/>
              <w:right w:w="85" w:type="dxa"/>
            </w:tcMar>
          </w:tcPr>
          <w:p>
            <w:pPr>
              <w:spacing w:after="60"/>
              <w:jc w:val="center"/>
            </w:pPr>
            <w:r>
              <w:rPr>
                <w:sz w:val="20"/>
              </w:rPr>
              <w:t>23</w:t>
            </w:r>
          </w:p>
        </w:tc>
      </w:tr>
    </w:tbl>
    <w:p/>
    <w:p>
      <w:pPr>
        <w:pStyle w:val="Heading2"/>
      </w:pPr>
      <w:r>
        <w:t>Exclusiones y disponibilidad de información</w:t>
      </w:r>
    </w:p>
    <w:p>
      <w:r>
        <w:t>La etiqueta nunca es una característica. Se excluyen IDs crudos, tiempo absoluto y claves proxy del vector tabular. En PaySim se excluyen isFlaggedFraud, todos los saldos y las inconsistencias de saldo, pero se conservan historia causal y hora cíclica. No describas el piloto anterior con saldos iniciales como si fuera esta corrida estricta.</w:t>
      </w:r>
    </w:p>
    <w:p>
      <w:r>
        <w:rPr>
          <w:i/>
        </w:rPr>
        <w:t>Qué decir  «Todos los modelos reciben las mismas columnas preparadas dentro del escenario. La diferencia es cómo aprovechan esa información, no que el híbrido reciba por accidente una etiqueta o un dato posterior que los demás no tienen.»</w:t>
      </w:r>
    </w:p>
    <w:p>
      <w:r>
        <w:t>Los parámetros aprendidos se guardan en preprocessor.pkl y las columnas se enumeran en prepare_summary.json. La carga de un checkpoint propio sirve para reproducir; no cargues pickles de terceros.</w:t>
      </w:r>
    </w:p>
    <w:p>
      <w:r>
        <w:br w:type="page"/>
      </w:r>
    </w:p>
    <w:p>
      <w:pPr>
        <w:pStyle w:val="Heading1"/>
      </w:pPr>
      <w:r>
        <w:t>Nodos aristas y contexto histórico</w:t>
      </w:r>
    </w:p>
    <w:p>
      <w:r>
        <w:t>Abre build_temporal_entity_graph. En ambos datasets un nodo es una transacción. IEEE relaciona atributos compartidos de tarjeta, correo o dispositivo: proxies, no identidades confirmadas. PaySim relaciona operaciones que comparten una cuenta de origen o destino; las cuentas son claves, no nodos del grafo actual.</w:t>
      </w:r>
    </w:p>
    <w:p>
      <w:r>
        <w:t>La construcción recorre timestamps ordenados, conserva hasta tres vecinos previos por entidad dentro de 72 horas y agrega previous → current. Los registros del mismo instante permanecen pendientes hasta cambiar el tiempo.</w:t>
      </w:r>
    </w:p>
    <w:p>
      <w:r>
        <w:rPr>
          <w:rFonts w:ascii="Consolas" w:hAnsi="Consolas"/>
          <w:sz w:val="18"/>
        </w:rPr>
        <w:t>for previous, _ in queue:</w:t>
        <w:br/>
        <w:t xml:space="preserve">    edges.add((previous, current))</w:t>
      </w:r>
    </w:p>
    <w:p>
      <w:r>
        <w:rPr>
          <w:i/>
        </w:rPr>
        <w:t>Qué decir  «La flecha permite que una transacción actual consulte operaciones pasadas relacionadas. Nunca utilizo una transacción futura para explicar una pasada. La etiqueta de un vecino no se convierte en característica.»</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1800"/>
        <w:gridCol w:w="2160"/>
        <w:gridCol w:w="2160"/>
        <w:gridCol w:w="2232"/>
      </w:tblGrid>
      <w:tr>
        <w:trPr>
          <w:tblHeader/>
        </w:trPr>
        <w:tc>
          <w:tcPr>
            <w:tcW w:type="dxa" w:w="1440"/>
            <w:shd w:fill="EEEEEE"/>
            <w:vAlign w:val="center"/>
            <w:tcMar>
              <w:top w:w="85" w:type="dxa"/>
              <w:bottom w:w="85" w:type="dxa"/>
              <w:left w:w="85" w:type="dxa"/>
              <w:right w:w="85" w:type="dxa"/>
            </w:tcMar>
          </w:tcPr>
          <w:p>
            <w:pPr>
              <w:spacing w:after="60"/>
            </w:pPr>
            <w:r>
              <w:rPr>
                <w:b/>
                <w:sz w:val="20"/>
              </w:rPr>
              <w:t>Dataset</w:t>
            </w:r>
          </w:p>
        </w:tc>
        <w:tc>
          <w:tcPr>
            <w:tcW w:type="dxa" w:w="1800"/>
            <w:shd w:fill="EEEEEE"/>
            <w:vAlign w:val="center"/>
            <w:tcMar>
              <w:top w:w="85" w:type="dxa"/>
              <w:bottom w:w="85" w:type="dxa"/>
              <w:left w:w="85" w:type="dxa"/>
              <w:right w:w="85" w:type="dxa"/>
            </w:tcMar>
          </w:tcPr>
          <w:p>
            <w:pPr>
              <w:spacing w:after="60"/>
              <w:jc w:val="center"/>
            </w:pPr>
            <w:r>
              <w:rPr>
                <w:b/>
                <w:sz w:val="20"/>
              </w:rPr>
              <w:t>Partición</w:t>
            </w:r>
          </w:p>
        </w:tc>
        <w:tc>
          <w:tcPr>
            <w:tcW w:type="dxa" w:w="2160"/>
            <w:shd w:fill="EEEEEE"/>
            <w:vAlign w:val="center"/>
            <w:tcMar>
              <w:top w:w="85" w:type="dxa"/>
              <w:bottom w:w="85" w:type="dxa"/>
              <w:left w:w="85" w:type="dxa"/>
              <w:right w:w="85" w:type="dxa"/>
            </w:tcMar>
          </w:tcPr>
          <w:p>
            <w:pPr>
              <w:spacing w:after="60"/>
              <w:jc w:val="center"/>
            </w:pPr>
            <w:r>
              <w:rPr>
                <w:b/>
                <w:sz w:val="20"/>
              </w:rPr>
              <w:t>Contexto</w:t>
            </w:r>
          </w:p>
        </w:tc>
        <w:tc>
          <w:tcPr>
            <w:tcW w:type="dxa" w:w="2160"/>
            <w:shd w:fill="EEEEEE"/>
            <w:vAlign w:val="center"/>
            <w:tcMar>
              <w:top w:w="85" w:type="dxa"/>
              <w:bottom w:w="85" w:type="dxa"/>
              <w:left w:w="85" w:type="dxa"/>
              <w:right w:w="85" w:type="dxa"/>
            </w:tcMar>
          </w:tcPr>
          <w:p>
            <w:pPr>
              <w:spacing w:after="60"/>
              <w:jc w:val="center"/>
            </w:pPr>
            <w:r>
              <w:rPr>
                <w:b/>
                <w:sz w:val="20"/>
              </w:rPr>
              <w:t>Objetivos</w:t>
            </w:r>
          </w:p>
        </w:tc>
        <w:tc>
          <w:tcPr>
            <w:tcW w:type="dxa" w:w="2232"/>
            <w:shd w:fill="EEEEEE"/>
            <w:vAlign w:val="center"/>
            <w:tcMar>
              <w:top w:w="85" w:type="dxa"/>
              <w:bottom w:w="85" w:type="dxa"/>
              <w:left w:w="85" w:type="dxa"/>
              <w:right w:w="85" w:type="dxa"/>
            </w:tcMar>
          </w:tcPr>
          <w:p>
            <w:pPr>
              <w:spacing w:after="60"/>
              <w:jc w:val="center"/>
            </w:pPr>
            <w:r>
              <w:rPr>
                <w:b/>
                <w:sz w:val="20"/>
              </w:rPr>
              <w:t>Aristas</w:t>
            </w:r>
          </w:p>
        </w:tc>
      </w:tr>
      <w:tr>
        <w:tc>
          <w:tcPr>
            <w:tcW w:type="dxa" w:w="1440"/>
            <w:vAlign w:val="center"/>
            <w:tcMar>
              <w:top w:w="85" w:type="dxa"/>
              <w:bottom w:w="85" w:type="dxa"/>
              <w:left w:w="85" w:type="dxa"/>
              <w:right w:w="85" w:type="dxa"/>
            </w:tcMar>
          </w:tcPr>
          <w:p>
            <w:pPr>
              <w:spacing w:after="60"/>
            </w:pPr>
            <w:r>
              <w:rPr>
                <w:sz w:val="20"/>
              </w:rPr>
              <w:t>IEEE</w:t>
            </w:r>
          </w:p>
        </w:tc>
        <w:tc>
          <w:tcPr>
            <w:tcW w:type="dxa" w:w="1800"/>
            <w:vAlign w:val="center"/>
            <w:tcMar>
              <w:top w:w="85" w:type="dxa"/>
              <w:bottom w:w="85" w:type="dxa"/>
              <w:left w:w="85" w:type="dxa"/>
              <w:right w:w="85" w:type="dxa"/>
            </w:tcMar>
          </w:tcPr>
          <w:p>
            <w:pPr>
              <w:spacing w:after="60"/>
              <w:jc w:val="center"/>
            </w:pPr>
            <w:r>
              <w:rPr>
                <w:sz w:val="20"/>
              </w:rPr>
              <w:t>train</w:t>
            </w:r>
          </w:p>
        </w:tc>
        <w:tc>
          <w:tcPr>
            <w:tcW w:type="dxa" w:w="2160"/>
            <w:vAlign w:val="center"/>
            <w:tcMar>
              <w:top w:w="85" w:type="dxa"/>
              <w:bottom w:w="85" w:type="dxa"/>
              <w:left w:w="85" w:type="dxa"/>
              <w:right w:w="85" w:type="dxa"/>
            </w:tcMar>
          </w:tcPr>
          <w:p>
            <w:pPr>
              <w:spacing w:after="60"/>
              <w:jc w:val="center"/>
            </w:pPr>
            <w:r>
              <w:rPr>
                <w:sz w:val="20"/>
              </w:rPr>
              <w:t>61720</w:t>
            </w:r>
          </w:p>
        </w:tc>
        <w:tc>
          <w:tcPr>
            <w:tcW w:type="dxa" w:w="2160"/>
            <w:vAlign w:val="center"/>
            <w:tcMar>
              <w:top w:w="85" w:type="dxa"/>
              <w:bottom w:w="85" w:type="dxa"/>
              <w:left w:w="85" w:type="dxa"/>
              <w:right w:w="85" w:type="dxa"/>
            </w:tcMar>
          </w:tcPr>
          <w:p>
            <w:pPr>
              <w:spacing w:after="60"/>
              <w:jc w:val="center"/>
            </w:pPr>
            <w:r>
              <w:rPr>
                <w:sz w:val="20"/>
              </w:rPr>
              <w:t>61720</w:t>
            </w:r>
          </w:p>
        </w:tc>
        <w:tc>
          <w:tcPr>
            <w:tcW w:type="dxa" w:w="2232"/>
            <w:vAlign w:val="center"/>
            <w:tcMar>
              <w:top w:w="85" w:type="dxa"/>
              <w:bottom w:w="85" w:type="dxa"/>
              <w:left w:w="85" w:type="dxa"/>
              <w:right w:w="85" w:type="dxa"/>
            </w:tcMar>
          </w:tcPr>
          <w:p>
            <w:pPr>
              <w:spacing w:after="60"/>
              <w:jc w:val="center"/>
            </w:pPr>
            <w:r>
              <w:rPr>
                <w:sz w:val="20"/>
              </w:rPr>
              <w:t>155445</w:t>
            </w:r>
          </w:p>
        </w:tc>
      </w:tr>
      <w:tr>
        <w:tc>
          <w:tcPr>
            <w:tcW w:type="dxa" w:w="1440"/>
            <w:vAlign w:val="center"/>
            <w:tcMar>
              <w:top w:w="85" w:type="dxa"/>
              <w:bottom w:w="85" w:type="dxa"/>
              <w:left w:w="85" w:type="dxa"/>
              <w:right w:w="85" w:type="dxa"/>
            </w:tcMar>
          </w:tcPr>
          <w:p>
            <w:pPr>
              <w:spacing w:after="60"/>
            </w:pPr>
            <w:r>
              <w:rPr>
                <w:sz w:val="20"/>
              </w:rPr>
              <w:t>IEEE</w:t>
            </w:r>
          </w:p>
        </w:tc>
        <w:tc>
          <w:tcPr>
            <w:tcW w:type="dxa" w:w="1800"/>
            <w:vAlign w:val="center"/>
            <w:tcMar>
              <w:top w:w="85" w:type="dxa"/>
              <w:bottom w:w="85" w:type="dxa"/>
              <w:left w:w="85" w:type="dxa"/>
              <w:right w:w="85" w:type="dxa"/>
            </w:tcMar>
          </w:tcPr>
          <w:p>
            <w:pPr>
              <w:spacing w:after="60"/>
              <w:jc w:val="center"/>
            </w:pPr>
            <w:r>
              <w:rPr>
                <w:sz w:val="20"/>
              </w:rPr>
              <w:t>validation</w:t>
            </w:r>
          </w:p>
        </w:tc>
        <w:tc>
          <w:tcPr>
            <w:tcW w:type="dxa" w:w="2160"/>
            <w:vAlign w:val="center"/>
            <w:tcMar>
              <w:top w:w="85" w:type="dxa"/>
              <w:bottom w:w="85" w:type="dxa"/>
              <w:left w:w="85" w:type="dxa"/>
              <w:right w:w="85" w:type="dxa"/>
            </w:tcMar>
          </w:tcPr>
          <w:p>
            <w:pPr>
              <w:spacing w:after="60"/>
              <w:jc w:val="center"/>
            </w:pPr>
            <w:r>
              <w:rPr>
                <w:sz w:val="20"/>
              </w:rPr>
              <w:t>89838</w:t>
            </w:r>
          </w:p>
        </w:tc>
        <w:tc>
          <w:tcPr>
            <w:tcW w:type="dxa" w:w="2160"/>
            <w:vAlign w:val="center"/>
            <w:tcMar>
              <w:top w:w="85" w:type="dxa"/>
              <w:bottom w:w="85" w:type="dxa"/>
              <w:left w:w="85" w:type="dxa"/>
              <w:right w:w="85" w:type="dxa"/>
            </w:tcMar>
          </w:tcPr>
          <w:p>
            <w:pPr>
              <w:spacing w:after="60"/>
              <w:jc w:val="center"/>
            </w:pPr>
            <w:r>
              <w:rPr>
                <w:sz w:val="20"/>
              </w:rPr>
              <w:t>28118</w:t>
            </w:r>
          </w:p>
        </w:tc>
        <w:tc>
          <w:tcPr>
            <w:tcW w:type="dxa" w:w="2232"/>
            <w:vAlign w:val="center"/>
            <w:tcMar>
              <w:top w:w="85" w:type="dxa"/>
              <w:bottom w:w="85" w:type="dxa"/>
              <w:left w:w="85" w:type="dxa"/>
              <w:right w:w="85" w:type="dxa"/>
            </w:tcMar>
          </w:tcPr>
          <w:p>
            <w:pPr>
              <w:spacing w:after="60"/>
              <w:jc w:val="center"/>
            </w:pPr>
            <w:r>
              <w:rPr>
                <w:sz w:val="20"/>
              </w:rPr>
              <w:t>225548</w:t>
            </w:r>
          </w:p>
        </w:tc>
      </w:tr>
      <w:tr>
        <w:tc>
          <w:tcPr>
            <w:tcW w:type="dxa" w:w="1440"/>
            <w:vAlign w:val="center"/>
            <w:tcMar>
              <w:top w:w="85" w:type="dxa"/>
              <w:bottom w:w="85" w:type="dxa"/>
              <w:left w:w="85" w:type="dxa"/>
              <w:right w:w="85" w:type="dxa"/>
            </w:tcMar>
          </w:tcPr>
          <w:p>
            <w:pPr>
              <w:spacing w:after="60"/>
            </w:pPr>
            <w:r>
              <w:rPr>
                <w:sz w:val="20"/>
              </w:rPr>
              <w:t>IEEE</w:t>
            </w:r>
          </w:p>
        </w:tc>
        <w:tc>
          <w:tcPr>
            <w:tcW w:type="dxa" w:w="1800"/>
            <w:vAlign w:val="center"/>
            <w:tcMar>
              <w:top w:w="85" w:type="dxa"/>
              <w:bottom w:w="85" w:type="dxa"/>
              <w:left w:w="85" w:type="dxa"/>
              <w:right w:w="85" w:type="dxa"/>
            </w:tcMar>
          </w:tcPr>
          <w:p>
            <w:pPr>
              <w:spacing w:after="60"/>
              <w:jc w:val="center"/>
            </w:pPr>
            <w:r>
              <w:rPr>
                <w:sz w:val="20"/>
              </w:rPr>
              <w:t>test</w:t>
            </w:r>
          </w:p>
        </w:tc>
        <w:tc>
          <w:tcPr>
            <w:tcW w:type="dxa" w:w="2160"/>
            <w:vAlign w:val="center"/>
            <w:tcMar>
              <w:top w:w="85" w:type="dxa"/>
              <w:bottom w:w="85" w:type="dxa"/>
              <w:left w:w="85" w:type="dxa"/>
              <w:right w:w="85" w:type="dxa"/>
            </w:tcMar>
          </w:tcPr>
          <w:p>
            <w:pPr>
              <w:spacing w:after="60"/>
              <w:jc w:val="center"/>
            </w:pPr>
            <w:r>
              <w:rPr>
                <w:sz w:val="20"/>
              </w:rPr>
              <w:t>136884</w:t>
            </w:r>
          </w:p>
        </w:tc>
        <w:tc>
          <w:tcPr>
            <w:tcW w:type="dxa" w:w="2160"/>
            <w:vAlign w:val="center"/>
            <w:tcMar>
              <w:top w:w="85" w:type="dxa"/>
              <w:bottom w:w="85" w:type="dxa"/>
              <w:left w:w="85" w:type="dxa"/>
              <w:right w:w="85" w:type="dxa"/>
            </w:tcMar>
          </w:tcPr>
          <w:p>
            <w:pPr>
              <w:spacing w:after="60"/>
              <w:jc w:val="center"/>
            </w:pPr>
            <w:r>
              <w:rPr>
                <w:sz w:val="20"/>
              </w:rPr>
              <w:t>47046</w:t>
            </w:r>
          </w:p>
        </w:tc>
        <w:tc>
          <w:tcPr>
            <w:tcW w:type="dxa" w:w="2232"/>
            <w:vAlign w:val="center"/>
            <w:tcMar>
              <w:top w:w="85" w:type="dxa"/>
              <w:bottom w:w="85" w:type="dxa"/>
              <w:left w:w="85" w:type="dxa"/>
              <w:right w:w="85" w:type="dxa"/>
            </w:tcMar>
          </w:tcPr>
          <w:p>
            <w:pPr>
              <w:spacing w:after="60"/>
              <w:jc w:val="center"/>
            </w:pPr>
            <w:r>
              <w:rPr>
                <w:sz w:val="20"/>
              </w:rPr>
              <w:t>346940</w:t>
            </w:r>
          </w:p>
        </w:tc>
      </w:tr>
      <w:tr>
        <w:tc>
          <w:tcPr>
            <w:tcW w:type="dxa" w:w="1440"/>
            <w:vAlign w:val="center"/>
            <w:tcMar>
              <w:top w:w="85" w:type="dxa"/>
              <w:bottom w:w="85" w:type="dxa"/>
              <w:left w:w="85" w:type="dxa"/>
              <w:right w:w="85" w:type="dxa"/>
            </w:tcMar>
          </w:tcPr>
          <w:p>
            <w:pPr>
              <w:spacing w:after="60"/>
            </w:pPr>
            <w:r>
              <w:rPr>
                <w:sz w:val="20"/>
              </w:rPr>
              <w:t>PAYSIM</w:t>
            </w:r>
          </w:p>
        </w:tc>
        <w:tc>
          <w:tcPr>
            <w:tcW w:type="dxa" w:w="1800"/>
            <w:vAlign w:val="center"/>
            <w:tcMar>
              <w:top w:w="85" w:type="dxa"/>
              <w:bottom w:w="85" w:type="dxa"/>
              <w:left w:w="85" w:type="dxa"/>
              <w:right w:w="85" w:type="dxa"/>
            </w:tcMar>
          </w:tcPr>
          <w:p>
            <w:pPr>
              <w:spacing w:after="60"/>
              <w:jc w:val="center"/>
            </w:pPr>
            <w:r>
              <w:rPr>
                <w:sz w:val="20"/>
              </w:rPr>
              <w:t>train</w:t>
            </w:r>
          </w:p>
        </w:tc>
        <w:tc>
          <w:tcPr>
            <w:tcW w:type="dxa" w:w="2160"/>
            <w:vAlign w:val="center"/>
            <w:tcMar>
              <w:top w:w="85" w:type="dxa"/>
              <w:bottom w:w="85" w:type="dxa"/>
              <w:left w:w="85" w:type="dxa"/>
              <w:right w:w="85" w:type="dxa"/>
            </w:tcMar>
          </w:tcPr>
          <w:p>
            <w:pPr>
              <w:spacing w:after="60"/>
              <w:jc w:val="center"/>
            </w:pPr>
            <w:r>
              <w:rPr>
                <w:sz w:val="20"/>
              </w:rPr>
              <w:t>348191</w:t>
            </w:r>
          </w:p>
        </w:tc>
        <w:tc>
          <w:tcPr>
            <w:tcW w:type="dxa" w:w="2160"/>
            <w:vAlign w:val="center"/>
            <w:tcMar>
              <w:top w:w="85" w:type="dxa"/>
              <w:bottom w:w="85" w:type="dxa"/>
              <w:left w:w="85" w:type="dxa"/>
              <w:right w:w="85" w:type="dxa"/>
            </w:tcMar>
          </w:tcPr>
          <w:p>
            <w:pPr>
              <w:spacing w:after="60"/>
              <w:jc w:val="center"/>
            </w:pPr>
            <w:r>
              <w:rPr>
                <w:sz w:val="20"/>
              </w:rPr>
              <w:t>348191</w:t>
            </w:r>
          </w:p>
        </w:tc>
        <w:tc>
          <w:tcPr>
            <w:tcW w:type="dxa" w:w="2232"/>
            <w:vAlign w:val="center"/>
            <w:tcMar>
              <w:top w:w="85" w:type="dxa"/>
              <w:bottom w:w="85" w:type="dxa"/>
              <w:left w:w="85" w:type="dxa"/>
              <w:right w:w="85" w:type="dxa"/>
            </w:tcMar>
          </w:tcPr>
          <w:p>
            <w:pPr>
              <w:spacing w:after="60"/>
              <w:jc w:val="center"/>
            </w:pPr>
            <w:r>
              <w:rPr>
                <w:sz w:val="20"/>
              </w:rPr>
              <w:t>430369</w:t>
            </w:r>
          </w:p>
        </w:tc>
      </w:tr>
      <w:tr>
        <w:tc>
          <w:tcPr>
            <w:tcW w:type="dxa" w:w="1440"/>
            <w:vAlign w:val="center"/>
            <w:tcMar>
              <w:top w:w="85" w:type="dxa"/>
              <w:bottom w:w="85" w:type="dxa"/>
              <w:left w:w="85" w:type="dxa"/>
              <w:right w:w="85" w:type="dxa"/>
            </w:tcMar>
          </w:tcPr>
          <w:p>
            <w:pPr>
              <w:spacing w:after="60"/>
            </w:pPr>
            <w:r>
              <w:rPr>
                <w:sz w:val="20"/>
              </w:rPr>
              <w:t>PAYSIM</w:t>
            </w:r>
          </w:p>
        </w:tc>
        <w:tc>
          <w:tcPr>
            <w:tcW w:type="dxa" w:w="1800"/>
            <w:vAlign w:val="center"/>
            <w:tcMar>
              <w:top w:w="85" w:type="dxa"/>
              <w:bottom w:w="85" w:type="dxa"/>
              <w:left w:w="85" w:type="dxa"/>
              <w:right w:w="85" w:type="dxa"/>
            </w:tcMar>
          </w:tcPr>
          <w:p>
            <w:pPr>
              <w:spacing w:after="60"/>
              <w:jc w:val="center"/>
            </w:pPr>
            <w:r>
              <w:rPr>
                <w:sz w:val="20"/>
              </w:rPr>
              <w:t>validation</w:t>
            </w:r>
          </w:p>
        </w:tc>
        <w:tc>
          <w:tcPr>
            <w:tcW w:type="dxa" w:w="2160"/>
            <w:vAlign w:val="center"/>
            <w:tcMar>
              <w:top w:w="85" w:type="dxa"/>
              <w:bottom w:w="85" w:type="dxa"/>
              <w:left w:w="85" w:type="dxa"/>
              <w:right w:w="85" w:type="dxa"/>
            </w:tcMar>
          </w:tcPr>
          <w:p>
            <w:pPr>
              <w:spacing w:after="60"/>
              <w:jc w:val="center"/>
            </w:pPr>
            <w:r>
              <w:rPr>
                <w:sz w:val="20"/>
              </w:rPr>
              <w:t>574255</w:t>
            </w:r>
          </w:p>
        </w:tc>
        <w:tc>
          <w:tcPr>
            <w:tcW w:type="dxa" w:w="2160"/>
            <w:vAlign w:val="center"/>
            <w:tcMar>
              <w:top w:w="85" w:type="dxa"/>
              <w:bottom w:w="85" w:type="dxa"/>
              <w:left w:w="85" w:type="dxa"/>
              <w:right w:w="85" w:type="dxa"/>
            </w:tcMar>
          </w:tcPr>
          <w:p>
            <w:pPr>
              <w:spacing w:after="60"/>
              <w:jc w:val="center"/>
            </w:pPr>
            <w:r>
              <w:rPr>
                <w:sz w:val="20"/>
              </w:rPr>
              <w:t>226064</w:t>
            </w:r>
          </w:p>
        </w:tc>
        <w:tc>
          <w:tcPr>
            <w:tcW w:type="dxa" w:w="2232"/>
            <w:vAlign w:val="center"/>
            <w:tcMar>
              <w:top w:w="85" w:type="dxa"/>
              <w:bottom w:w="85" w:type="dxa"/>
              <w:left w:w="85" w:type="dxa"/>
              <w:right w:w="85" w:type="dxa"/>
            </w:tcMar>
          </w:tcPr>
          <w:p>
            <w:pPr>
              <w:spacing w:after="60"/>
              <w:jc w:val="center"/>
            </w:pPr>
            <w:r>
              <w:rPr>
                <w:sz w:val="20"/>
              </w:rPr>
              <w:t>764227</w:t>
            </w:r>
          </w:p>
        </w:tc>
      </w:tr>
      <w:tr>
        <w:tc>
          <w:tcPr>
            <w:tcW w:type="dxa" w:w="1440"/>
            <w:vAlign w:val="center"/>
            <w:tcMar>
              <w:top w:w="85" w:type="dxa"/>
              <w:bottom w:w="85" w:type="dxa"/>
              <w:left w:w="85" w:type="dxa"/>
              <w:right w:w="85" w:type="dxa"/>
            </w:tcMar>
          </w:tcPr>
          <w:p>
            <w:pPr>
              <w:spacing w:after="60"/>
            </w:pPr>
            <w:r>
              <w:rPr>
                <w:sz w:val="20"/>
              </w:rPr>
              <w:t>PAYSIM</w:t>
            </w:r>
          </w:p>
        </w:tc>
        <w:tc>
          <w:tcPr>
            <w:tcW w:type="dxa" w:w="1800"/>
            <w:vAlign w:val="center"/>
            <w:tcMar>
              <w:top w:w="85" w:type="dxa"/>
              <w:bottom w:w="85" w:type="dxa"/>
              <w:left w:w="85" w:type="dxa"/>
              <w:right w:w="85" w:type="dxa"/>
            </w:tcMar>
          </w:tcPr>
          <w:p>
            <w:pPr>
              <w:spacing w:after="60"/>
              <w:jc w:val="center"/>
            </w:pPr>
            <w:r>
              <w:rPr>
                <w:sz w:val="20"/>
              </w:rPr>
              <w:t>test</w:t>
            </w:r>
          </w:p>
        </w:tc>
        <w:tc>
          <w:tcPr>
            <w:tcW w:type="dxa" w:w="2160"/>
            <w:vAlign w:val="center"/>
            <w:tcMar>
              <w:top w:w="85" w:type="dxa"/>
              <w:bottom w:w="85" w:type="dxa"/>
              <w:left w:w="85" w:type="dxa"/>
              <w:right w:w="85" w:type="dxa"/>
            </w:tcMar>
          </w:tcPr>
          <w:p>
            <w:pPr>
              <w:spacing w:after="60"/>
              <w:jc w:val="center"/>
            </w:pPr>
            <w:r>
              <w:rPr>
                <w:sz w:val="20"/>
              </w:rPr>
              <w:t>1030563</w:t>
            </w:r>
          </w:p>
        </w:tc>
        <w:tc>
          <w:tcPr>
            <w:tcW w:type="dxa" w:w="2160"/>
            <w:vAlign w:val="center"/>
            <w:tcMar>
              <w:top w:w="85" w:type="dxa"/>
              <w:bottom w:w="85" w:type="dxa"/>
              <w:left w:w="85" w:type="dxa"/>
              <w:right w:w="85" w:type="dxa"/>
            </w:tcMar>
          </w:tcPr>
          <w:p>
            <w:pPr>
              <w:spacing w:after="60"/>
              <w:jc w:val="center"/>
            </w:pPr>
            <w:r>
              <w:rPr>
                <w:sz w:val="20"/>
              </w:rPr>
              <w:t>456308</w:t>
            </w:r>
          </w:p>
        </w:tc>
        <w:tc>
          <w:tcPr>
            <w:tcW w:type="dxa" w:w="2232"/>
            <w:vAlign w:val="center"/>
            <w:tcMar>
              <w:top w:w="85" w:type="dxa"/>
              <w:bottom w:w="85" w:type="dxa"/>
              <w:left w:w="85" w:type="dxa"/>
              <w:right w:w="85" w:type="dxa"/>
            </w:tcMar>
          </w:tcPr>
          <w:p>
            <w:pPr>
              <w:spacing w:after="60"/>
              <w:jc w:val="center"/>
            </w:pPr>
            <w:r>
              <w:rPr>
                <w:sz w:val="20"/>
              </w:rPr>
              <w:t>1457511</w:t>
            </w:r>
          </w:p>
        </w:tc>
      </w:tr>
    </w:tbl>
    <w:p/>
    <w:p>
      <w:r>
        <w:t>Contexto incluye operaciones anteriores; objetivos son las operaciones para las que se calcula pérdida o métrica. Un grafo de test grande no implica que todos sus nodos se evalúen como casos de test. Los mini-lotes conservan los ancestros exactos necesarios, no una selección aleatoria de vecinos.</w:t>
      </w:r>
    </w:p>
    <w:p>
      <w:r>
        <w:br w:type="page"/>
      </w:r>
    </w:p>
    <w:p>
      <w:pPr>
        <w:pStyle w:val="Heading1"/>
      </w:pPr>
      <w:r>
        <w:t>Funcionamiento de los cuatro modelos</w:t>
      </w:r>
    </w:p>
    <w:p>
      <w:pPr>
        <w:pStyle w:val="Heading2"/>
      </w:pPr>
      <w:r>
        <w:t>Baseline</w:t>
      </w:r>
    </w:p>
    <w:p>
      <w:r>
        <w:t>TabularBaseline aplica HistGradientBoostingClassifier con pesos balanceados por clase. Utiliza características tabulares, no aristas. Es el punto de referencia para justificar la complejidad adicional.</w:t>
      </w:r>
    </w:p>
    <w:p>
      <w:pPr>
        <w:pStyle w:val="Heading2"/>
      </w:pPr>
      <w:r>
        <w:t>Autoencoder</w:t>
      </w:r>
    </w:p>
    <w:p>
      <w:r>
        <w:t>Autoencoder comprime entrada D → 128 → 16 y reconstruye 16 → 128 → D. Aprende con operaciones legítimas de train y conserva el mejor MSE de validación legítima. Su score independiente es el error absoluto medio: anomalía no es necesariamente una probabilidad calibrada de fraude. Las etiquetas seleccionan legítimas, por lo que no se presenta todo el proceso como totalmente no supervisado.</w:t>
      </w:r>
    </w:p>
    <w:p>
      <w:pPr>
        <w:pStyle w:val="Heading2"/>
      </w:pPr>
      <w:r>
        <w:t>GraphSAGE independiente</w:t>
      </w:r>
    </w:p>
    <w:p>
      <w:r>
        <w:t>GraphSAGELayer promedia vecinos entrantes y concatena ese promedio con la representación propia. Dos capas aprenden contexto relacional. GNNFraudClassifier también incluye una proyección tabular; muestra el código para no describirlo como una rama exclusivamente relacional.</w:t>
      </w:r>
    </w:p>
    <w:p>
      <w:pPr>
        <w:pStyle w:val="Heading2"/>
      </w:pPr>
      <w:r>
        <w:t>Híbrido</w:t>
      </w:r>
    </w:p>
    <w:p>
      <w:r>
        <w:t>HybridGNNAutoencoder concatena latente AE de 16, embedding GNN de 128, proyección tabular de 128 y error de reconstrucción de 1: vector de 273. LayerNorm y un clasificador 273 → 128 → 1 generan un logit; sigmoide produce el score.</w:t>
      </w:r>
    </w:p>
    <w:p>
      <w:r>
        <w:rPr>
          <w:rFonts w:ascii="Consolas" w:hAnsi="Consolas"/>
          <w:sz w:val="18"/>
        </w:rPr>
        <w:t>fused = torch.cat([latent, graph_embedding,</w:t>
        <w:br/>
        <w:t xml:space="preserve">                   tabular_embedding, reconstruction_error], dim=1)</w:t>
        <w:br/>
        <w:t>logits = self.classifier(self.fusion_normalization(fused))</w:t>
      </w:r>
    </w:p>
    <w:p>
      <w:r>
        <w:rPr>
          <w:i/>
        </w:rPr>
        <w:t>Qué decir  «La fusión no promedia dos predicciones. Aprende a combinar señales. La compuerta de atención repondera atributos dentro del AE; SHAP se calcula después y es un mecanismo diferente.»</w:t>
      </w:r>
    </w:p>
    <w:p>
      <w:r>
        <w:br w:type="page"/>
      </w:r>
    </w:p>
    <w:p>
      <w:pPr>
        <w:pStyle w:val="Heading1"/>
      </w:pPr>
      <w:r>
        <w:t>Entrenamiento semillas y pérdidas</w:t>
      </w:r>
    </w:p>
    <w:p>
      <w:r>
        <w:t>Las redes supervisadas recorren nodos objetivo en lotes de 4 096; la inferencia usa 8 192. IncomingNeighborhoods recupera contexto causal exacto y reutiliza medias del primer nivel. Las pruebas comprueban que la inferencia por lotes coincide con la del grafo completo.</w:t>
      </w:r>
    </w:p>
    <w:p>
      <w:r>
        <w:t>En el híbrido se preentrena el AE hasta 10 épocas y después se ajusta conjuntamente la red hasta 30. Se utiliza Adam con tasa 0,001, regularización 0,0001, dropout 0,15 y recorte de gradiente. La BCE ponderada clasifica y la reconstrucción de operaciones legítimas aporta un término con peso 0,01.</w:t>
      </w:r>
    </w:p>
    <w:p>
      <w:r>
        <w:t>El peso de fraude procede solo de train y se limita a 20. La parada temprana utiliza paciencia 10 y AP de validación. El AE independiente conserva el mejor MSE. No se elige la mejor época por el resultado de test.</w:t>
      </w:r>
    </w:p>
    <w:p>
      <w:r>
        <w:rPr>
          <w:i/>
        </w:rPr>
        <w:t>Qué decir  «Las semillas 42, 52 y 62 cambian inicialización y orden de entrenamiento, no las particiones. Reporto medias y conservo el detalle para ver estabilidad; tres semillas no son tres períodos independientes.»</w:t>
      </w:r>
    </w:p>
    <w:p>
      <w:pPr>
        <w:pStyle w:val="Heading2"/>
      </w:pPr>
      <w:r>
        <w:t>Congelación y reanudación</w:t>
      </w:r>
    </w:p>
    <w:p>
      <w:r>
        <w:t>Antes de test se guardan pesos, scores de validación y dos umbrales. La auditoría comprueba sus hashes. Si se interrumpe el entrenamiento, se reutilizan modelos congelados de esa corrida. Cambiar código, datos o configuración exige iniciar otra corrida; no se edita el manifiesto para eludir las comprobaciones.</w:t>
      </w:r>
    </w:p>
    <w:p>
      <w:r>
        <w:t>La ruta ejecutada utilizó cpu. Los tiempos se miden en este equipo. Una GPU puede acelerar componentes neuronales compatibles, pero no garantiza mejores métricas ni acelera todas las etapas por igual.</w:t>
      </w:r>
    </w:p>
    <w:p>
      <w:r>
        <w:br w:type="page"/>
      </w:r>
    </w:p>
    <w:p>
      <w:pPr>
        <w:pStyle w:val="Heading1"/>
      </w:pPr>
      <w:r>
        <w:t>Métricas y lectura de los resultados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7992"/>
      </w:tblGrid>
      <w:tr>
        <w:trPr>
          <w:tblHeader/>
        </w:trPr>
        <w:tc>
          <w:tcPr>
            <w:tcW w:type="dxa" w:w="1800"/>
            <w:shd w:fill="EEEEEE"/>
            <w:vAlign w:val="center"/>
            <w:tcMar>
              <w:top w:w="85" w:type="dxa"/>
              <w:bottom w:w="85" w:type="dxa"/>
              <w:left w:w="85" w:type="dxa"/>
              <w:right w:w="85" w:type="dxa"/>
            </w:tcMar>
          </w:tcPr>
          <w:p>
            <w:pPr>
              <w:spacing w:after="60"/>
            </w:pPr>
            <w:r>
              <w:rPr>
                <w:b/>
                <w:sz w:val="20"/>
              </w:rPr>
              <w:t>Métrica</w:t>
            </w:r>
          </w:p>
        </w:tc>
        <w:tc>
          <w:tcPr>
            <w:tcW w:type="dxa" w:w="7992"/>
            <w:shd w:fill="EEEEEE"/>
            <w:vAlign w:val="center"/>
            <w:tcMar>
              <w:top w:w="85" w:type="dxa"/>
              <w:bottom w:w="85" w:type="dxa"/>
              <w:left w:w="85" w:type="dxa"/>
              <w:right w:w="85" w:type="dxa"/>
            </w:tcMar>
          </w:tcPr>
          <w:p>
            <w:pPr>
              <w:spacing w:after="60"/>
              <w:jc w:val="center"/>
            </w:pPr>
            <w:r>
              <w:rPr>
                <w:b/>
                <w:sz w:val="20"/>
              </w:rPr>
              <w:t>Explicación oral</w:t>
            </w:r>
          </w:p>
        </w:tc>
      </w:tr>
      <w:tr>
        <w:tc>
          <w:tcPr>
            <w:tcW w:type="dxa" w:w="1800"/>
            <w:vAlign w:val="center"/>
            <w:tcMar>
              <w:top w:w="85" w:type="dxa"/>
              <w:bottom w:w="85" w:type="dxa"/>
              <w:left w:w="85" w:type="dxa"/>
              <w:right w:w="85" w:type="dxa"/>
            </w:tcMar>
          </w:tcPr>
          <w:p>
            <w:pPr>
              <w:spacing w:after="60"/>
            </w:pPr>
            <w:r>
              <w:rPr>
                <w:sz w:val="20"/>
              </w:rPr>
              <w:t>AP</w:t>
            </w:r>
          </w:p>
        </w:tc>
        <w:tc>
          <w:tcPr>
            <w:tcW w:type="dxa" w:w="7992"/>
            <w:vAlign w:val="center"/>
            <w:tcMar>
              <w:top w:w="85" w:type="dxa"/>
              <w:bottom w:w="85" w:type="dxa"/>
              <w:left w:w="85" w:type="dxa"/>
              <w:right w:w="85" w:type="dxa"/>
            </w:tcMar>
          </w:tcPr>
          <w:p>
            <w:pPr>
              <w:spacing w:after="60"/>
              <w:jc w:val="center"/>
            </w:pPr>
            <w:r>
              <w:rPr>
                <w:sz w:val="20"/>
              </w:rPr>
              <w:t>Evalúa el ordenamiento de alertas considerando Precision y Recall a distintos umbrales; es la principal.</w:t>
            </w:r>
          </w:p>
        </w:tc>
      </w:tr>
      <w:tr>
        <w:tc>
          <w:tcPr>
            <w:tcW w:type="dxa" w:w="1800"/>
            <w:vAlign w:val="center"/>
            <w:tcMar>
              <w:top w:w="85" w:type="dxa"/>
              <w:bottom w:w="85" w:type="dxa"/>
              <w:left w:w="85" w:type="dxa"/>
              <w:right w:w="85" w:type="dxa"/>
            </w:tcMar>
          </w:tcPr>
          <w:p>
            <w:pPr>
              <w:spacing w:after="60"/>
            </w:pPr>
            <w:r>
              <w:rPr>
                <w:sz w:val="20"/>
              </w:rPr>
              <w:t>Precision</w:t>
            </w:r>
          </w:p>
        </w:tc>
        <w:tc>
          <w:tcPr>
            <w:tcW w:type="dxa" w:w="7992"/>
            <w:vAlign w:val="center"/>
            <w:tcMar>
              <w:top w:w="85" w:type="dxa"/>
              <w:bottom w:w="85" w:type="dxa"/>
              <w:left w:w="85" w:type="dxa"/>
              <w:right w:w="85" w:type="dxa"/>
            </w:tcMar>
          </w:tcPr>
          <w:p>
            <w:pPr>
              <w:spacing w:after="60"/>
              <w:jc w:val="center"/>
            </w:pPr>
            <w:r>
              <w:rPr>
                <w:sz w:val="20"/>
              </w:rPr>
              <w:t>De mis alertas de fraude, qué proporción realmente es fraude.</w:t>
            </w:r>
          </w:p>
        </w:tc>
      </w:tr>
      <w:tr>
        <w:tc>
          <w:tcPr>
            <w:tcW w:type="dxa" w:w="1800"/>
            <w:vAlign w:val="center"/>
            <w:tcMar>
              <w:top w:w="85" w:type="dxa"/>
              <w:bottom w:w="85" w:type="dxa"/>
              <w:left w:w="85" w:type="dxa"/>
              <w:right w:w="85" w:type="dxa"/>
            </w:tcMar>
          </w:tcPr>
          <w:p>
            <w:pPr>
              <w:spacing w:after="60"/>
            </w:pPr>
            <w:r>
              <w:rPr>
                <w:sz w:val="20"/>
              </w:rPr>
              <w:t>Recall</w:t>
            </w:r>
          </w:p>
        </w:tc>
        <w:tc>
          <w:tcPr>
            <w:tcW w:type="dxa" w:w="7992"/>
            <w:vAlign w:val="center"/>
            <w:tcMar>
              <w:top w:w="85" w:type="dxa"/>
              <w:bottom w:w="85" w:type="dxa"/>
              <w:left w:w="85" w:type="dxa"/>
              <w:right w:w="85" w:type="dxa"/>
            </w:tcMar>
          </w:tcPr>
          <w:p>
            <w:pPr>
              <w:spacing w:after="60"/>
              <w:jc w:val="center"/>
            </w:pPr>
            <w:r>
              <w:rPr>
                <w:sz w:val="20"/>
              </w:rPr>
              <w:t>De los fraudes reales, qué proporción detecté.</w:t>
            </w:r>
          </w:p>
        </w:tc>
      </w:tr>
      <w:tr>
        <w:tc>
          <w:tcPr>
            <w:tcW w:type="dxa" w:w="1800"/>
            <w:vAlign w:val="center"/>
            <w:tcMar>
              <w:top w:w="85" w:type="dxa"/>
              <w:bottom w:w="85" w:type="dxa"/>
              <w:left w:w="85" w:type="dxa"/>
              <w:right w:w="85" w:type="dxa"/>
            </w:tcMar>
          </w:tcPr>
          <w:p>
            <w:pPr>
              <w:spacing w:after="60"/>
            </w:pPr>
            <w:r>
              <w:rPr>
                <w:sz w:val="20"/>
              </w:rPr>
              <w:t>F1</w:t>
            </w:r>
          </w:p>
        </w:tc>
        <w:tc>
          <w:tcPr>
            <w:tcW w:type="dxa" w:w="7992"/>
            <w:vAlign w:val="center"/>
            <w:tcMar>
              <w:top w:w="85" w:type="dxa"/>
              <w:bottom w:w="85" w:type="dxa"/>
              <w:left w:w="85" w:type="dxa"/>
              <w:right w:w="85" w:type="dxa"/>
            </w:tcMar>
          </w:tcPr>
          <w:p>
            <w:pPr>
              <w:spacing w:after="60"/>
              <w:jc w:val="center"/>
            </w:pPr>
            <w:r>
              <w:rPr>
                <w:sz w:val="20"/>
              </w:rPr>
              <w:t>Equilibrio entre Precision y Recall mediante media armónica.</w:t>
            </w:r>
          </w:p>
        </w:tc>
      </w:tr>
      <w:tr>
        <w:tc>
          <w:tcPr>
            <w:tcW w:type="dxa" w:w="1800"/>
            <w:vAlign w:val="center"/>
            <w:tcMar>
              <w:top w:w="85" w:type="dxa"/>
              <w:bottom w:w="85" w:type="dxa"/>
              <w:left w:w="85" w:type="dxa"/>
              <w:right w:w="85" w:type="dxa"/>
            </w:tcMar>
          </w:tcPr>
          <w:p>
            <w:pPr>
              <w:spacing w:after="60"/>
            </w:pPr>
            <w:r>
              <w:rPr>
                <w:sz w:val="20"/>
              </w:rPr>
              <w:t>FP por 1 000</w:t>
            </w:r>
          </w:p>
        </w:tc>
        <w:tc>
          <w:tcPr>
            <w:tcW w:type="dxa" w:w="7992"/>
            <w:vAlign w:val="center"/>
            <w:tcMar>
              <w:top w:w="85" w:type="dxa"/>
              <w:bottom w:w="85" w:type="dxa"/>
              <w:left w:w="85" w:type="dxa"/>
              <w:right w:w="85" w:type="dxa"/>
            </w:tcMar>
          </w:tcPr>
          <w:p>
            <w:pPr>
              <w:spacing w:after="60"/>
              <w:jc w:val="center"/>
            </w:pPr>
            <w:r>
              <w:rPr>
                <w:sz w:val="20"/>
              </w:rPr>
              <w:t>Alertas incorrectas por cada 1 000 transacciones legítimas.</w:t>
            </w:r>
          </w:p>
        </w:tc>
      </w:tr>
    </w:tbl>
    <w:p/>
    <w:p>
      <w:r>
        <w:t>La clave auc_pr guarda average_precision_score. En la exposición se llama AP; no es accuracy ni un área PR integrada de forma trapezoidal. AP utiliza scores, mientras Precision, Recall y F1 dependen de un umbral concreto.</w:t>
      </w:r>
    </w:p>
    <w:p>
      <w:r>
        <w:t>El umbral F1 maximiza F1 de validación. El operativo busca Recall con hasta 10 falsas alertas por 1 000 en validación. Son puntos distintos: no mezcles el Recall operativo con Precision y F1 del otro umbral. El presupuesto puede superarse en test por cambios temporales.</w:t>
      </w:r>
    </w:p>
    <w:p>
      <w:r>
        <w:t>Las tablas muestran porcentajes medios de tres semillas. F1 es el promedio de los F1 de cada corrida, no el F1 calculado con Precision y Recall promedios. Si muestras ±, representa dispersión entre semillas, no certeza estadística automática.</w:t>
      </w:r>
    </w:p>
    <w:p>
      <w:r>
        <w:rPr>
          <w:i/>
        </w:rPr>
        <w:t>Qué decir  «No comparo directamente mi F1 con el de un paper sin comprobar sus particiones, variables, desbalance y umbral. Tener otra cifra no demuestra por sí solo que el código esté mal. Ajustar decisiones con test sí invalida esa comparación.»</w:t>
      </w:r>
    </w:p>
    <w:p>
      <w:r>
        <w:br w:type="page"/>
      </w:r>
    </w:p>
    <w:p>
      <w:pPr>
        <w:pStyle w:val="Heading1"/>
      </w:pPr>
      <w:r>
        <w:t>Resultados de la corrida completa</w:t>
      </w:r>
    </w:p>
    <w:p>
      <w:r>
        <w:t>Porcentajes de test, media de semillas 42, 52 y 62. Cada dataset compara cuatro modelos con las mismas variables y particiones. Estas cifras no se mezclan con V2 ni con el piloto híbrido anterior.</w:t>
      </w:r>
    </w:p>
    <w:p>
      <w:pPr>
        <w:pStyle w:val="Heading2"/>
      </w:pPr>
      <w:r>
        <w:t>IEEE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1368"/>
        <w:gridCol w:w="1656"/>
        <w:gridCol w:w="1368"/>
        <w:gridCol w:w="1368"/>
        <w:gridCol w:w="1800"/>
      </w:tblGrid>
      <w:tr>
        <w:trPr>
          <w:tblHeader/>
        </w:trPr>
        <w:tc>
          <w:tcPr>
            <w:tcW w:type="dxa" w:w="2232"/>
            <w:shd w:fill="EEEEEE"/>
            <w:vAlign w:val="center"/>
            <w:tcMar>
              <w:top w:w="85" w:type="dxa"/>
              <w:bottom w:w="85" w:type="dxa"/>
              <w:left w:w="85" w:type="dxa"/>
              <w:right w:w="85" w:type="dxa"/>
            </w:tcMar>
          </w:tcPr>
          <w:p>
            <w:pPr>
              <w:spacing w:after="60"/>
            </w:pPr>
            <w:r>
              <w:rPr>
                <w:b/>
                <w:sz w:val="20"/>
              </w:rPr>
              <w:t>Modelo</w:t>
            </w:r>
          </w:p>
        </w:tc>
        <w:tc>
          <w:tcPr>
            <w:tcW w:type="dxa" w:w="1368"/>
            <w:shd w:fill="EEEEEE"/>
            <w:vAlign w:val="center"/>
            <w:tcMar>
              <w:top w:w="85" w:type="dxa"/>
              <w:bottom w:w="85" w:type="dxa"/>
              <w:left w:w="85" w:type="dxa"/>
              <w:right w:w="85" w:type="dxa"/>
            </w:tcMar>
          </w:tcPr>
          <w:p>
            <w:pPr>
              <w:spacing w:after="60"/>
              <w:jc w:val="center"/>
            </w:pPr>
            <w:r>
              <w:rPr>
                <w:b/>
                <w:sz w:val="20"/>
              </w:rPr>
              <w:t>AP</w:t>
            </w:r>
          </w:p>
        </w:tc>
        <w:tc>
          <w:tcPr>
            <w:tcW w:type="dxa" w:w="1656"/>
            <w:shd w:fill="EEEEEE"/>
            <w:vAlign w:val="center"/>
            <w:tcMar>
              <w:top w:w="85" w:type="dxa"/>
              <w:bottom w:w="85" w:type="dxa"/>
              <w:left w:w="85" w:type="dxa"/>
              <w:right w:w="85" w:type="dxa"/>
            </w:tcMar>
          </w:tcPr>
          <w:p>
            <w:pPr>
              <w:spacing w:after="60"/>
              <w:jc w:val="center"/>
            </w:pPr>
            <w:r>
              <w:rPr>
                <w:b/>
                <w:sz w:val="20"/>
              </w:rPr>
              <w:t>Precision</w:t>
            </w:r>
          </w:p>
        </w:tc>
        <w:tc>
          <w:tcPr>
            <w:tcW w:type="dxa" w:w="1368"/>
            <w:shd w:fill="EEEEEE"/>
            <w:vAlign w:val="center"/>
            <w:tcMar>
              <w:top w:w="85" w:type="dxa"/>
              <w:bottom w:w="85" w:type="dxa"/>
              <w:left w:w="85" w:type="dxa"/>
              <w:right w:w="85" w:type="dxa"/>
            </w:tcMar>
          </w:tcPr>
          <w:p>
            <w:pPr>
              <w:spacing w:after="60"/>
              <w:jc w:val="center"/>
            </w:pPr>
            <w:r>
              <w:rPr>
                <w:b/>
                <w:sz w:val="20"/>
              </w:rPr>
              <w:t>Recall</w:t>
            </w:r>
          </w:p>
        </w:tc>
        <w:tc>
          <w:tcPr>
            <w:tcW w:type="dxa" w:w="1368"/>
            <w:shd w:fill="EEEEEE"/>
            <w:vAlign w:val="center"/>
            <w:tcMar>
              <w:top w:w="85" w:type="dxa"/>
              <w:bottom w:w="85" w:type="dxa"/>
              <w:left w:w="85" w:type="dxa"/>
              <w:right w:w="85" w:type="dxa"/>
            </w:tcMar>
          </w:tcPr>
          <w:p>
            <w:pPr>
              <w:spacing w:after="60"/>
              <w:jc w:val="center"/>
            </w:pPr>
            <w:r>
              <w:rPr>
                <w:b/>
                <w:sz w:val="20"/>
              </w:rPr>
              <w:t>F1</w:t>
            </w:r>
          </w:p>
        </w:tc>
        <w:tc>
          <w:tcPr>
            <w:tcW w:type="dxa" w:w="1800"/>
            <w:shd w:fill="EEEEEE"/>
            <w:vAlign w:val="center"/>
            <w:tcMar>
              <w:top w:w="85" w:type="dxa"/>
              <w:bottom w:w="85" w:type="dxa"/>
              <w:left w:w="85" w:type="dxa"/>
              <w:right w:w="85" w:type="dxa"/>
            </w:tcMar>
          </w:tcPr>
          <w:p>
            <w:pPr>
              <w:spacing w:after="60"/>
              <w:jc w:val="center"/>
            </w:pPr>
            <w:r>
              <w:rPr>
                <w:b/>
                <w:sz w:val="20"/>
              </w:rPr>
              <w:t>FP/1 000</w:t>
            </w:r>
          </w:p>
        </w:tc>
      </w:tr>
      <w:tr>
        <w:tc>
          <w:tcPr>
            <w:tcW w:type="dxa" w:w="2232"/>
            <w:vAlign w:val="center"/>
            <w:tcMar>
              <w:top w:w="85" w:type="dxa"/>
              <w:bottom w:w="85" w:type="dxa"/>
              <w:left w:w="85" w:type="dxa"/>
              <w:right w:w="85" w:type="dxa"/>
            </w:tcMar>
          </w:tcPr>
          <w:p>
            <w:pPr>
              <w:spacing w:after="60"/>
            </w:pPr>
            <w:r>
              <w:rPr>
                <w:sz w:val="20"/>
              </w:rPr>
              <w:t>baseline</w:t>
            </w:r>
          </w:p>
        </w:tc>
        <w:tc>
          <w:tcPr>
            <w:tcW w:type="dxa" w:w="1368"/>
            <w:vAlign w:val="center"/>
            <w:tcMar>
              <w:top w:w="85" w:type="dxa"/>
              <w:bottom w:w="85" w:type="dxa"/>
              <w:left w:w="85" w:type="dxa"/>
              <w:right w:w="85" w:type="dxa"/>
            </w:tcMar>
          </w:tcPr>
          <w:p>
            <w:pPr>
              <w:spacing w:after="60"/>
              <w:jc w:val="center"/>
            </w:pPr>
            <w:r>
              <w:rPr>
                <w:sz w:val="20"/>
              </w:rPr>
              <w:t>53,98</w:t>
            </w:r>
          </w:p>
        </w:tc>
        <w:tc>
          <w:tcPr>
            <w:tcW w:type="dxa" w:w="1656"/>
            <w:vAlign w:val="center"/>
            <w:tcMar>
              <w:top w:w="85" w:type="dxa"/>
              <w:bottom w:w="85" w:type="dxa"/>
              <w:left w:w="85" w:type="dxa"/>
              <w:right w:w="85" w:type="dxa"/>
            </w:tcMar>
          </w:tcPr>
          <w:p>
            <w:pPr>
              <w:spacing w:after="60"/>
              <w:jc w:val="center"/>
            </w:pPr>
            <w:r>
              <w:rPr>
                <w:sz w:val="20"/>
              </w:rPr>
              <w:t>68,47</w:t>
            </w:r>
          </w:p>
        </w:tc>
        <w:tc>
          <w:tcPr>
            <w:tcW w:type="dxa" w:w="1368"/>
            <w:vAlign w:val="center"/>
            <w:tcMar>
              <w:top w:w="85" w:type="dxa"/>
              <w:bottom w:w="85" w:type="dxa"/>
              <w:left w:w="85" w:type="dxa"/>
              <w:right w:w="85" w:type="dxa"/>
            </w:tcMar>
          </w:tcPr>
          <w:p>
            <w:pPr>
              <w:spacing w:after="60"/>
              <w:jc w:val="center"/>
            </w:pPr>
            <w:r>
              <w:rPr>
                <w:sz w:val="20"/>
              </w:rPr>
              <w:t>40,54</w:t>
            </w:r>
          </w:p>
        </w:tc>
        <w:tc>
          <w:tcPr>
            <w:tcW w:type="dxa" w:w="1368"/>
            <w:vAlign w:val="center"/>
            <w:tcMar>
              <w:top w:w="85" w:type="dxa"/>
              <w:bottom w:w="85" w:type="dxa"/>
              <w:left w:w="85" w:type="dxa"/>
              <w:right w:w="85" w:type="dxa"/>
            </w:tcMar>
          </w:tcPr>
          <w:p>
            <w:pPr>
              <w:spacing w:after="60"/>
              <w:jc w:val="center"/>
            </w:pPr>
            <w:r>
              <w:rPr>
                <w:sz w:val="20"/>
              </w:rPr>
              <w:t>50,88</w:t>
            </w:r>
          </w:p>
        </w:tc>
        <w:tc>
          <w:tcPr>
            <w:tcW w:type="dxa" w:w="1800"/>
            <w:vAlign w:val="center"/>
            <w:tcMar>
              <w:top w:w="85" w:type="dxa"/>
              <w:bottom w:w="85" w:type="dxa"/>
              <w:left w:w="85" w:type="dxa"/>
              <w:right w:w="85" w:type="dxa"/>
            </w:tcMar>
          </w:tcPr>
          <w:p>
            <w:pPr>
              <w:spacing w:after="60"/>
              <w:jc w:val="center"/>
            </w:pPr>
            <w:r>
              <w:rPr>
                <w:sz w:val="20"/>
              </w:rPr>
              <w:t>8,55</w:t>
            </w:r>
          </w:p>
        </w:tc>
      </w:tr>
      <w:tr>
        <w:tc>
          <w:tcPr>
            <w:tcW w:type="dxa" w:w="2232"/>
            <w:vAlign w:val="center"/>
            <w:tcMar>
              <w:top w:w="85" w:type="dxa"/>
              <w:bottom w:w="85" w:type="dxa"/>
              <w:left w:w="85" w:type="dxa"/>
              <w:right w:w="85" w:type="dxa"/>
            </w:tcMar>
          </w:tcPr>
          <w:p>
            <w:pPr>
              <w:spacing w:after="60"/>
            </w:pPr>
            <w:r>
              <w:rPr>
                <w:sz w:val="20"/>
              </w:rPr>
              <w:t>autoencoder</w:t>
            </w:r>
          </w:p>
        </w:tc>
        <w:tc>
          <w:tcPr>
            <w:tcW w:type="dxa" w:w="1368"/>
            <w:vAlign w:val="center"/>
            <w:tcMar>
              <w:top w:w="85" w:type="dxa"/>
              <w:bottom w:w="85" w:type="dxa"/>
              <w:left w:w="85" w:type="dxa"/>
              <w:right w:w="85" w:type="dxa"/>
            </w:tcMar>
          </w:tcPr>
          <w:p>
            <w:pPr>
              <w:spacing w:after="60"/>
              <w:jc w:val="center"/>
            </w:pPr>
            <w:r>
              <w:rPr>
                <w:sz w:val="20"/>
              </w:rPr>
              <w:t>33,23</w:t>
            </w:r>
          </w:p>
        </w:tc>
        <w:tc>
          <w:tcPr>
            <w:tcW w:type="dxa" w:w="1656"/>
            <w:vAlign w:val="center"/>
            <w:tcMar>
              <w:top w:w="85" w:type="dxa"/>
              <w:bottom w:w="85" w:type="dxa"/>
              <w:left w:w="85" w:type="dxa"/>
              <w:right w:w="85" w:type="dxa"/>
            </w:tcMar>
          </w:tcPr>
          <w:p>
            <w:pPr>
              <w:spacing w:after="60"/>
              <w:jc w:val="center"/>
            </w:pPr>
            <w:r>
              <w:rPr>
                <w:sz w:val="20"/>
              </w:rPr>
              <w:t>39,48</w:t>
            </w:r>
          </w:p>
        </w:tc>
        <w:tc>
          <w:tcPr>
            <w:tcW w:type="dxa" w:w="1368"/>
            <w:vAlign w:val="center"/>
            <w:tcMar>
              <w:top w:w="85" w:type="dxa"/>
              <w:bottom w:w="85" w:type="dxa"/>
              <w:left w:w="85" w:type="dxa"/>
              <w:right w:w="85" w:type="dxa"/>
            </w:tcMar>
          </w:tcPr>
          <w:p>
            <w:pPr>
              <w:spacing w:after="60"/>
              <w:jc w:val="center"/>
            </w:pPr>
            <w:r>
              <w:rPr>
                <w:sz w:val="20"/>
              </w:rPr>
              <w:t>33,66</w:t>
            </w:r>
          </w:p>
        </w:tc>
        <w:tc>
          <w:tcPr>
            <w:tcW w:type="dxa" w:w="1368"/>
            <w:vAlign w:val="center"/>
            <w:tcMar>
              <w:top w:w="85" w:type="dxa"/>
              <w:bottom w:w="85" w:type="dxa"/>
              <w:left w:w="85" w:type="dxa"/>
              <w:right w:w="85" w:type="dxa"/>
            </w:tcMar>
          </w:tcPr>
          <w:p>
            <w:pPr>
              <w:spacing w:after="60"/>
              <w:jc w:val="center"/>
            </w:pPr>
            <w:r>
              <w:rPr>
                <w:sz w:val="20"/>
              </w:rPr>
              <w:t>35,94</w:t>
            </w:r>
          </w:p>
        </w:tc>
        <w:tc>
          <w:tcPr>
            <w:tcW w:type="dxa" w:w="1800"/>
            <w:vAlign w:val="center"/>
            <w:tcMar>
              <w:top w:w="85" w:type="dxa"/>
              <w:bottom w:w="85" w:type="dxa"/>
              <w:left w:w="85" w:type="dxa"/>
              <w:right w:w="85" w:type="dxa"/>
            </w:tcMar>
          </w:tcPr>
          <w:p>
            <w:pPr>
              <w:spacing w:after="60"/>
              <w:jc w:val="center"/>
            </w:pPr>
            <w:r>
              <w:rPr>
                <w:sz w:val="20"/>
              </w:rPr>
              <w:t>24,30</w:t>
            </w:r>
          </w:p>
        </w:tc>
      </w:tr>
      <w:tr>
        <w:tc>
          <w:tcPr>
            <w:tcW w:type="dxa" w:w="2232"/>
            <w:vAlign w:val="center"/>
            <w:tcMar>
              <w:top w:w="85" w:type="dxa"/>
              <w:bottom w:w="85" w:type="dxa"/>
              <w:left w:w="85" w:type="dxa"/>
              <w:right w:w="85" w:type="dxa"/>
            </w:tcMar>
          </w:tcPr>
          <w:p>
            <w:pPr>
              <w:spacing w:after="60"/>
            </w:pPr>
            <w:r>
              <w:rPr>
                <w:sz w:val="20"/>
              </w:rPr>
              <w:t>gnn</w:t>
            </w:r>
          </w:p>
        </w:tc>
        <w:tc>
          <w:tcPr>
            <w:tcW w:type="dxa" w:w="1368"/>
            <w:vAlign w:val="center"/>
            <w:tcMar>
              <w:top w:w="85" w:type="dxa"/>
              <w:bottom w:w="85" w:type="dxa"/>
              <w:left w:w="85" w:type="dxa"/>
              <w:right w:w="85" w:type="dxa"/>
            </w:tcMar>
          </w:tcPr>
          <w:p>
            <w:pPr>
              <w:spacing w:after="60"/>
              <w:jc w:val="center"/>
            </w:pPr>
            <w:r>
              <w:rPr>
                <w:sz w:val="20"/>
              </w:rPr>
              <w:t>44,46</w:t>
            </w:r>
          </w:p>
        </w:tc>
        <w:tc>
          <w:tcPr>
            <w:tcW w:type="dxa" w:w="1656"/>
            <w:vAlign w:val="center"/>
            <w:tcMar>
              <w:top w:w="85" w:type="dxa"/>
              <w:bottom w:w="85" w:type="dxa"/>
              <w:left w:w="85" w:type="dxa"/>
              <w:right w:w="85" w:type="dxa"/>
            </w:tcMar>
          </w:tcPr>
          <w:p>
            <w:pPr>
              <w:spacing w:after="60"/>
              <w:jc w:val="center"/>
            </w:pPr>
            <w:r>
              <w:rPr>
                <w:sz w:val="20"/>
              </w:rPr>
              <w:t>64,37</w:t>
            </w:r>
          </w:p>
        </w:tc>
        <w:tc>
          <w:tcPr>
            <w:tcW w:type="dxa" w:w="1368"/>
            <w:vAlign w:val="center"/>
            <w:tcMar>
              <w:top w:w="85" w:type="dxa"/>
              <w:bottom w:w="85" w:type="dxa"/>
              <w:left w:w="85" w:type="dxa"/>
              <w:right w:w="85" w:type="dxa"/>
            </w:tcMar>
          </w:tcPr>
          <w:p>
            <w:pPr>
              <w:spacing w:after="60"/>
              <w:jc w:val="center"/>
            </w:pPr>
            <w:r>
              <w:rPr>
                <w:sz w:val="20"/>
              </w:rPr>
              <w:t>35,89</w:t>
            </w:r>
          </w:p>
        </w:tc>
        <w:tc>
          <w:tcPr>
            <w:tcW w:type="dxa" w:w="1368"/>
            <w:vAlign w:val="center"/>
            <w:tcMar>
              <w:top w:w="85" w:type="dxa"/>
              <w:bottom w:w="85" w:type="dxa"/>
              <w:left w:w="85" w:type="dxa"/>
              <w:right w:w="85" w:type="dxa"/>
            </w:tcMar>
          </w:tcPr>
          <w:p>
            <w:pPr>
              <w:spacing w:after="60"/>
              <w:jc w:val="center"/>
            </w:pPr>
            <w:r>
              <w:rPr>
                <w:sz w:val="20"/>
              </w:rPr>
              <w:t>46,07</w:t>
            </w:r>
          </w:p>
        </w:tc>
        <w:tc>
          <w:tcPr>
            <w:tcW w:type="dxa" w:w="1800"/>
            <w:vAlign w:val="center"/>
            <w:tcMar>
              <w:top w:w="85" w:type="dxa"/>
              <w:bottom w:w="85" w:type="dxa"/>
              <w:left w:w="85" w:type="dxa"/>
              <w:right w:w="85" w:type="dxa"/>
            </w:tcMar>
          </w:tcPr>
          <w:p>
            <w:pPr>
              <w:spacing w:after="60"/>
              <w:jc w:val="center"/>
            </w:pPr>
            <w:r>
              <w:rPr>
                <w:sz w:val="20"/>
              </w:rPr>
              <w:t>9,04</w:t>
            </w:r>
          </w:p>
        </w:tc>
      </w:tr>
      <w:tr>
        <w:tc>
          <w:tcPr>
            <w:tcW w:type="dxa" w:w="2232"/>
            <w:vAlign w:val="center"/>
            <w:tcMar>
              <w:top w:w="85" w:type="dxa"/>
              <w:bottom w:w="85" w:type="dxa"/>
              <w:left w:w="85" w:type="dxa"/>
              <w:right w:w="85" w:type="dxa"/>
            </w:tcMar>
          </w:tcPr>
          <w:p>
            <w:pPr>
              <w:spacing w:after="60"/>
            </w:pPr>
            <w:r>
              <w:rPr>
                <w:sz w:val="20"/>
              </w:rPr>
              <w:t>hybrid</w:t>
            </w:r>
          </w:p>
        </w:tc>
        <w:tc>
          <w:tcPr>
            <w:tcW w:type="dxa" w:w="1368"/>
            <w:vAlign w:val="center"/>
            <w:tcMar>
              <w:top w:w="85" w:type="dxa"/>
              <w:bottom w:w="85" w:type="dxa"/>
              <w:left w:w="85" w:type="dxa"/>
              <w:right w:w="85" w:type="dxa"/>
            </w:tcMar>
          </w:tcPr>
          <w:p>
            <w:pPr>
              <w:spacing w:after="60"/>
              <w:jc w:val="center"/>
            </w:pPr>
            <w:r>
              <w:rPr>
                <w:sz w:val="20"/>
              </w:rPr>
              <w:t>44,43</w:t>
            </w:r>
          </w:p>
        </w:tc>
        <w:tc>
          <w:tcPr>
            <w:tcW w:type="dxa" w:w="1656"/>
            <w:vAlign w:val="center"/>
            <w:tcMar>
              <w:top w:w="85" w:type="dxa"/>
              <w:bottom w:w="85" w:type="dxa"/>
              <w:left w:w="85" w:type="dxa"/>
              <w:right w:w="85" w:type="dxa"/>
            </w:tcMar>
          </w:tcPr>
          <w:p>
            <w:pPr>
              <w:spacing w:after="60"/>
              <w:jc w:val="center"/>
            </w:pPr>
            <w:r>
              <w:rPr>
                <w:sz w:val="20"/>
              </w:rPr>
              <w:t>61,92</w:t>
            </w:r>
          </w:p>
        </w:tc>
        <w:tc>
          <w:tcPr>
            <w:tcW w:type="dxa" w:w="1368"/>
            <w:vAlign w:val="center"/>
            <w:tcMar>
              <w:top w:w="85" w:type="dxa"/>
              <w:bottom w:w="85" w:type="dxa"/>
              <w:left w:w="85" w:type="dxa"/>
              <w:right w:w="85" w:type="dxa"/>
            </w:tcMar>
          </w:tcPr>
          <w:p>
            <w:pPr>
              <w:spacing w:after="60"/>
              <w:jc w:val="center"/>
            </w:pPr>
            <w:r>
              <w:rPr>
                <w:sz w:val="20"/>
              </w:rPr>
              <w:t>35,81</w:t>
            </w:r>
          </w:p>
        </w:tc>
        <w:tc>
          <w:tcPr>
            <w:tcW w:type="dxa" w:w="1368"/>
            <w:vAlign w:val="center"/>
            <w:tcMar>
              <w:top w:w="85" w:type="dxa"/>
              <w:bottom w:w="85" w:type="dxa"/>
              <w:left w:w="85" w:type="dxa"/>
              <w:right w:w="85" w:type="dxa"/>
            </w:tcMar>
          </w:tcPr>
          <w:p>
            <w:pPr>
              <w:spacing w:after="60"/>
              <w:jc w:val="center"/>
            </w:pPr>
            <w:r>
              <w:rPr>
                <w:sz w:val="20"/>
              </w:rPr>
              <w:t>45,19</w:t>
            </w:r>
          </w:p>
        </w:tc>
        <w:tc>
          <w:tcPr>
            <w:tcW w:type="dxa" w:w="1800"/>
            <w:vAlign w:val="center"/>
            <w:tcMar>
              <w:top w:w="85" w:type="dxa"/>
              <w:bottom w:w="85" w:type="dxa"/>
              <w:left w:w="85" w:type="dxa"/>
              <w:right w:w="85" w:type="dxa"/>
            </w:tcMar>
          </w:tcPr>
          <w:p>
            <w:pPr>
              <w:spacing w:after="60"/>
              <w:jc w:val="center"/>
            </w:pPr>
            <w:r>
              <w:rPr>
                <w:sz w:val="20"/>
              </w:rPr>
              <w:t>10,31</w:t>
            </w:r>
          </w:p>
        </w:tc>
      </w:tr>
    </w:tbl>
    <w:p/>
    <w:p>
      <w:r>
        <w:t>Mayor AP media observada: baseline. Diferencia híbrido menos baseline: -9.56 puntos porcentuales. El ranking pertenece a esta ventana; no acredita superioridad universal.</w:t>
      </w:r>
    </w:p>
    <w:p>
      <w:pPr>
        <w:pStyle w:val="Heading2"/>
      </w:pPr>
      <w:r>
        <w:t>PAYSIM</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1368"/>
        <w:gridCol w:w="1656"/>
        <w:gridCol w:w="1368"/>
        <w:gridCol w:w="1368"/>
        <w:gridCol w:w="1800"/>
      </w:tblGrid>
      <w:tr>
        <w:trPr>
          <w:tblHeader/>
        </w:trPr>
        <w:tc>
          <w:tcPr>
            <w:tcW w:type="dxa" w:w="2232"/>
            <w:shd w:fill="EEEEEE"/>
            <w:vAlign w:val="center"/>
            <w:tcMar>
              <w:top w:w="85" w:type="dxa"/>
              <w:bottom w:w="85" w:type="dxa"/>
              <w:left w:w="85" w:type="dxa"/>
              <w:right w:w="85" w:type="dxa"/>
            </w:tcMar>
          </w:tcPr>
          <w:p>
            <w:pPr>
              <w:spacing w:after="60"/>
            </w:pPr>
            <w:r>
              <w:rPr>
                <w:b/>
                <w:sz w:val="20"/>
              </w:rPr>
              <w:t>Modelo</w:t>
            </w:r>
          </w:p>
        </w:tc>
        <w:tc>
          <w:tcPr>
            <w:tcW w:type="dxa" w:w="1368"/>
            <w:shd w:fill="EEEEEE"/>
            <w:vAlign w:val="center"/>
            <w:tcMar>
              <w:top w:w="85" w:type="dxa"/>
              <w:bottom w:w="85" w:type="dxa"/>
              <w:left w:w="85" w:type="dxa"/>
              <w:right w:w="85" w:type="dxa"/>
            </w:tcMar>
          </w:tcPr>
          <w:p>
            <w:pPr>
              <w:spacing w:after="60"/>
              <w:jc w:val="center"/>
            </w:pPr>
            <w:r>
              <w:rPr>
                <w:b/>
                <w:sz w:val="20"/>
              </w:rPr>
              <w:t>AP</w:t>
            </w:r>
          </w:p>
        </w:tc>
        <w:tc>
          <w:tcPr>
            <w:tcW w:type="dxa" w:w="1656"/>
            <w:shd w:fill="EEEEEE"/>
            <w:vAlign w:val="center"/>
            <w:tcMar>
              <w:top w:w="85" w:type="dxa"/>
              <w:bottom w:w="85" w:type="dxa"/>
              <w:left w:w="85" w:type="dxa"/>
              <w:right w:w="85" w:type="dxa"/>
            </w:tcMar>
          </w:tcPr>
          <w:p>
            <w:pPr>
              <w:spacing w:after="60"/>
              <w:jc w:val="center"/>
            </w:pPr>
            <w:r>
              <w:rPr>
                <w:b/>
                <w:sz w:val="20"/>
              </w:rPr>
              <w:t>Precision</w:t>
            </w:r>
          </w:p>
        </w:tc>
        <w:tc>
          <w:tcPr>
            <w:tcW w:type="dxa" w:w="1368"/>
            <w:shd w:fill="EEEEEE"/>
            <w:vAlign w:val="center"/>
            <w:tcMar>
              <w:top w:w="85" w:type="dxa"/>
              <w:bottom w:w="85" w:type="dxa"/>
              <w:left w:w="85" w:type="dxa"/>
              <w:right w:w="85" w:type="dxa"/>
            </w:tcMar>
          </w:tcPr>
          <w:p>
            <w:pPr>
              <w:spacing w:after="60"/>
              <w:jc w:val="center"/>
            </w:pPr>
            <w:r>
              <w:rPr>
                <w:b/>
                <w:sz w:val="20"/>
              </w:rPr>
              <w:t>Recall</w:t>
            </w:r>
          </w:p>
        </w:tc>
        <w:tc>
          <w:tcPr>
            <w:tcW w:type="dxa" w:w="1368"/>
            <w:shd w:fill="EEEEEE"/>
            <w:vAlign w:val="center"/>
            <w:tcMar>
              <w:top w:w="85" w:type="dxa"/>
              <w:bottom w:w="85" w:type="dxa"/>
              <w:left w:w="85" w:type="dxa"/>
              <w:right w:w="85" w:type="dxa"/>
            </w:tcMar>
          </w:tcPr>
          <w:p>
            <w:pPr>
              <w:spacing w:after="60"/>
              <w:jc w:val="center"/>
            </w:pPr>
            <w:r>
              <w:rPr>
                <w:b/>
                <w:sz w:val="20"/>
              </w:rPr>
              <w:t>F1</w:t>
            </w:r>
          </w:p>
        </w:tc>
        <w:tc>
          <w:tcPr>
            <w:tcW w:type="dxa" w:w="1800"/>
            <w:shd w:fill="EEEEEE"/>
            <w:vAlign w:val="center"/>
            <w:tcMar>
              <w:top w:w="85" w:type="dxa"/>
              <w:bottom w:w="85" w:type="dxa"/>
              <w:left w:w="85" w:type="dxa"/>
              <w:right w:w="85" w:type="dxa"/>
            </w:tcMar>
          </w:tcPr>
          <w:p>
            <w:pPr>
              <w:spacing w:after="60"/>
              <w:jc w:val="center"/>
            </w:pPr>
            <w:r>
              <w:rPr>
                <w:b/>
                <w:sz w:val="20"/>
              </w:rPr>
              <w:t>FP/1 000</w:t>
            </w:r>
          </w:p>
        </w:tc>
      </w:tr>
      <w:tr>
        <w:tc>
          <w:tcPr>
            <w:tcW w:type="dxa" w:w="2232"/>
            <w:vAlign w:val="center"/>
            <w:tcMar>
              <w:top w:w="85" w:type="dxa"/>
              <w:bottom w:w="85" w:type="dxa"/>
              <w:left w:w="85" w:type="dxa"/>
              <w:right w:w="85" w:type="dxa"/>
            </w:tcMar>
          </w:tcPr>
          <w:p>
            <w:pPr>
              <w:spacing w:after="60"/>
            </w:pPr>
            <w:r>
              <w:rPr>
                <w:sz w:val="20"/>
              </w:rPr>
              <w:t>baseline</w:t>
            </w:r>
          </w:p>
        </w:tc>
        <w:tc>
          <w:tcPr>
            <w:tcW w:type="dxa" w:w="1368"/>
            <w:vAlign w:val="center"/>
            <w:tcMar>
              <w:top w:w="85" w:type="dxa"/>
              <w:bottom w:w="85" w:type="dxa"/>
              <w:left w:w="85" w:type="dxa"/>
              <w:right w:w="85" w:type="dxa"/>
            </w:tcMar>
          </w:tcPr>
          <w:p>
            <w:pPr>
              <w:spacing w:after="60"/>
              <w:jc w:val="center"/>
            </w:pPr>
            <w:r>
              <w:rPr>
                <w:sz w:val="20"/>
              </w:rPr>
              <w:t>5,77</w:t>
            </w:r>
          </w:p>
        </w:tc>
        <w:tc>
          <w:tcPr>
            <w:tcW w:type="dxa" w:w="1656"/>
            <w:vAlign w:val="center"/>
            <w:tcMar>
              <w:top w:w="85" w:type="dxa"/>
              <w:bottom w:w="85" w:type="dxa"/>
              <w:left w:w="85" w:type="dxa"/>
              <w:right w:w="85" w:type="dxa"/>
            </w:tcMar>
          </w:tcPr>
          <w:p>
            <w:pPr>
              <w:spacing w:after="60"/>
              <w:jc w:val="center"/>
            </w:pPr>
            <w:r>
              <w:rPr>
                <w:sz w:val="20"/>
              </w:rPr>
              <w:t>68,33</w:t>
            </w:r>
          </w:p>
        </w:tc>
        <w:tc>
          <w:tcPr>
            <w:tcW w:type="dxa" w:w="1368"/>
            <w:vAlign w:val="center"/>
            <w:tcMar>
              <w:top w:w="85" w:type="dxa"/>
              <w:bottom w:w="85" w:type="dxa"/>
              <w:left w:w="85" w:type="dxa"/>
              <w:right w:w="85" w:type="dxa"/>
            </w:tcMar>
          </w:tcPr>
          <w:p>
            <w:pPr>
              <w:spacing w:after="60"/>
              <w:jc w:val="center"/>
            </w:pPr>
            <w:r>
              <w:rPr>
                <w:sz w:val="20"/>
              </w:rPr>
              <w:t>14,54</w:t>
            </w:r>
          </w:p>
        </w:tc>
        <w:tc>
          <w:tcPr>
            <w:tcW w:type="dxa" w:w="1368"/>
            <w:vAlign w:val="center"/>
            <w:tcMar>
              <w:top w:w="85" w:type="dxa"/>
              <w:bottom w:w="85" w:type="dxa"/>
              <w:left w:w="85" w:type="dxa"/>
              <w:right w:w="85" w:type="dxa"/>
            </w:tcMar>
          </w:tcPr>
          <w:p>
            <w:pPr>
              <w:spacing w:after="60"/>
              <w:jc w:val="center"/>
            </w:pPr>
            <w:r>
              <w:rPr>
                <w:sz w:val="20"/>
              </w:rPr>
              <w:t>5,69</w:t>
            </w:r>
          </w:p>
        </w:tc>
        <w:tc>
          <w:tcPr>
            <w:tcW w:type="dxa" w:w="1800"/>
            <w:vAlign w:val="center"/>
            <w:tcMar>
              <w:top w:w="85" w:type="dxa"/>
              <w:bottom w:w="85" w:type="dxa"/>
              <w:left w:w="85" w:type="dxa"/>
              <w:right w:w="85" w:type="dxa"/>
            </w:tcMar>
          </w:tcPr>
          <w:p>
            <w:pPr>
              <w:spacing w:after="60"/>
              <w:jc w:val="center"/>
            </w:pPr>
            <w:r>
              <w:rPr>
                <w:sz w:val="20"/>
              </w:rPr>
              <w:t>3,40</w:t>
            </w:r>
          </w:p>
        </w:tc>
      </w:tr>
      <w:tr>
        <w:tc>
          <w:tcPr>
            <w:tcW w:type="dxa" w:w="2232"/>
            <w:vAlign w:val="center"/>
            <w:tcMar>
              <w:top w:w="85" w:type="dxa"/>
              <w:bottom w:w="85" w:type="dxa"/>
              <w:left w:w="85" w:type="dxa"/>
              <w:right w:w="85" w:type="dxa"/>
            </w:tcMar>
          </w:tcPr>
          <w:p>
            <w:pPr>
              <w:spacing w:after="60"/>
            </w:pPr>
            <w:r>
              <w:rPr>
                <w:sz w:val="20"/>
              </w:rPr>
              <w:t>autoencoder</w:t>
            </w:r>
          </w:p>
        </w:tc>
        <w:tc>
          <w:tcPr>
            <w:tcW w:type="dxa" w:w="1368"/>
            <w:vAlign w:val="center"/>
            <w:tcMar>
              <w:top w:w="85" w:type="dxa"/>
              <w:bottom w:w="85" w:type="dxa"/>
              <w:left w:w="85" w:type="dxa"/>
              <w:right w:w="85" w:type="dxa"/>
            </w:tcMar>
          </w:tcPr>
          <w:p>
            <w:pPr>
              <w:spacing w:after="60"/>
              <w:jc w:val="center"/>
            </w:pPr>
            <w:r>
              <w:rPr>
                <w:sz w:val="20"/>
              </w:rPr>
              <w:t>0,21</w:t>
            </w:r>
          </w:p>
        </w:tc>
        <w:tc>
          <w:tcPr>
            <w:tcW w:type="dxa" w:w="1656"/>
            <w:vAlign w:val="center"/>
            <w:tcMar>
              <w:top w:w="85" w:type="dxa"/>
              <w:bottom w:w="85" w:type="dxa"/>
              <w:left w:w="85" w:type="dxa"/>
              <w:right w:w="85" w:type="dxa"/>
            </w:tcMar>
          </w:tcPr>
          <w:p>
            <w:pPr>
              <w:spacing w:after="60"/>
              <w:jc w:val="center"/>
            </w:pPr>
            <w:r>
              <w:rPr>
                <w:sz w:val="20"/>
              </w:rPr>
              <w:t>0,20</w:t>
            </w:r>
          </w:p>
        </w:tc>
        <w:tc>
          <w:tcPr>
            <w:tcW w:type="dxa" w:w="1368"/>
            <w:vAlign w:val="center"/>
            <w:tcMar>
              <w:top w:w="85" w:type="dxa"/>
              <w:bottom w:w="85" w:type="dxa"/>
              <w:left w:w="85" w:type="dxa"/>
              <w:right w:w="85" w:type="dxa"/>
            </w:tcMar>
          </w:tcPr>
          <w:p>
            <w:pPr>
              <w:spacing w:after="60"/>
              <w:jc w:val="center"/>
            </w:pPr>
            <w:r>
              <w:rPr>
                <w:sz w:val="20"/>
              </w:rPr>
              <w:t>22,83</w:t>
            </w:r>
          </w:p>
        </w:tc>
        <w:tc>
          <w:tcPr>
            <w:tcW w:type="dxa" w:w="1368"/>
            <w:vAlign w:val="center"/>
            <w:tcMar>
              <w:top w:w="85" w:type="dxa"/>
              <w:bottom w:w="85" w:type="dxa"/>
              <w:left w:w="85" w:type="dxa"/>
              <w:right w:w="85" w:type="dxa"/>
            </w:tcMar>
          </w:tcPr>
          <w:p>
            <w:pPr>
              <w:spacing w:after="60"/>
              <w:jc w:val="center"/>
            </w:pPr>
            <w:r>
              <w:rPr>
                <w:sz w:val="20"/>
              </w:rPr>
              <w:t>0,40</w:t>
            </w:r>
          </w:p>
        </w:tc>
        <w:tc>
          <w:tcPr>
            <w:tcW w:type="dxa" w:w="1800"/>
            <w:vAlign w:val="center"/>
            <w:tcMar>
              <w:top w:w="85" w:type="dxa"/>
              <w:bottom w:w="85" w:type="dxa"/>
              <w:left w:w="85" w:type="dxa"/>
              <w:right w:w="85" w:type="dxa"/>
            </w:tcMar>
          </w:tcPr>
          <w:p>
            <w:pPr>
              <w:spacing w:after="60"/>
              <w:jc w:val="center"/>
            </w:pPr>
            <w:r>
              <w:rPr>
                <w:sz w:val="20"/>
              </w:rPr>
              <w:t>142,14</w:t>
            </w:r>
          </w:p>
        </w:tc>
      </w:tr>
      <w:tr>
        <w:tc>
          <w:tcPr>
            <w:tcW w:type="dxa" w:w="2232"/>
            <w:vAlign w:val="center"/>
            <w:tcMar>
              <w:top w:w="85" w:type="dxa"/>
              <w:bottom w:w="85" w:type="dxa"/>
              <w:left w:w="85" w:type="dxa"/>
              <w:right w:w="85" w:type="dxa"/>
            </w:tcMar>
          </w:tcPr>
          <w:p>
            <w:pPr>
              <w:spacing w:after="60"/>
            </w:pPr>
            <w:r>
              <w:rPr>
                <w:sz w:val="20"/>
              </w:rPr>
              <w:t>gnn</w:t>
            </w:r>
          </w:p>
        </w:tc>
        <w:tc>
          <w:tcPr>
            <w:tcW w:type="dxa" w:w="1368"/>
            <w:vAlign w:val="center"/>
            <w:tcMar>
              <w:top w:w="85" w:type="dxa"/>
              <w:bottom w:w="85" w:type="dxa"/>
              <w:left w:w="85" w:type="dxa"/>
              <w:right w:w="85" w:type="dxa"/>
            </w:tcMar>
          </w:tcPr>
          <w:p>
            <w:pPr>
              <w:spacing w:after="60"/>
              <w:jc w:val="center"/>
            </w:pPr>
            <w:r>
              <w:rPr>
                <w:sz w:val="20"/>
              </w:rPr>
              <w:t>27,22</w:t>
            </w:r>
          </w:p>
        </w:tc>
        <w:tc>
          <w:tcPr>
            <w:tcW w:type="dxa" w:w="1656"/>
            <w:vAlign w:val="center"/>
            <w:tcMar>
              <w:top w:w="85" w:type="dxa"/>
              <w:bottom w:w="85" w:type="dxa"/>
              <w:left w:w="85" w:type="dxa"/>
              <w:right w:w="85" w:type="dxa"/>
            </w:tcMar>
          </w:tcPr>
          <w:p>
            <w:pPr>
              <w:spacing w:after="60"/>
              <w:jc w:val="center"/>
            </w:pPr>
            <w:r>
              <w:rPr>
                <w:sz w:val="20"/>
              </w:rPr>
              <w:t>72,20</w:t>
            </w:r>
          </w:p>
        </w:tc>
        <w:tc>
          <w:tcPr>
            <w:tcW w:type="dxa" w:w="1368"/>
            <w:vAlign w:val="center"/>
            <w:tcMar>
              <w:top w:w="85" w:type="dxa"/>
              <w:bottom w:w="85" w:type="dxa"/>
              <w:left w:w="85" w:type="dxa"/>
              <w:right w:w="85" w:type="dxa"/>
            </w:tcMar>
          </w:tcPr>
          <w:p>
            <w:pPr>
              <w:spacing w:after="60"/>
              <w:jc w:val="center"/>
            </w:pPr>
            <w:r>
              <w:rPr>
                <w:sz w:val="20"/>
              </w:rPr>
              <w:t>18,85</w:t>
            </w:r>
          </w:p>
        </w:tc>
        <w:tc>
          <w:tcPr>
            <w:tcW w:type="dxa" w:w="1368"/>
            <w:vAlign w:val="center"/>
            <w:tcMar>
              <w:top w:w="85" w:type="dxa"/>
              <w:bottom w:w="85" w:type="dxa"/>
              <w:left w:w="85" w:type="dxa"/>
              <w:right w:w="85" w:type="dxa"/>
            </w:tcMar>
          </w:tcPr>
          <w:p>
            <w:pPr>
              <w:spacing w:after="60"/>
              <w:jc w:val="center"/>
            </w:pPr>
            <w:r>
              <w:rPr>
                <w:sz w:val="20"/>
              </w:rPr>
              <w:t>29,48</w:t>
            </w:r>
          </w:p>
        </w:tc>
        <w:tc>
          <w:tcPr>
            <w:tcW w:type="dxa" w:w="1800"/>
            <w:vAlign w:val="center"/>
            <w:tcMar>
              <w:top w:w="85" w:type="dxa"/>
              <w:bottom w:w="85" w:type="dxa"/>
              <w:left w:w="85" w:type="dxa"/>
              <w:right w:w="85" w:type="dxa"/>
            </w:tcMar>
          </w:tcPr>
          <w:p>
            <w:pPr>
              <w:spacing w:after="60"/>
              <w:jc w:val="center"/>
            </w:pPr>
            <w:r>
              <w:rPr>
                <w:sz w:val="20"/>
              </w:rPr>
              <w:t>0,11</w:t>
            </w:r>
          </w:p>
        </w:tc>
      </w:tr>
      <w:tr>
        <w:tc>
          <w:tcPr>
            <w:tcW w:type="dxa" w:w="2232"/>
            <w:vAlign w:val="center"/>
            <w:tcMar>
              <w:top w:w="85" w:type="dxa"/>
              <w:bottom w:w="85" w:type="dxa"/>
              <w:left w:w="85" w:type="dxa"/>
              <w:right w:w="85" w:type="dxa"/>
            </w:tcMar>
          </w:tcPr>
          <w:p>
            <w:pPr>
              <w:spacing w:after="60"/>
            </w:pPr>
            <w:r>
              <w:rPr>
                <w:sz w:val="20"/>
              </w:rPr>
              <w:t>hybrid</w:t>
            </w:r>
          </w:p>
        </w:tc>
        <w:tc>
          <w:tcPr>
            <w:tcW w:type="dxa" w:w="1368"/>
            <w:vAlign w:val="center"/>
            <w:tcMar>
              <w:top w:w="85" w:type="dxa"/>
              <w:bottom w:w="85" w:type="dxa"/>
              <w:left w:w="85" w:type="dxa"/>
              <w:right w:w="85" w:type="dxa"/>
            </w:tcMar>
          </w:tcPr>
          <w:p>
            <w:pPr>
              <w:spacing w:after="60"/>
              <w:jc w:val="center"/>
            </w:pPr>
            <w:r>
              <w:rPr>
                <w:sz w:val="20"/>
              </w:rPr>
              <w:t>29,41</w:t>
            </w:r>
          </w:p>
        </w:tc>
        <w:tc>
          <w:tcPr>
            <w:tcW w:type="dxa" w:w="1656"/>
            <w:vAlign w:val="center"/>
            <w:tcMar>
              <w:top w:w="85" w:type="dxa"/>
              <w:bottom w:w="85" w:type="dxa"/>
              <w:left w:w="85" w:type="dxa"/>
              <w:right w:w="85" w:type="dxa"/>
            </w:tcMar>
          </w:tcPr>
          <w:p>
            <w:pPr>
              <w:spacing w:after="60"/>
              <w:jc w:val="center"/>
            </w:pPr>
            <w:r>
              <w:rPr>
                <w:sz w:val="20"/>
              </w:rPr>
              <w:t>70,26</w:t>
            </w:r>
          </w:p>
        </w:tc>
        <w:tc>
          <w:tcPr>
            <w:tcW w:type="dxa" w:w="1368"/>
            <w:vAlign w:val="center"/>
            <w:tcMar>
              <w:top w:w="85" w:type="dxa"/>
              <w:bottom w:w="85" w:type="dxa"/>
              <w:left w:w="85" w:type="dxa"/>
              <w:right w:w="85" w:type="dxa"/>
            </w:tcMar>
          </w:tcPr>
          <w:p>
            <w:pPr>
              <w:spacing w:after="60"/>
              <w:jc w:val="center"/>
            </w:pPr>
            <w:r>
              <w:rPr>
                <w:sz w:val="20"/>
              </w:rPr>
              <w:t>20,62</w:t>
            </w:r>
          </w:p>
        </w:tc>
        <w:tc>
          <w:tcPr>
            <w:tcW w:type="dxa" w:w="1368"/>
            <w:vAlign w:val="center"/>
            <w:tcMar>
              <w:top w:w="85" w:type="dxa"/>
              <w:bottom w:w="85" w:type="dxa"/>
              <w:left w:w="85" w:type="dxa"/>
              <w:right w:w="85" w:type="dxa"/>
            </w:tcMar>
          </w:tcPr>
          <w:p>
            <w:pPr>
              <w:spacing w:after="60"/>
              <w:jc w:val="center"/>
            </w:pPr>
            <w:r>
              <w:rPr>
                <w:sz w:val="20"/>
              </w:rPr>
              <w:t>31,75</w:t>
            </w:r>
          </w:p>
        </w:tc>
        <w:tc>
          <w:tcPr>
            <w:tcW w:type="dxa" w:w="1800"/>
            <w:vAlign w:val="center"/>
            <w:tcMar>
              <w:top w:w="85" w:type="dxa"/>
              <w:bottom w:w="85" w:type="dxa"/>
              <w:left w:w="85" w:type="dxa"/>
              <w:right w:w="85" w:type="dxa"/>
            </w:tcMar>
          </w:tcPr>
          <w:p>
            <w:pPr>
              <w:spacing w:after="60"/>
              <w:jc w:val="center"/>
            </w:pPr>
            <w:r>
              <w:rPr>
                <w:sz w:val="20"/>
              </w:rPr>
              <w:t>0,12</w:t>
            </w:r>
          </w:p>
        </w:tc>
      </w:tr>
    </w:tbl>
    <w:p/>
    <w:p>
      <w:r>
        <w:t>Mayor AP media observada: hybrid. Diferencia híbrido menos baseline: +23.65 puntos porcentuales. El ranking pertenece a esta ventana; no acredita superioridad universal.</w:t>
      </w:r>
    </w:p>
    <w:p>
      <w:r>
        <w:t>FP/1 000 corresponde aquí al umbral F1, no al operativo. Revisa semillas y matrices de confusión antes de concluir. La auditoría confirma coherencia de los archivos y métricas, no ausencia de todo sesgo ni significancia estadística.</w:t>
      </w:r>
    </w:p>
    <w:p>
      <w:r>
        <w:t>En PaySim, el híbrido en el umbral operativo alcanzó Recall 66,56 % y 46,30 FP/1 000. El presupuesto de 10 validado no se mantuvo en test: no se presenta como un sistema listo para producción.</w:t>
      </w:r>
    </w:p>
    <w:p>
      <w:r>
        <w:br w:type="page"/>
      </w:r>
    </w:p>
    <w:p>
      <w:pPr>
        <w:pStyle w:val="Heading1"/>
      </w:pPr>
      <w:r>
        <w:t>Costo computacional de los cuatro modelos</w:t>
      </w:r>
    </w:p>
    <w:p>
      <w:r>
        <w:t>Segundos medios por semilla. Entrenamiento mide optimización e incluye preentrenamiento AE en el híbrido; validación e inferencia de test se registran separadas.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448"/>
        <w:gridCol w:w="1872"/>
        <w:gridCol w:w="2016"/>
        <w:gridCol w:w="2016"/>
      </w:tblGrid>
      <w:tr>
        <w:trPr>
          <w:tblHeader/>
        </w:trPr>
        <w:tc>
          <w:tcPr>
            <w:tcW w:type="dxa" w:w="1440"/>
            <w:shd w:fill="EEEEEE"/>
            <w:vAlign w:val="center"/>
            <w:tcMar>
              <w:top w:w="85" w:type="dxa"/>
              <w:bottom w:w="85" w:type="dxa"/>
              <w:left w:w="85" w:type="dxa"/>
              <w:right w:w="85" w:type="dxa"/>
            </w:tcMar>
          </w:tcPr>
          <w:p>
            <w:pPr>
              <w:spacing w:after="60"/>
            </w:pPr>
            <w:r>
              <w:rPr>
                <w:b/>
                <w:sz w:val="20"/>
              </w:rPr>
              <w:t>Dataset</w:t>
            </w:r>
          </w:p>
        </w:tc>
        <w:tc>
          <w:tcPr>
            <w:tcW w:type="dxa" w:w="2448"/>
            <w:shd w:fill="EEEEEE"/>
            <w:vAlign w:val="center"/>
            <w:tcMar>
              <w:top w:w="85" w:type="dxa"/>
              <w:bottom w:w="85" w:type="dxa"/>
              <w:left w:w="85" w:type="dxa"/>
              <w:right w:w="85" w:type="dxa"/>
            </w:tcMar>
          </w:tcPr>
          <w:p>
            <w:pPr>
              <w:spacing w:after="60"/>
              <w:jc w:val="center"/>
            </w:pPr>
            <w:r>
              <w:rPr>
                <w:b/>
                <w:sz w:val="20"/>
              </w:rPr>
              <w:t>Modelo</w:t>
            </w:r>
          </w:p>
        </w:tc>
        <w:tc>
          <w:tcPr>
            <w:tcW w:type="dxa" w:w="1872"/>
            <w:shd w:fill="EEEEEE"/>
            <w:vAlign w:val="center"/>
            <w:tcMar>
              <w:top w:w="85" w:type="dxa"/>
              <w:bottom w:w="85" w:type="dxa"/>
              <w:left w:w="85" w:type="dxa"/>
              <w:right w:w="85" w:type="dxa"/>
            </w:tcMar>
          </w:tcPr>
          <w:p>
            <w:pPr>
              <w:spacing w:after="60"/>
              <w:jc w:val="center"/>
            </w:pPr>
            <w:r>
              <w:rPr>
                <w:b/>
                <w:sz w:val="20"/>
              </w:rPr>
              <w:t>Train s</w:t>
            </w:r>
          </w:p>
        </w:tc>
        <w:tc>
          <w:tcPr>
            <w:tcW w:type="dxa" w:w="2016"/>
            <w:shd w:fill="EEEEEE"/>
            <w:vAlign w:val="center"/>
            <w:tcMar>
              <w:top w:w="85" w:type="dxa"/>
              <w:bottom w:w="85" w:type="dxa"/>
              <w:left w:w="85" w:type="dxa"/>
              <w:right w:w="85" w:type="dxa"/>
            </w:tcMar>
          </w:tcPr>
          <w:p>
            <w:pPr>
              <w:spacing w:after="60"/>
              <w:jc w:val="center"/>
            </w:pPr>
            <w:r>
              <w:rPr>
                <w:b/>
                <w:sz w:val="20"/>
              </w:rPr>
              <w:t>Validación s</w:t>
            </w:r>
          </w:p>
        </w:tc>
        <w:tc>
          <w:tcPr>
            <w:tcW w:type="dxa" w:w="2016"/>
            <w:shd w:fill="EEEEEE"/>
            <w:vAlign w:val="center"/>
            <w:tcMar>
              <w:top w:w="85" w:type="dxa"/>
              <w:bottom w:w="85" w:type="dxa"/>
              <w:left w:w="85" w:type="dxa"/>
              <w:right w:w="85" w:type="dxa"/>
            </w:tcMar>
          </w:tcPr>
          <w:p>
            <w:pPr>
              <w:spacing w:after="60"/>
              <w:jc w:val="center"/>
            </w:pPr>
            <w:r>
              <w:rPr>
                <w:b/>
                <w:sz w:val="20"/>
              </w:rPr>
              <w:t>Inferencia s</w:t>
            </w:r>
          </w:p>
        </w:tc>
      </w:tr>
      <w:tr>
        <w:tc>
          <w:tcPr>
            <w:tcW w:type="dxa" w:w="1440"/>
            <w:vAlign w:val="center"/>
            <w:tcMar>
              <w:top w:w="85" w:type="dxa"/>
              <w:bottom w:w="85" w:type="dxa"/>
              <w:left w:w="85" w:type="dxa"/>
              <w:right w:w="85" w:type="dxa"/>
            </w:tcMar>
          </w:tcPr>
          <w:p>
            <w:pPr>
              <w:spacing w:after="60"/>
            </w:pPr>
            <w:r>
              <w:rPr>
                <w:sz w:val="20"/>
              </w:rPr>
              <w:t>IEEE</w:t>
            </w:r>
          </w:p>
        </w:tc>
        <w:tc>
          <w:tcPr>
            <w:tcW w:type="dxa" w:w="2448"/>
            <w:vAlign w:val="center"/>
            <w:tcMar>
              <w:top w:w="85" w:type="dxa"/>
              <w:bottom w:w="85" w:type="dxa"/>
              <w:left w:w="85" w:type="dxa"/>
              <w:right w:w="85" w:type="dxa"/>
            </w:tcMar>
          </w:tcPr>
          <w:p>
            <w:pPr>
              <w:spacing w:after="60"/>
              <w:jc w:val="center"/>
            </w:pPr>
            <w:r>
              <w:rPr>
                <w:sz w:val="20"/>
              </w:rPr>
              <w:t>baseline</w:t>
            </w:r>
          </w:p>
        </w:tc>
        <w:tc>
          <w:tcPr>
            <w:tcW w:type="dxa" w:w="1872"/>
            <w:vAlign w:val="center"/>
            <w:tcMar>
              <w:top w:w="85" w:type="dxa"/>
              <w:bottom w:w="85" w:type="dxa"/>
              <w:left w:w="85" w:type="dxa"/>
              <w:right w:w="85" w:type="dxa"/>
            </w:tcMar>
          </w:tcPr>
          <w:p>
            <w:pPr>
              <w:spacing w:after="60"/>
              <w:jc w:val="center"/>
            </w:pPr>
            <w:r>
              <w:rPr>
                <w:sz w:val="20"/>
              </w:rPr>
              <w:t>26,86</w:t>
            </w:r>
          </w:p>
        </w:tc>
        <w:tc>
          <w:tcPr>
            <w:tcW w:type="dxa" w:w="2016"/>
            <w:vAlign w:val="center"/>
            <w:tcMar>
              <w:top w:w="85" w:type="dxa"/>
              <w:bottom w:w="85" w:type="dxa"/>
              <w:left w:w="85" w:type="dxa"/>
              <w:right w:w="85" w:type="dxa"/>
            </w:tcMar>
          </w:tcPr>
          <w:p>
            <w:pPr>
              <w:spacing w:after="60"/>
              <w:jc w:val="center"/>
            </w:pPr>
            <w:r>
              <w:rPr>
                <w:sz w:val="20"/>
              </w:rPr>
              <w:t>0,52</w:t>
            </w:r>
          </w:p>
        </w:tc>
        <w:tc>
          <w:tcPr>
            <w:tcW w:type="dxa" w:w="2016"/>
            <w:vAlign w:val="center"/>
            <w:tcMar>
              <w:top w:w="85" w:type="dxa"/>
              <w:bottom w:w="85" w:type="dxa"/>
              <w:left w:w="85" w:type="dxa"/>
              <w:right w:w="85" w:type="dxa"/>
            </w:tcMar>
          </w:tcPr>
          <w:p>
            <w:pPr>
              <w:spacing w:after="60"/>
              <w:jc w:val="center"/>
            </w:pPr>
            <w:r>
              <w:rPr>
                <w:sz w:val="20"/>
              </w:rPr>
              <w:t>0,93</w:t>
            </w:r>
          </w:p>
        </w:tc>
      </w:tr>
      <w:tr>
        <w:tc>
          <w:tcPr>
            <w:tcW w:type="dxa" w:w="1440"/>
            <w:vAlign w:val="center"/>
            <w:tcMar>
              <w:top w:w="85" w:type="dxa"/>
              <w:bottom w:w="85" w:type="dxa"/>
              <w:left w:w="85" w:type="dxa"/>
              <w:right w:w="85" w:type="dxa"/>
            </w:tcMar>
          </w:tcPr>
          <w:p>
            <w:pPr>
              <w:spacing w:after="60"/>
            </w:pPr>
            <w:r>
              <w:rPr>
                <w:sz w:val="20"/>
              </w:rPr>
              <w:t>IEEE</w:t>
            </w:r>
          </w:p>
        </w:tc>
        <w:tc>
          <w:tcPr>
            <w:tcW w:type="dxa" w:w="2448"/>
            <w:vAlign w:val="center"/>
            <w:tcMar>
              <w:top w:w="85" w:type="dxa"/>
              <w:bottom w:w="85" w:type="dxa"/>
              <w:left w:w="85" w:type="dxa"/>
              <w:right w:w="85" w:type="dxa"/>
            </w:tcMar>
          </w:tcPr>
          <w:p>
            <w:pPr>
              <w:spacing w:after="60"/>
              <w:jc w:val="center"/>
            </w:pPr>
            <w:r>
              <w:rPr>
                <w:sz w:val="20"/>
              </w:rPr>
              <w:t>autoencoder</w:t>
            </w:r>
          </w:p>
        </w:tc>
        <w:tc>
          <w:tcPr>
            <w:tcW w:type="dxa" w:w="1872"/>
            <w:vAlign w:val="center"/>
            <w:tcMar>
              <w:top w:w="85" w:type="dxa"/>
              <w:bottom w:w="85" w:type="dxa"/>
              <w:left w:w="85" w:type="dxa"/>
              <w:right w:w="85" w:type="dxa"/>
            </w:tcMar>
          </w:tcPr>
          <w:p>
            <w:pPr>
              <w:spacing w:after="60"/>
              <w:jc w:val="center"/>
            </w:pPr>
            <w:r>
              <w:rPr>
                <w:sz w:val="20"/>
              </w:rPr>
              <w:t>36,94</w:t>
            </w:r>
          </w:p>
        </w:tc>
        <w:tc>
          <w:tcPr>
            <w:tcW w:type="dxa" w:w="2016"/>
            <w:vAlign w:val="center"/>
            <w:tcMar>
              <w:top w:w="85" w:type="dxa"/>
              <w:bottom w:w="85" w:type="dxa"/>
              <w:left w:w="85" w:type="dxa"/>
              <w:right w:w="85" w:type="dxa"/>
            </w:tcMar>
          </w:tcPr>
          <w:p>
            <w:pPr>
              <w:spacing w:after="60"/>
              <w:jc w:val="center"/>
            </w:pPr>
            <w:r>
              <w:rPr>
                <w:sz w:val="20"/>
              </w:rPr>
              <w:t>6,22</w:t>
            </w:r>
          </w:p>
        </w:tc>
        <w:tc>
          <w:tcPr>
            <w:tcW w:type="dxa" w:w="2016"/>
            <w:vAlign w:val="center"/>
            <w:tcMar>
              <w:top w:w="85" w:type="dxa"/>
              <w:bottom w:w="85" w:type="dxa"/>
              <w:left w:w="85" w:type="dxa"/>
              <w:right w:w="85" w:type="dxa"/>
            </w:tcMar>
          </w:tcPr>
          <w:p>
            <w:pPr>
              <w:spacing w:after="60"/>
              <w:jc w:val="center"/>
            </w:pPr>
            <w:r>
              <w:rPr>
                <w:sz w:val="20"/>
              </w:rPr>
              <w:t>0,38</w:t>
            </w:r>
          </w:p>
        </w:tc>
      </w:tr>
      <w:tr>
        <w:tc>
          <w:tcPr>
            <w:tcW w:type="dxa" w:w="1440"/>
            <w:vAlign w:val="center"/>
            <w:tcMar>
              <w:top w:w="85" w:type="dxa"/>
              <w:bottom w:w="85" w:type="dxa"/>
              <w:left w:w="85" w:type="dxa"/>
              <w:right w:w="85" w:type="dxa"/>
            </w:tcMar>
          </w:tcPr>
          <w:p>
            <w:pPr>
              <w:spacing w:after="60"/>
            </w:pPr>
            <w:r>
              <w:rPr>
                <w:sz w:val="20"/>
              </w:rPr>
              <w:t>IEEE</w:t>
            </w:r>
          </w:p>
        </w:tc>
        <w:tc>
          <w:tcPr>
            <w:tcW w:type="dxa" w:w="2448"/>
            <w:vAlign w:val="center"/>
            <w:tcMar>
              <w:top w:w="85" w:type="dxa"/>
              <w:bottom w:w="85" w:type="dxa"/>
              <w:left w:w="85" w:type="dxa"/>
              <w:right w:w="85" w:type="dxa"/>
            </w:tcMar>
          </w:tcPr>
          <w:p>
            <w:pPr>
              <w:spacing w:after="60"/>
              <w:jc w:val="center"/>
            </w:pPr>
            <w:r>
              <w:rPr>
                <w:sz w:val="20"/>
              </w:rPr>
              <w:t>gnn</w:t>
            </w:r>
          </w:p>
        </w:tc>
        <w:tc>
          <w:tcPr>
            <w:tcW w:type="dxa" w:w="1872"/>
            <w:vAlign w:val="center"/>
            <w:tcMar>
              <w:top w:w="85" w:type="dxa"/>
              <w:bottom w:w="85" w:type="dxa"/>
              <w:left w:w="85" w:type="dxa"/>
              <w:right w:w="85" w:type="dxa"/>
            </w:tcMar>
          </w:tcPr>
          <w:p>
            <w:pPr>
              <w:spacing w:after="60"/>
              <w:jc w:val="center"/>
            </w:pPr>
            <w:r>
              <w:rPr>
                <w:sz w:val="20"/>
              </w:rPr>
              <w:t>80,45</w:t>
            </w:r>
          </w:p>
        </w:tc>
        <w:tc>
          <w:tcPr>
            <w:tcW w:type="dxa" w:w="2016"/>
            <w:vAlign w:val="center"/>
            <w:tcMar>
              <w:top w:w="85" w:type="dxa"/>
              <w:bottom w:w="85" w:type="dxa"/>
              <w:left w:w="85" w:type="dxa"/>
              <w:right w:w="85" w:type="dxa"/>
            </w:tcMar>
          </w:tcPr>
          <w:p>
            <w:pPr>
              <w:spacing w:after="60"/>
              <w:jc w:val="center"/>
            </w:pPr>
            <w:r>
              <w:rPr>
                <w:sz w:val="20"/>
              </w:rPr>
              <w:t>8,18</w:t>
            </w:r>
          </w:p>
        </w:tc>
        <w:tc>
          <w:tcPr>
            <w:tcW w:type="dxa" w:w="2016"/>
            <w:vAlign w:val="center"/>
            <w:tcMar>
              <w:top w:w="85" w:type="dxa"/>
              <w:bottom w:w="85" w:type="dxa"/>
              <w:left w:w="85" w:type="dxa"/>
              <w:right w:w="85" w:type="dxa"/>
            </w:tcMar>
          </w:tcPr>
          <w:p>
            <w:pPr>
              <w:spacing w:after="60"/>
              <w:jc w:val="center"/>
            </w:pPr>
            <w:r>
              <w:rPr>
                <w:sz w:val="20"/>
              </w:rPr>
              <w:t>0,81</w:t>
            </w:r>
          </w:p>
        </w:tc>
      </w:tr>
      <w:tr>
        <w:tc>
          <w:tcPr>
            <w:tcW w:type="dxa" w:w="1440"/>
            <w:vAlign w:val="center"/>
            <w:tcMar>
              <w:top w:w="85" w:type="dxa"/>
              <w:bottom w:w="85" w:type="dxa"/>
              <w:left w:w="85" w:type="dxa"/>
              <w:right w:w="85" w:type="dxa"/>
            </w:tcMar>
          </w:tcPr>
          <w:p>
            <w:pPr>
              <w:spacing w:after="60"/>
            </w:pPr>
            <w:r>
              <w:rPr>
                <w:sz w:val="20"/>
              </w:rPr>
              <w:t>IEEE</w:t>
            </w:r>
          </w:p>
        </w:tc>
        <w:tc>
          <w:tcPr>
            <w:tcW w:type="dxa" w:w="2448"/>
            <w:vAlign w:val="center"/>
            <w:tcMar>
              <w:top w:w="85" w:type="dxa"/>
              <w:bottom w:w="85" w:type="dxa"/>
              <w:left w:w="85" w:type="dxa"/>
              <w:right w:w="85" w:type="dxa"/>
            </w:tcMar>
          </w:tcPr>
          <w:p>
            <w:pPr>
              <w:spacing w:after="60"/>
              <w:jc w:val="center"/>
            </w:pPr>
            <w:r>
              <w:rPr>
                <w:sz w:val="20"/>
              </w:rPr>
              <w:t>hybrid</w:t>
            </w:r>
          </w:p>
        </w:tc>
        <w:tc>
          <w:tcPr>
            <w:tcW w:type="dxa" w:w="1872"/>
            <w:vAlign w:val="center"/>
            <w:tcMar>
              <w:top w:w="85" w:type="dxa"/>
              <w:bottom w:w="85" w:type="dxa"/>
              <w:left w:w="85" w:type="dxa"/>
              <w:right w:w="85" w:type="dxa"/>
            </w:tcMar>
          </w:tcPr>
          <w:p>
            <w:pPr>
              <w:spacing w:after="60"/>
              <w:jc w:val="center"/>
            </w:pPr>
            <w:r>
              <w:rPr>
                <w:sz w:val="20"/>
              </w:rPr>
              <w:t>206,32</w:t>
            </w:r>
          </w:p>
        </w:tc>
        <w:tc>
          <w:tcPr>
            <w:tcW w:type="dxa" w:w="2016"/>
            <w:vAlign w:val="center"/>
            <w:tcMar>
              <w:top w:w="85" w:type="dxa"/>
              <w:bottom w:w="85" w:type="dxa"/>
              <w:left w:w="85" w:type="dxa"/>
              <w:right w:w="85" w:type="dxa"/>
            </w:tcMar>
          </w:tcPr>
          <w:p>
            <w:pPr>
              <w:spacing w:after="60"/>
              <w:jc w:val="center"/>
            </w:pPr>
            <w:r>
              <w:rPr>
                <w:sz w:val="20"/>
              </w:rPr>
              <w:t>17,82</w:t>
            </w:r>
          </w:p>
        </w:tc>
        <w:tc>
          <w:tcPr>
            <w:tcW w:type="dxa" w:w="2016"/>
            <w:vAlign w:val="center"/>
            <w:tcMar>
              <w:top w:w="85" w:type="dxa"/>
              <w:bottom w:w="85" w:type="dxa"/>
              <w:left w:w="85" w:type="dxa"/>
              <w:right w:w="85" w:type="dxa"/>
            </w:tcMar>
          </w:tcPr>
          <w:p>
            <w:pPr>
              <w:spacing w:after="60"/>
              <w:jc w:val="center"/>
            </w:pPr>
            <w:r>
              <w:rPr>
                <w:sz w:val="20"/>
              </w:rPr>
              <w:t>1,41</w:t>
            </w:r>
          </w:p>
        </w:tc>
      </w:tr>
      <w:tr>
        <w:tc>
          <w:tcPr>
            <w:tcW w:type="dxa" w:w="1440"/>
            <w:vAlign w:val="center"/>
            <w:tcMar>
              <w:top w:w="85" w:type="dxa"/>
              <w:bottom w:w="85" w:type="dxa"/>
              <w:left w:w="85" w:type="dxa"/>
              <w:right w:w="85" w:type="dxa"/>
            </w:tcMar>
          </w:tcPr>
          <w:p>
            <w:pPr>
              <w:spacing w:after="60"/>
            </w:pPr>
            <w:r>
              <w:rPr>
                <w:sz w:val="20"/>
              </w:rPr>
              <w:t>PAYSIM</w:t>
            </w:r>
          </w:p>
        </w:tc>
        <w:tc>
          <w:tcPr>
            <w:tcW w:type="dxa" w:w="2448"/>
            <w:vAlign w:val="center"/>
            <w:tcMar>
              <w:top w:w="85" w:type="dxa"/>
              <w:bottom w:w="85" w:type="dxa"/>
              <w:left w:w="85" w:type="dxa"/>
              <w:right w:w="85" w:type="dxa"/>
            </w:tcMar>
          </w:tcPr>
          <w:p>
            <w:pPr>
              <w:spacing w:after="60"/>
              <w:jc w:val="center"/>
            </w:pPr>
            <w:r>
              <w:rPr>
                <w:sz w:val="20"/>
              </w:rPr>
              <w:t>baseline</w:t>
            </w:r>
          </w:p>
        </w:tc>
        <w:tc>
          <w:tcPr>
            <w:tcW w:type="dxa" w:w="1872"/>
            <w:vAlign w:val="center"/>
            <w:tcMar>
              <w:top w:w="85" w:type="dxa"/>
              <w:bottom w:w="85" w:type="dxa"/>
              <w:left w:w="85" w:type="dxa"/>
              <w:right w:w="85" w:type="dxa"/>
            </w:tcMar>
          </w:tcPr>
          <w:p>
            <w:pPr>
              <w:spacing w:after="60"/>
              <w:jc w:val="center"/>
            </w:pPr>
            <w:r>
              <w:rPr>
                <w:sz w:val="20"/>
              </w:rPr>
              <w:t>0,86</w:t>
            </w:r>
          </w:p>
        </w:tc>
        <w:tc>
          <w:tcPr>
            <w:tcW w:type="dxa" w:w="2016"/>
            <w:vAlign w:val="center"/>
            <w:tcMar>
              <w:top w:w="85" w:type="dxa"/>
              <w:bottom w:w="85" w:type="dxa"/>
              <w:left w:w="85" w:type="dxa"/>
              <w:right w:w="85" w:type="dxa"/>
            </w:tcMar>
          </w:tcPr>
          <w:p>
            <w:pPr>
              <w:spacing w:after="60"/>
              <w:jc w:val="center"/>
            </w:pPr>
            <w:r>
              <w:rPr>
                <w:sz w:val="20"/>
              </w:rPr>
              <w:t>0,13</w:t>
            </w:r>
          </w:p>
        </w:tc>
        <w:tc>
          <w:tcPr>
            <w:tcW w:type="dxa" w:w="2016"/>
            <w:vAlign w:val="center"/>
            <w:tcMar>
              <w:top w:w="85" w:type="dxa"/>
              <w:bottom w:w="85" w:type="dxa"/>
              <w:left w:w="85" w:type="dxa"/>
              <w:right w:w="85" w:type="dxa"/>
            </w:tcMar>
          </w:tcPr>
          <w:p>
            <w:pPr>
              <w:spacing w:after="60"/>
              <w:jc w:val="center"/>
            </w:pPr>
            <w:r>
              <w:rPr>
                <w:sz w:val="20"/>
              </w:rPr>
              <w:t>0,25</w:t>
            </w:r>
          </w:p>
        </w:tc>
      </w:tr>
      <w:tr>
        <w:tc>
          <w:tcPr>
            <w:tcW w:type="dxa" w:w="1440"/>
            <w:vAlign w:val="center"/>
            <w:tcMar>
              <w:top w:w="85" w:type="dxa"/>
              <w:bottom w:w="85" w:type="dxa"/>
              <w:left w:w="85" w:type="dxa"/>
              <w:right w:w="85" w:type="dxa"/>
            </w:tcMar>
          </w:tcPr>
          <w:p>
            <w:pPr>
              <w:spacing w:after="60"/>
            </w:pPr>
            <w:r>
              <w:rPr>
                <w:sz w:val="20"/>
              </w:rPr>
              <w:t>PAYSIM</w:t>
            </w:r>
          </w:p>
        </w:tc>
        <w:tc>
          <w:tcPr>
            <w:tcW w:type="dxa" w:w="2448"/>
            <w:vAlign w:val="center"/>
            <w:tcMar>
              <w:top w:w="85" w:type="dxa"/>
              <w:bottom w:w="85" w:type="dxa"/>
              <w:left w:w="85" w:type="dxa"/>
              <w:right w:w="85" w:type="dxa"/>
            </w:tcMar>
          </w:tcPr>
          <w:p>
            <w:pPr>
              <w:spacing w:after="60"/>
              <w:jc w:val="center"/>
            </w:pPr>
            <w:r>
              <w:rPr>
                <w:sz w:val="20"/>
              </w:rPr>
              <w:t>autoencoder</w:t>
            </w:r>
          </w:p>
        </w:tc>
        <w:tc>
          <w:tcPr>
            <w:tcW w:type="dxa" w:w="1872"/>
            <w:vAlign w:val="center"/>
            <w:tcMar>
              <w:top w:w="85" w:type="dxa"/>
              <w:bottom w:w="85" w:type="dxa"/>
              <w:left w:w="85" w:type="dxa"/>
              <w:right w:w="85" w:type="dxa"/>
            </w:tcMar>
          </w:tcPr>
          <w:p>
            <w:pPr>
              <w:spacing w:after="60"/>
              <w:jc w:val="center"/>
            </w:pPr>
            <w:r>
              <w:rPr>
                <w:sz w:val="20"/>
              </w:rPr>
              <w:t>27,89</w:t>
            </w:r>
          </w:p>
        </w:tc>
        <w:tc>
          <w:tcPr>
            <w:tcW w:type="dxa" w:w="2016"/>
            <w:vAlign w:val="center"/>
            <w:tcMar>
              <w:top w:w="85" w:type="dxa"/>
              <w:bottom w:w="85" w:type="dxa"/>
              <w:left w:w="85" w:type="dxa"/>
              <w:right w:w="85" w:type="dxa"/>
            </w:tcMar>
          </w:tcPr>
          <w:p>
            <w:pPr>
              <w:spacing w:after="60"/>
              <w:jc w:val="center"/>
            </w:pPr>
            <w:r>
              <w:rPr>
                <w:sz w:val="20"/>
              </w:rPr>
              <w:t>2,29</w:t>
            </w:r>
          </w:p>
        </w:tc>
        <w:tc>
          <w:tcPr>
            <w:tcW w:type="dxa" w:w="2016"/>
            <w:vAlign w:val="center"/>
            <w:tcMar>
              <w:top w:w="85" w:type="dxa"/>
              <w:bottom w:w="85" w:type="dxa"/>
              <w:left w:w="85" w:type="dxa"/>
              <w:right w:w="85" w:type="dxa"/>
            </w:tcMar>
          </w:tcPr>
          <w:p>
            <w:pPr>
              <w:spacing w:after="60"/>
              <w:jc w:val="center"/>
            </w:pPr>
            <w:r>
              <w:rPr>
                <w:sz w:val="20"/>
              </w:rPr>
              <w:t>0,17</w:t>
            </w:r>
          </w:p>
        </w:tc>
      </w:tr>
      <w:tr>
        <w:tc>
          <w:tcPr>
            <w:tcW w:type="dxa" w:w="1440"/>
            <w:vAlign w:val="center"/>
            <w:tcMar>
              <w:top w:w="85" w:type="dxa"/>
              <w:bottom w:w="85" w:type="dxa"/>
              <w:left w:w="85" w:type="dxa"/>
              <w:right w:w="85" w:type="dxa"/>
            </w:tcMar>
          </w:tcPr>
          <w:p>
            <w:pPr>
              <w:spacing w:after="60"/>
            </w:pPr>
            <w:r>
              <w:rPr>
                <w:sz w:val="20"/>
              </w:rPr>
              <w:t>PAYSIM</w:t>
            </w:r>
          </w:p>
        </w:tc>
        <w:tc>
          <w:tcPr>
            <w:tcW w:type="dxa" w:w="2448"/>
            <w:vAlign w:val="center"/>
            <w:tcMar>
              <w:top w:w="85" w:type="dxa"/>
              <w:bottom w:w="85" w:type="dxa"/>
              <w:left w:w="85" w:type="dxa"/>
              <w:right w:w="85" w:type="dxa"/>
            </w:tcMar>
          </w:tcPr>
          <w:p>
            <w:pPr>
              <w:spacing w:after="60"/>
              <w:jc w:val="center"/>
            </w:pPr>
            <w:r>
              <w:rPr>
                <w:sz w:val="20"/>
              </w:rPr>
              <w:t>gnn</w:t>
            </w:r>
          </w:p>
        </w:tc>
        <w:tc>
          <w:tcPr>
            <w:tcW w:type="dxa" w:w="1872"/>
            <w:vAlign w:val="center"/>
            <w:tcMar>
              <w:top w:w="85" w:type="dxa"/>
              <w:bottom w:w="85" w:type="dxa"/>
              <w:left w:w="85" w:type="dxa"/>
              <w:right w:w="85" w:type="dxa"/>
            </w:tcMar>
          </w:tcPr>
          <w:p>
            <w:pPr>
              <w:spacing w:after="60"/>
              <w:jc w:val="center"/>
            </w:pPr>
            <w:r>
              <w:rPr>
                <w:sz w:val="20"/>
              </w:rPr>
              <w:t>175,25</w:t>
            </w:r>
          </w:p>
        </w:tc>
        <w:tc>
          <w:tcPr>
            <w:tcW w:type="dxa" w:w="2016"/>
            <w:vAlign w:val="center"/>
            <w:tcMar>
              <w:top w:w="85" w:type="dxa"/>
              <w:bottom w:w="85" w:type="dxa"/>
              <w:left w:w="85" w:type="dxa"/>
              <w:right w:w="85" w:type="dxa"/>
            </w:tcMar>
          </w:tcPr>
          <w:p>
            <w:pPr>
              <w:spacing w:after="60"/>
              <w:jc w:val="center"/>
            </w:pPr>
            <w:r>
              <w:rPr>
                <w:sz w:val="20"/>
              </w:rPr>
              <w:t>30,94</w:t>
            </w:r>
          </w:p>
        </w:tc>
        <w:tc>
          <w:tcPr>
            <w:tcW w:type="dxa" w:w="2016"/>
            <w:vAlign w:val="center"/>
            <w:tcMar>
              <w:top w:w="85" w:type="dxa"/>
              <w:bottom w:w="85" w:type="dxa"/>
              <w:left w:w="85" w:type="dxa"/>
              <w:right w:w="85" w:type="dxa"/>
            </w:tcMar>
          </w:tcPr>
          <w:p>
            <w:pPr>
              <w:spacing w:after="60"/>
              <w:jc w:val="center"/>
            </w:pPr>
            <w:r>
              <w:rPr>
                <w:sz w:val="20"/>
              </w:rPr>
              <w:t>2,51</w:t>
            </w:r>
          </w:p>
        </w:tc>
      </w:tr>
      <w:tr>
        <w:tc>
          <w:tcPr>
            <w:tcW w:type="dxa" w:w="1440"/>
            <w:vAlign w:val="center"/>
            <w:tcMar>
              <w:top w:w="85" w:type="dxa"/>
              <w:bottom w:w="85" w:type="dxa"/>
              <w:left w:w="85" w:type="dxa"/>
              <w:right w:w="85" w:type="dxa"/>
            </w:tcMar>
          </w:tcPr>
          <w:p>
            <w:pPr>
              <w:spacing w:after="60"/>
            </w:pPr>
            <w:r>
              <w:rPr>
                <w:sz w:val="20"/>
              </w:rPr>
              <w:t>PAYSIM</w:t>
            </w:r>
          </w:p>
        </w:tc>
        <w:tc>
          <w:tcPr>
            <w:tcW w:type="dxa" w:w="2448"/>
            <w:vAlign w:val="center"/>
            <w:tcMar>
              <w:top w:w="85" w:type="dxa"/>
              <w:bottom w:w="85" w:type="dxa"/>
              <w:left w:w="85" w:type="dxa"/>
              <w:right w:w="85" w:type="dxa"/>
            </w:tcMar>
          </w:tcPr>
          <w:p>
            <w:pPr>
              <w:spacing w:after="60"/>
              <w:jc w:val="center"/>
            </w:pPr>
            <w:r>
              <w:rPr>
                <w:sz w:val="20"/>
              </w:rPr>
              <w:t>hybrid</w:t>
            </w:r>
          </w:p>
        </w:tc>
        <w:tc>
          <w:tcPr>
            <w:tcW w:type="dxa" w:w="1872"/>
            <w:vAlign w:val="center"/>
            <w:tcMar>
              <w:top w:w="85" w:type="dxa"/>
              <w:bottom w:w="85" w:type="dxa"/>
              <w:left w:w="85" w:type="dxa"/>
              <w:right w:w="85" w:type="dxa"/>
            </w:tcMar>
          </w:tcPr>
          <w:p>
            <w:pPr>
              <w:spacing w:after="60"/>
              <w:jc w:val="center"/>
            </w:pPr>
            <w:r>
              <w:rPr>
                <w:sz w:val="20"/>
              </w:rPr>
              <w:t>274,78</w:t>
            </w:r>
          </w:p>
        </w:tc>
        <w:tc>
          <w:tcPr>
            <w:tcW w:type="dxa" w:w="2016"/>
            <w:vAlign w:val="center"/>
            <w:tcMar>
              <w:top w:w="85" w:type="dxa"/>
              <w:bottom w:w="85" w:type="dxa"/>
              <w:left w:w="85" w:type="dxa"/>
              <w:right w:w="85" w:type="dxa"/>
            </w:tcMar>
          </w:tcPr>
          <w:p>
            <w:pPr>
              <w:spacing w:after="60"/>
              <w:jc w:val="center"/>
            </w:pPr>
            <w:r>
              <w:rPr>
                <w:sz w:val="20"/>
              </w:rPr>
              <w:t>46,36</w:t>
            </w:r>
          </w:p>
        </w:tc>
        <w:tc>
          <w:tcPr>
            <w:tcW w:type="dxa" w:w="2016"/>
            <w:vAlign w:val="center"/>
            <w:tcMar>
              <w:top w:w="85" w:type="dxa"/>
              <w:bottom w:w="85" w:type="dxa"/>
              <w:left w:w="85" w:type="dxa"/>
              <w:right w:w="85" w:type="dxa"/>
            </w:tcMar>
          </w:tcPr>
          <w:p>
            <w:pPr>
              <w:spacing w:after="60"/>
              <w:jc w:val="center"/>
            </w:pPr>
            <w:r>
              <w:rPr>
                <w:sz w:val="20"/>
              </w:rPr>
              <w:t>3,63</w:t>
            </w:r>
          </w:p>
        </w:tc>
      </w:tr>
    </w:tbl>
    <w:p/>
    <w:p>
      <w:r>
        <w:t>Se excluyen lectura de CSV, ajuste general del preprocesador, construcción inicial del grafo, escritura de checkpoints y cálculo SHAP. La inferencia de grafos sí incluye la preparación de medias y subgrafos utilizada para producir sus scores.</w:t>
      </w:r>
    </w:p>
    <w:p>
      <w:r>
        <w:rPr>
          <w:i/>
        </w:rPr>
        <w:t>Qué decir  «La arquitectura debe justificarse por lo que aporta y por lo que cuesta. Un modelo más lento no es necesariamente mejor. Esta tabla describe mi equipo y ventanas; no es una medición bancaria en tiempo real.»</w:t>
      </w:r>
    </w:p>
    <w:p>
      <w:pPr>
        <w:pStyle w:val="Heading2"/>
      </w:pPr>
      <w:r>
        <w:t>Comprobación de reproducibilidad</w:t>
      </w:r>
    </w:p>
    <w:p>
      <w:r>
        <w:t>protocol.json conserva configuración, semillas, versiones y hashes. training_results.json conserva selección de validación. predictions.npz conserva scores, etiquetas y timestamps. audit.json comprueba checkpoints, mismas particiones, umbrales congelados, métricas y matrices de confusión.</w:t>
      </w:r>
    </w:p>
    <w:p>
      <w:r>
        <w:br w:type="page"/>
      </w:r>
    </w:p>
    <w:p>
      <w:pPr>
        <w:pStyle w:val="Heading1"/>
      </w:pPr>
      <w:r>
        <w:t>Explicabilidad SHAP del híbrido</w:t>
      </w:r>
    </w:p>
    <w:p>
      <w:r>
        <w:t>Abre src/explainability/conditional_shap.py. FixedContextPredictor reconstruye la computación del híbrido real en subgrafos disjuntos y cambia únicamente los atributos del nodo objetivo. GroupCoalitions reúne codificaciones e indicadores del mismo nombre de columna y los reemplaza usando referencias de train.</w:t>
      </w:r>
    </w:p>
    <w:p>
      <w:r>
        <w:t>PermutationExplainer estima contribuciones mediante permutaciones. No utiliza un clasificador sustituto ni interpreta pesos de atención como SHAP. Se verifica tanto la coincidencia con el score guardado como la identidad base más suma de contribuciones igual al score, dentro de tolerancia numérica.</w:t>
      </w:r>
    </w:p>
    <w:p>
      <w:r>
        <w:rPr>
          <w:i/>
        </w:rPr>
        <w:t>Qué decir  «SHAP me permite ver qué grupos de atributos aumentan o reducen la puntuación del híbrido para una transacción. Mantengo fijas las relaciones y la historia. Por eso no digo que expliqué causalmente el fraude ni que medí la importancia de una arista.»</w:t>
      </w:r>
    </w:p>
    <w:p>
      <w:r>
        <w:t>La explicación usa 8 filas de train como fondo, 3 permutaciones y 16 transacciones aleatorias de test. La importancia global es de esa muestra, no de toda la población. Se añaden TP, FP, FN y TN ilustrativos cuando existen; esos extras no forman parte de la media global.</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1872"/>
        <w:gridCol w:w="5040"/>
      </w:tblGrid>
      <w:tr>
        <w:trPr>
          <w:tblHeader/>
        </w:trPr>
        <w:tc>
          <w:tcPr>
            <w:tcW w:type="dxa" w:w="2880"/>
            <w:shd w:fill="EEEEEE"/>
            <w:vAlign w:val="center"/>
            <w:tcMar>
              <w:top w:w="85" w:type="dxa"/>
              <w:bottom w:w="85" w:type="dxa"/>
              <w:left w:w="85" w:type="dxa"/>
              <w:right w:w="85" w:type="dxa"/>
            </w:tcMar>
          </w:tcPr>
          <w:p>
            <w:pPr>
              <w:spacing w:after="60"/>
            </w:pPr>
            <w:r>
              <w:rPr>
                <w:b/>
                <w:sz w:val="20"/>
              </w:rPr>
              <w:t>Dataset</w:t>
            </w:r>
          </w:p>
        </w:tc>
        <w:tc>
          <w:tcPr>
            <w:tcW w:type="dxa" w:w="1872"/>
            <w:shd w:fill="EEEEEE"/>
            <w:vAlign w:val="center"/>
            <w:tcMar>
              <w:top w:w="85" w:type="dxa"/>
              <w:bottom w:w="85" w:type="dxa"/>
              <w:left w:w="85" w:type="dxa"/>
              <w:right w:w="85" w:type="dxa"/>
            </w:tcMar>
          </w:tcPr>
          <w:p>
            <w:pPr>
              <w:spacing w:after="60"/>
              <w:jc w:val="center"/>
            </w:pPr>
            <w:r>
              <w:rPr>
                <w:b/>
                <w:sz w:val="20"/>
              </w:rPr>
              <w:t>Grupos</w:t>
            </w:r>
          </w:p>
        </w:tc>
        <w:tc>
          <w:tcPr>
            <w:tcW w:type="dxa" w:w="5040"/>
            <w:shd w:fill="EEEEEE"/>
            <w:vAlign w:val="center"/>
            <w:tcMar>
              <w:top w:w="85" w:type="dxa"/>
              <w:bottom w:w="85" w:type="dxa"/>
              <w:left w:w="85" w:type="dxa"/>
              <w:right w:w="85" w:type="dxa"/>
            </w:tcMar>
          </w:tcPr>
          <w:p>
            <w:pPr>
              <w:spacing w:after="60"/>
              <w:jc w:val="center"/>
            </w:pPr>
            <w:r>
              <w:rPr>
                <w:b/>
                <w:sz w:val="20"/>
              </w:rPr>
              <w:t>Error máximo de aditividad</w:t>
            </w:r>
          </w:p>
        </w:tc>
      </w:tr>
      <w:tr>
        <w:tc>
          <w:tcPr>
            <w:tcW w:type="dxa" w:w="2880"/>
            <w:vAlign w:val="center"/>
            <w:tcMar>
              <w:top w:w="85" w:type="dxa"/>
              <w:bottom w:w="85" w:type="dxa"/>
              <w:left w:w="85" w:type="dxa"/>
              <w:right w:w="85" w:type="dxa"/>
            </w:tcMar>
          </w:tcPr>
          <w:p>
            <w:pPr>
              <w:spacing w:after="60"/>
            </w:pPr>
            <w:r>
              <w:rPr>
                <w:sz w:val="20"/>
              </w:rPr>
              <w:t>IEEE</w:t>
            </w:r>
          </w:p>
        </w:tc>
        <w:tc>
          <w:tcPr>
            <w:tcW w:type="dxa" w:w="1872"/>
            <w:vAlign w:val="center"/>
            <w:tcMar>
              <w:top w:w="85" w:type="dxa"/>
              <w:bottom w:w="85" w:type="dxa"/>
              <w:left w:w="85" w:type="dxa"/>
              <w:right w:w="85" w:type="dxa"/>
            </w:tcMar>
          </w:tcPr>
          <w:p>
            <w:pPr>
              <w:spacing w:after="60"/>
              <w:jc w:val="center"/>
            </w:pPr>
            <w:r>
              <w:rPr>
                <w:sz w:val="20"/>
              </w:rPr>
              <w:t>424</w:t>
            </w:r>
          </w:p>
        </w:tc>
        <w:tc>
          <w:tcPr>
            <w:tcW w:type="dxa" w:w="5040"/>
            <w:vAlign w:val="center"/>
            <w:tcMar>
              <w:top w:w="85" w:type="dxa"/>
              <w:bottom w:w="85" w:type="dxa"/>
              <w:left w:w="85" w:type="dxa"/>
              <w:right w:w="85" w:type="dxa"/>
            </w:tcMar>
          </w:tcPr>
          <w:p>
            <w:pPr>
              <w:spacing w:after="60"/>
              <w:jc w:val="center"/>
            </w:pPr>
            <w:r>
              <w:rPr>
                <w:sz w:val="20"/>
              </w:rPr>
              <w:t>1.19e-07</w:t>
            </w:r>
          </w:p>
        </w:tc>
      </w:tr>
      <w:tr>
        <w:tc>
          <w:tcPr>
            <w:tcW w:type="dxa" w:w="2880"/>
            <w:vAlign w:val="center"/>
            <w:tcMar>
              <w:top w:w="85" w:type="dxa"/>
              <w:bottom w:w="85" w:type="dxa"/>
              <w:left w:w="85" w:type="dxa"/>
              <w:right w:w="85" w:type="dxa"/>
            </w:tcMar>
          </w:tcPr>
          <w:p>
            <w:pPr>
              <w:spacing w:after="60"/>
            </w:pPr>
            <w:r>
              <w:rPr>
                <w:sz w:val="20"/>
              </w:rPr>
              <w:t>PAYSIM</w:t>
            </w:r>
          </w:p>
        </w:tc>
        <w:tc>
          <w:tcPr>
            <w:tcW w:type="dxa" w:w="1872"/>
            <w:vAlign w:val="center"/>
            <w:tcMar>
              <w:top w:w="85" w:type="dxa"/>
              <w:bottom w:w="85" w:type="dxa"/>
              <w:left w:w="85" w:type="dxa"/>
              <w:right w:w="85" w:type="dxa"/>
            </w:tcMar>
          </w:tcPr>
          <w:p>
            <w:pPr>
              <w:spacing w:after="60"/>
              <w:jc w:val="center"/>
            </w:pPr>
            <w:r>
              <w:rPr>
                <w:sz w:val="20"/>
              </w:rPr>
              <w:t>18</w:t>
            </w:r>
          </w:p>
        </w:tc>
        <w:tc>
          <w:tcPr>
            <w:tcW w:type="dxa" w:w="5040"/>
            <w:vAlign w:val="center"/>
            <w:tcMar>
              <w:top w:w="85" w:type="dxa"/>
              <w:bottom w:w="85" w:type="dxa"/>
              <w:left w:w="85" w:type="dxa"/>
              <w:right w:w="85" w:type="dxa"/>
            </w:tcMar>
          </w:tcPr>
          <w:p>
            <w:pPr>
              <w:spacing w:after="60"/>
              <w:jc w:val="center"/>
            </w:pPr>
            <w:r>
              <w:rPr>
                <w:sz w:val="20"/>
              </w:rPr>
              <w:t>2.98e-08</w:t>
            </w:r>
          </w:p>
        </w:tc>
      </w:tr>
    </w:tbl>
    <w:p/>
    <w:p>
      <w:r>
        <w:t>Las unidades son probabilidad. Contribuciones positivas aumentan el score; negativas lo reducen. Se explican variables transformadas, no unidades monetarias originales. El fondo y las permutaciones influyen. Las variables ingenierizadas, como monto y log-monto, pueden ser grupos separados: las perturbaciones no garantizan transacciones físicamente plausibles.</w:t>
      </w:r>
    </w:p>
    <w:p>
      <w:r>
        <w:t>Referencia del método: shap.readthedocs.io/en/stable/generated/shap.PermutationExplainer.html. En la carpeta explanations se guardan valores, resumen, ranking y gráficos locales.</w:t>
      </w:r>
    </w:p>
    <w:p>
      <w:r>
        <w:br w:type="page"/>
      </w:r>
    </w:p>
    <w:p>
      <w:pPr>
        <w:pStyle w:val="Heading1"/>
      </w:pPr>
      <w:r>
        <w:t>Interpretación de SHAP en IEEE</w:t>
      </w:r>
    </w:p>
    <w:p>
      <w:r>
        <w:t>Media de las contribuciones SHAP absolutas de 16 transacciones de test elegidas uniformemente. Los casos ilustrativos adicionales no se incluyen en este ranking; no representa toda la población.</w:t>
      </w:r>
    </w:p>
    <w:p>
      <w:r>
        <w:drawing>
          <wp:inline xmlns:a="http://schemas.openxmlformats.org/drawingml/2006/main" xmlns:pic="http://schemas.openxmlformats.org/drawingml/2006/picture">
            <wp:extent cx="5897880" cy="4128516"/>
            <wp:docPr id="1" name="Picture 1"/>
            <wp:cNvGraphicFramePr>
              <a:graphicFrameLocks noChangeAspect="1"/>
            </wp:cNvGraphicFramePr>
            <a:graphic>
              <a:graphicData uri="http://schemas.openxmlformats.org/drawingml/2006/picture">
                <pic:pic>
                  <pic:nvPicPr>
                    <pic:cNvPr id="0" name="global_importance.png"/>
                    <pic:cNvPicPr/>
                  </pic:nvPicPr>
                  <pic:blipFill>
                    <a:blip r:embed="rId11"/>
                    <a:stretch>
                      <a:fillRect/>
                    </a:stretch>
                  </pic:blipFill>
                  <pic:spPr>
                    <a:xfrm>
                      <a:off x="0" y="0"/>
                      <a:ext cx="5897880" cy="4128516"/>
                    </a:xfrm>
                    <a:prstGeom prst="rect"/>
                  </pic:spPr>
                </pic:pic>
              </a:graphicData>
            </a:graphic>
          </wp:inline>
        </w:drawing>
      </w:r>
    </w:p>
    <w:p>
      <w:r>
        <w:t>Mayor contribución absoluta media en esta muestra: TransactionAmt, M4, card6. La magnitud no muestra por sí sola la dirección del efecto; abre un caso local para ver qué sube o baja su score.</w:t>
      </w:r>
    </w:p>
    <w:p>
      <w:r>
        <w:t>En el gráfico local, la base es el score medio al reemplazar los atributos con el fondo de train y mantener fijo el contexto. Rojo aumenta el score, azul lo reduce; base más contribuciones llega al score explicado. La base puede cambiar de una transacción a otra.</w:t>
      </w:r>
    </w:p>
    <w:p>
      <w:r>
        <w:rPr>
          <w:i/>
        </w:rPr>
        <w:t>Qué decir  «Este ranking pertenece a una muestra pequeña y al fondo elegido. No afirmo que estos campos sean causas reales de fraude. En los ejemplos locales comparo una alerta correcta, una falsa alerta y un fraude no detectado para entender el comportamiento del modelo.»</w:t>
      </w:r>
    </w:p>
    <w:p>
      <w:r>
        <w:br w:type="page"/>
      </w:r>
    </w:p>
    <w:p>
      <w:pPr>
        <w:pStyle w:val="Heading1"/>
      </w:pPr>
      <w:r>
        <w:t>Interpretación de SHAP en PAYSIM</w:t>
      </w:r>
    </w:p>
    <w:p>
      <w:r>
        <w:t>Media de las contribuciones SHAP absolutas de 16 transacciones de test elegidas uniformemente. Los casos ilustrativos adicionales no se incluyen en este ranking; no representa toda la población.</w:t>
      </w:r>
    </w:p>
    <w:p>
      <w:r>
        <w:drawing>
          <wp:inline xmlns:a="http://schemas.openxmlformats.org/drawingml/2006/main" xmlns:pic="http://schemas.openxmlformats.org/drawingml/2006/picture">
            <wp:extent cx="5897880" cy="4128516"/>
            <wp:docPr id="2" name="Picture 2"/>
            <wp:cNvGraphicFramePr>
              <a:graphicFrameLocks noChangeAspect="1"/>
            </wp:cNvGraphicFramePr>
            <a:graphic>
              <a:graphicData uri="http://schemas.openxmlformats.org/drawingml/2006/picture">
                <pic:pic>
                  <pic:nvPicPr>
                    <pic:cNvPr id="0" name="global_importance.png"/>
                    <pic:cNvPicPr/>
                  </pic:nvPicPr>
                  <pic:blipFill>
                    <a:blip r:embed="rId12"/>
                    <a:stretch>
                      <a:fillRect/>
                    </a:stretch>
                  </pic:blipFill>
                  <pic:spPr>
                    <a:xfrm>
                      <a:off x="0" y="0"/>
                      <a:ext cx="5897880" cy="4128516"/>
                    </a:xfrm>
                    <a:prstGeom prst="rect"/>
                  </pic:spPr>
                </pic:pic>
              </a:graphicData>
            </a:graphic>
          </wp:inline>
        </w:drawing>
      </w:r>
    </w:p>
    <w:p>
      <w:r>
        <w:t>Mayor contribución absoluta media en esta muestra: destination_is_merchant, type, hour_cos. La magnitud no muestra por sí sola la dirección del efecto; abre un caso local para ver qué sube o baja su score.</w:t>
      </w:r>
    </w:p>
    <w:p>
      <w:r>
        <w:t>En el gráfico local, la base es el score medio al reemplazar los atributos con el fondo de train y mantener fijo el contexto. Rojo aumenta el score, azul lo reduce; base más contribuciones llega al score explicado. La base puede cambiar de una transacción a otra.</w:t>
      </w:r>
    </w:p>
    <w:p>
      <w:r>
        <w:rPr>
          <w:i/>
        </w:rPr>
        <w:t>Qué decir  «Este ranking pertenece a una muestra pequeña y al fondo elegido. No afirmo que estos campos sean causas reales de fraude. En los ejemplos locales comparo una alerta correcta, una falsa alerta y un fraude no detectado para entender el comportamiento del modelo.»</w:t>
      </w:r>
    </w:p>
    <w:p>
      <w:r>
        <w:br w:type="page"/>
      </w:r>
    </w:p>
    <w:p>
      <w:pPr>
        <w:pStyle w:val="Heading1"/>
      </w:pPr>
      <w:r>
        <w:t>Demostración y cierre de la exposición</w:t>
      </w:r>
    </w:p>
    <w:p>
      <w:r>
        <w:t>Dentro del proyecto, con (.venv) activo, muestra la corrida guardada sin volver a entrenar:</w:t>
      </w:r>
    </w:p>
    <w:p>
      <w:r>
        <w:rPr>
          <w:rFonts w:ascii="Consolas" w:hAnsi="Consolas"/>
          <w:sz w:val="18"/>
        </w:rPr>
        <w:t>python show_results.py --thesis-run thesis_v1_20261012_154354 --details</w:t>
        <w:br/>
        <w:t>python thesis_experiment.py --stage audit --run thesis_v1_20261012_154354</w:t>
      </w:r>
    </w:p>
    <w:p>
      <w:r>
        <w:t>La primera orden muestra métricas y costos; la segunda comprueba hashes y reproduce las métricas guardadas. No cambian los umbrales ni reinician el aprendizaje.</w:t>
      </w:r>
    </w:p>
    <w:p>
      <w:pPr>
        <w:pStyle w:val="Heading2"/>
      </w:pPr>
      <w:r>
        <w:t>Panel y explicaciones</w:t>
      </w:r>
    </w:p>
    <w:p>
      <w:r>
        <w:rPr>
          <w:rFonts w:ascii="Consolas" w:hAnsi="Consolas"/>
          <w:sz w:val="18"/>
        </w:rPr>
        <w:t>python dashboard_app.py --no-prepare</w:t>
      </w:r>
    </w:p>
    <w:p>
      <w:r>
        <w:t>Abre http://127.0.0.1:8765 y selecciona la corrida thesis_v1. El selector actualiza tablas y curvas; el detalle SHAP muestra ranking y casos. La animación conserva una caché independiente con su fuente identificada. --rebuild-cache genera ejemplos de la corrida thesis_v1 completa más reciente; cambiar el selector a otra corrida no reconstruye esas animaciones. Si el servidor anterior ya está abierto, usa otra terminal con --port 8766 para cargar el código actualizado.</w:t>
      </w:r>
    </w:p>
    <w:p>
      <w:pPr>
        <w:pStyle w:val="Heading2"/>
      </w:pPr>
      <w:r>
        <w:t>Cómo reproducir todo fuera de la exposición</w:t>
      </w:r>
    </w:p>
    <w:p>
      <w:r>
        <w:rPr>
          <w:rFonts w:ascii="Consolas" w:hAnsi="Consolas"/>
          <w:sz w:val="18"/>
        </w:rPr>
        <w:t>python -m pip install -r requirements.txt</w:t>
        <w:br/>
        <w:t>python -m pytest tests -q</w:t>
        <w:br/>
        <w:t>python thesis_experiment.py --stage all</w:t>
      </w:r>
    </w:p>
    <w:p>
      <w:r>
        <w:t>La última orden crea otra corrida y puede tardar. No es necesaria para presentar resultados guardados. Copia los CSV por separado al cambiar de computadora; .venv y outputs no se incluyen automáticamente en Git.</w:t>
      </w:r>
    </w:p>
    <w:p>
      <w:pPr>
        <w:pStyle w:val="Heading2"/>
      </w:pPr>
      <w:r>
        <w:t>Cierre de treinta segundos</w:t>
      </w:r>
    </w:p>
    <w:p>
      <w:r>
        <w:rPr>
          <w:i/>
        </w:rPr>
        <w:t>Qué decir  «Implementé un pipeline temporal común, relaciones adaptadas a cada dataset, cuatro modelos comparables, métricas de desbalance y medición de costo. Añadí SHAP del híbrido con alcance explícito y guardé evidencias auditables. Mis conclusiones se basan en la corrida y sus límites; una arquitectura más compleja debe demostrar su utilidad, no asumirla.»</w:t>
      </w:r>
    </w:p>
    <w:p>
      <w:r>
        <w:t>El código ejecutable cumple el alcance de los seis objetivos para estas ventanas. La redacción de la ficha y el artículo debe alinearse con los cortes reales, el escenario estricto, el alcance SHAP y las conclusiones observadas. La publicación en GitHub requiere una decisión posterior; no se hizo push automático.</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Beteta Paucar Brandon Jonathan   ·   12 de octubre de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SEMINARIO DE INVESTIGACIÓN 1   |   PROYECTO Y EXPOSICIÓN DEL CÓDIGO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actualizada de exposición del proyecto GNN Autoencoder</dc:title>
  <dc:subject/>
  <dc:creator>Beteta Paucar Brandon Jonathan</dc:creator>
  <cp:keywords/>
  <dc:description>generated by python-docx</dc:description>
  <cp:lastModifiedBy/>
  <cp:revision>1</cp:revision>
  <dcterms:created xsi:type="dcterms:W3CDTF">2013-12-23T23:15:00Z</dcterms:created>
  <dcterms:modified xsi:type="dcterms:W3CDTF">2013-12-23T23:15:00Z</dcterms:modified>
  <cp:category/>
</cp:coreProperties>
</file>