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color w:val="78827E"/>
          <w:spacing w:val="30"/>
          <w:sz w:val="15"/>
          <w:szCs w:val="15"/>
        </w:rPr>
        <w:t xml:space="preserve">CONTROL TAXI · PLAZA 28 · 2 DE SEPTIEMBRE DE 2026</w:t>
      </w:r>
    </w:p>
    <w:p>
      <w:pPr>
        <w:spacing w:after="80"/>
      </w:pPr>
      <w:r>
        <w:rPr>
          <w:rFonts w:ascii="Segoe UI" w:cs="Segoe UI" w:eastAsia="Segoe UI" w:hAnsi="Segoe UI"/>
          <w:b/>
          <w:bCs/>
          <w:color w:val="14191C"/>
          <w:sz w:val="38"/>
          <w:szCs w:val="38"/>
        </w:rPr>
        <w:t xml:space="preserve">Catálogo de comisiones del sistema</w:t>
      </w:r>
    </w:p>
    <w:p>
      <w:pPr>
        <w:spacing w:after="280" w:before="0" w:line="276"/>
      </w:pPr>
      <w:r>
        <w:rPr>
          <w:rFonts w:ascii="Segoe UI" w:cs="Segoe UI" w:eastAsia="Segoe UI" w:hAnsi="Segoe UI"/>
          <w:color w:val="4A5450"/>
          <w:sz w:val="22"/>
          <w:szCs w:val="22"/>
        </w:rPr>
        <w:t xml:space="preserve">El catálogo único que quedó fijo en el programa, igual en todas las máquinas, y qué cambia en los folios ya capturados. Autorizado el 2 de septiembre de 2026.</w:t>
      </w:r>
    </w:p>
    <w:tbl>
      <w:tblPr>
        <w:tblW w:type="dxa" w:w="12960"/>
        <w:tblBorders>
          <w:top w:val="single" w:color="A85A11" w:sz="6"/>
          <w:left w:val="single" w:color="A85A11" w:sz="24"/>
          <w:bottom w:val="single" w:color="A85A11" w:sz="6"/>
          <w:right w:val="single" w:color="A85A11" w:sz="6"/>
          <w:insideH w:val="none" w:color="FFFFFF" w:sz="0"/>
          <w:insideV w:val="none" w:color="FFFFFF" w:sz="0"/>
        </w:tblBorders>
      </w:tblPr>
      <w:tblGrid>
        <w:gridCol w:w="12960"/>
      </w:tblGrid>
      <w:tr>
        <w:tc>
          <w:tcPr>
            <w:tcW w:type="dxa" w:w="12960"/>
            <w:shd w:fill="F7EBDC" w:color="auto" w:val="clear"/>
            <w:tcMar>
              <w:top w:type="dxa" w:w="200"/>
              <w:left w:type="dxa" w:w="240"/>
              <w:bottom w:type="dxa" w:w="200"/>
              <w:right w:type="dxa" w:w="240"/>
            </w:tcMar>
          </w:tcPr>
          <w:p>
            <w:pPr>
              <w:spacing w:after="120" w:before="0" w:line="276"/>
            </w:pPr>
            <w:r>
              <w:rPr>
                <w:rFonts w:ascii="Segoe UI" w:cs="Segoe UI" w:eastAsia="Segoe UI" w:hAnsi="Segoe UI"/>
                <w:b/>
                <w:bCs/>
                <w:color w:val="A85A11"/>
                <w:sz w:val="24"/>
                <w:szCs w:val="24"/>
              </w:rPr>
              <w:t xml:space="preserve">Un solo catálogo, igual en todas las máquinas</w:t>
            </w:r>
          </w:p>
          <w:p>
            <w:pPr>
              <w:spacing w:after="0" w:before="0" w:line="276"/>
            </w:pPr>
            <w:r>
              <w:rPr>
                <w:rFonts w:ascii="Segoe UI" w:cs="Segoe UI" w:eastAsia="Segoe UI" w:hAnsi="Segoe UI"/>
                <w:color w:val="4A5450"/>
                <w:sz w:val="20"/>
                <w:szCs w:val="20"/>
              </w:rPr>
              <w:t xml:space="preserve">Las comisiones por transporte ya no se configuran máquina por máquina: viajan dentro del programa. Cada equipo que se instale queda con las mismas 17 unidades y las mismas tarifas, y la pantalla de Configuración de comisiones las muestra de sólo lectura. El catálogo manda siempre sobre el del punto de venta y aplica a todo el histórico: un folio de 2025 se recalcula con la misma tarifa que uno de hoy.</w:t>
            </w:r>
          </w:p>
        </w:tc>
      </w:tr>
    </w:tbl>
    <w:p>
      <w:pPr>
        <w:pStyle w:val="Heading1"/>
        <w:spacing w:after="130" w:before="340"/>
      </w:pPr>
      <w:r>
        <w:rPr>
          <w:rFonts w:ascii="Segoe UI" w:cs="Segoe UI" w:eastAsia="Segoe UI" w:hAnsi="Segoe UI"/>
          <w:b/>
          <w:bCs/>
          <w:color w:val="14191C"/>
          <w:sz w:val="26"/>
          <w:szCs w:val="26"/>
        </w:rPr>
        <w:t xml:space="preserve">1. Lo que estaba configurado antes en una de las cajas</w:t>
      </w:r>
    </w:p>
    <w:p>
      <w:pPr>
        <w:spacing w:after="140" w:before="0" w:line="276"/>
      </w:pPr>
      <w:r>
        <w:rPr>
          <w:rFonts w:ascii="Segoe UI" w:cs="Segoe UI" w:eastAsia="Segoe UI" w:hAnsi="Segoe UI"/>
          <w:color w:val="4A5450"/>
          <w:sz w:val="20"/>
          <w:szCs w:val="20"/>
        </w:rPr>
        <w:t xml:space="preserve">Siete unidades. Es lo que tenía una de las cajas el 2 de septiembre, y sirve de contraste: las diez que le faltaban se cobraban con el catálogo viejo del punto de venta.</w:t>
      </w:r>
    </w:p>
    <w:tbl>
      <w:tblPr>
        <w:tblW w:type="dxa" w:w="12960"/>
        <w:tblBorders>
          <w:top w:val="single" w:color="D6DCD8" w:sz="6"/>
          <w:left w:val="single" w:color="D6DCD8" w:sz="6"/>
          <w:bottom w:val="single" w:color="D6DCD8" w:sz="6"/>
          <w:right w:val="single" w:color="D6DCD8" w:sz="6"/>
          <w:insideH w:val="single" w:color="D6DCD8" w:sz="4"/>
          <w:insideV w:val="single" w:color="D6DCD8" w:sz="4"/>
        </w:tblBorders>
      </w:tblPr>
      <w:tblGrid>
        <w:gridCol w:w="2700"/>
        <w:gridCol w:w="1150"/>
        <w:gridCol w:w="1150"/>
        <w:gridCol w:w="1150"/>
        <w:gridCol w:w="1150"/>
        <w:gridCol w:w="1400"/>
        <w:gridCol w:w="4260"/>
      </w:tblGrid>
      <w:tr>
        <w:trPr>
          <w:tblHeader/>
        </w:trPr>
        <w:tc>
          <w:tcPr>
            <w:tcW w:type="dxa" w:w="270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UNIDAD</w:t>
            </w:r>
          </w:p>
        </w:tc>
        <w:tc>
          <w:tcPr>
            <w:tcW w:type="dxa" w:w="115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COMISIÓN</w:t>
            </w:r>
          </w:p>
        </w:tc>
        <w:tc>
          <w:tcPr>
            <w:tcW w:type="dxa" w:w="115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EFECTIVO</w:t>
            </w:r>
          </w:p>
        </w:tc>
        <w:tc>
          <w:tcPr>
            <w:tcW w:type="dxa" w:w="115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TARJETA</w:t>
            </w:r>
          </w:p>
        </w:tc>
        <w:tc>
          <w:tcPr>
            <w:tcW w:type="dxa" w:w="115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AMEX</w:t>
            </w:r>
          </w:p>
        </w:tc>
        <w:tc>
          <w:tcPr>
            <w:tcW w:type="dxa" w:w="140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DEJADA</w:t>
            </w:r>
          </w:p>
        </w:tc>
        <w:tc>
          <w:tcPr>
            <w:tcW w:type="dxa" w:w="426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VIGENCIA</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GUIA</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$50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01/01/2026 en adelante</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MAJESTIC EXPEDITIONS</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8 %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01/01/2026 en adelante</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TAXI AZUL</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$250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01/01/2026 en adelante</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TAXI CAFE</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$250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01/01/2026 en adelante</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TURIBUS ADO</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01/01/2026 en adelante</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TURIBUS SALMORAN</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16 %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$200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01/01/2026 en adelante</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VAN CAFE</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$350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01/01/2026 en adelante</w:t>
            </w:r>
          </w:p>
        </w:tc>
      </w:tr>
    </w:tbl>
    <w:p>
      <w:pPr>
        <w:pStyle w:val="Heading1"/>
        <w:spacing w:after="130" w:before="340"/>
      </w:pPr>
      <w:r>
        <w:rPr>
          <w:rFonts w:ascii="Segoe UI" w:cs="Segoe UI" w:eastAsia="Segoe UI" w:hAnsi="Segoe UI"/>
          <w:b/>
          <w:bCs/>
          <w:color w:val="14191C"/>
          <w:sz w:val="26"/>
          <w:szCs w:val="26"/>
        </w:rPr>
        <w:t xml:space="preserve">2. Qué cambia en los folios ya capturados</w:t>
      </w:r>
    </w:p>
    <w:p>
      <w:pPr>
        <w:spacing w:after="140" w:before="0" w:line="276"/>
      </w:pPr>
      <w:r>
        <w:rPr>
          <w:rFonts w:ascii="Segoe UI" w:cs="Segoe UI" w:eastAsia="Segoe UI" w:hAnsi="Segoe UI"/>
          <w:color w:val="4A5450"/>
          <w:sz w:val="20"/>
          <w:szCs w:val="20"/>
        </w:rPr>
        <w:t xml:space="preserve">Cuatro unidades cambian de porcentaje al aplicar el catálogo a todo el histórico. La columna de usos es el número de veces que esa unidad aparece capturada en la base.</w:t>
      </w:r>
    </w:p>
    <w:tbl>
      <w:tblPr>
        <w:tblW w:type="dxa" w:w="12960"/>
        <w:tblBorders>
          <w:top w:val="single" w:color="D6DCD8" w:sz="6"/>
          <w:left w:val="single" w:color="D6DCD8" w:sz="6"/>
          <w:bottom w:val="single" w:color="D6DCD8" w:sz="6"/>
          <w:right w:val="single" w:color="D6DCD8" w:sz="6"/>
          <w:insideH w:val="single" w:color="D6DCD8" w:sz="4"/>
          <w:insideV w:val="single" w:color="D6DCD8" w:sz="4"/>
        </w:tblBorders>
      </w:tblPr>
      <w:tblGrid>
        <w:gridCol w:w="2700"/>
        <w:gridCol w:w="2100"/>
        <w:gridCol w:w="4080"/>
        <w:gridCol w:w="4080"/>
      </w:tblGrid>
      <w:tr>
        <w:trPr>
          <w:tblHeader/>
        </w:trPr>
        <w:tc>
          <w:tcPr>
            <w:tcW w:type="dxa" w:w="270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UNIDAD</w:t>
            </w:r>
          </w:p>
        </w:tc>
        <w:tc>
          <w:tcPr>
            <w:tcW w:type="dxa" w:w="210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USOS EN LA BASE</w:t>
            </w:r>
          </w:p>
        </w:tc>
        <w:tc>
          <w:tcPr>
            <w:tcW w:type="dxa" w:w="408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QUÉ SE COBRABA ANTES</w:t>
            </w:r>
          </w:p>
        </w:tc>
        <w:tc>
          <w:tcPr>
            <w:tcW w:type="dxa" w:w="408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QUÉ SE COBRA AHORA</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GUIAS</w:t>
            </w:r>
          </w:p>
        </w:tc>
        <w:tc>
          <w:tcPr>
            <w:tcW w:type="dxa" w:w="21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989</w:t>
            </w:r>
          </w:p>
        </w:tc>
        <w:tc>
          <w:tcPr>
            <w:tcW w:type="dxa" w:w="408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8 % — del catálogo del punto de venta</w:t>
            </w:r>
          </w:p>
        </w:tc>
        <w:tc>
          <w:tcPr>
            <w:tcW w:type="dxa" w:w="408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10 % — sale PARCIAL, faltó dinero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VAN TRANSPORTADORAS</w:t>
            </w:r>
          </w:p>
        </w:tc>
        <w:tc>
          <w:tcPr>
            <w:tcW w:type="dxa" w:w="21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602</w:t>
            </w:r>
          </w:p>
        </w:tc>
        <w:tc>
          <w:tcPr>
            <w:tcW w:type="dxa" w:w="408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20 % — del catálogo del punto de venta</w:t>
            </w:r>
          </w:p>
        </w:tc>
        <w:tc>
          <w:tcPr>
            <w:tcW w:type="dxa" w:w="408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10 % — se pagó de más</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TRAVEL EXPERIENCE</w:t>
            </w:r>
          </w:p>
        </w:tc>
        <w:tc>
          <w:tcPr>
            <w:tcW w:type="dxa" w:w="21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23</w:t>
            </w:r>
          </w:p>
        </w:tc>
        <w:tc>
          <w:tcPr>
            <w:tcW w:type="dxa" w:w="408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20 % — del catálogo del punto de venta</w:t>
            </w:r>
          </w:p>
        </w:tc>
        <w:tc>
          <w:tcPr>
            <w:tcW w:type="dxa" w:w="408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10 % — se pagó de más</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MAJESTIC EXPEDITIONS</w:t>
            </w:r>
          </w:p>
        </w:tc>
        <w:tc>
          <w:tcPr>
            <w:tcW w:type="dxa" w:w="21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1,159</w:t>
            </w:r>
          </w:p>
        </w:tc>
        <w:tc>
          <w:tcPr>
            <w:tcW w:type="dxa" w:w="4080"/>
            <w:shd w:fill="F7EBDC" w:color="auto" w:val="clear"/>
            <w:tcMar>
              <w:top w:type="dxa" w:w="110"/>
              <w:left w:type="dxa" w:w="120"/>
              <w:bottom w:type="dxa" w:w="110"/>
              <w:right w:type="dxa" w:w="120"/>
            </w:tcMar>
          </w:tcPr>
          <w:p>
            <w:pPr>
              <w:spacing w:after="0"/>
            </w:pPr>
            <w:r>
              <w:rPr>
                <w:rFonts w:ascii="Segoe UI" w:cs="Segoe UI" w:eastAsia="Segoe UI" w:hAnsi="Segoe UI"/>
                <w:b/>
                <w:bCs/>
                <w:color w:val="A85A11"/>
                <w:sz w:val="18"/>
                <w:szCs w:val="18"/>
              </w:rPr>
              <w:t xml:space="preserve">20 % hasta el 11/08/2026</w:t>
            </w:r>
          </w:p>
        </w:tc>
        <w:tc>
          <w:tcPr>
            <w:tcW w:type="dxa" w:w="4080"/>
            <w:shd w:fill="F7EBDC" w:color="auto" w:val="clear"/>
            <w:tcMar>
              <w:top w:type="dxa" w:w="110"/>
              <w:left w:type="dxa" w:w="120"/>
              <w:bottom w:type="dxa" w:w="110"/>
              <w:right w:type="dxa" w:w="120"/>
            </w:tcMar>
          </w:tcPr>
          <w:p>
            <w:pPr>
              <w:spacing w:after="0"/>
            </w:pPr>
            <w:r>
              <w:rPr>
                <w:rFonts w:ascii="Segoe UI" w:cs="Segoe UI" w:eastAsia="Segoe UI" w:hAnsi="Segoe UI"/>
                <w:b/>
                <w:bCs/>
                <w:color w:val="A85A11"/>
                <w:sz w:val="18"/>
                <w:szCs w:val="18"/>
              </w:rPr>
              <w:t xml:space="preserve">8 % — se pagó de más</w:t>
            </w:r>
          </w:p>
        </w:tc>
      </w:tr>
    </w:tbl>
    <w:p>
      <w:pPr>
        <w:spacing w:after="120" w:before="120" w:line="276"/>
      </w:pPr>
      <w:r>
        <w:rPr>
          <w:rFonts w:ascii="Segoe UI" w:cs="Segoe UI" w:eastAsia="Segoe UI" w:hAnsi="Segoe UI"/>
          <w:color w:val="4A5450"/>
          <w:sz w:val="20"/>
          <w:szCs w:val="20"/>
        </w:rPr>
        <w:t xml:space="preserve">Las otras trece unidades no se mueven. Al abrir Comisiones con fechas viejas van a aparecer saldos que antes no estaban: no es que el sistema se haya descompuesto, es que ahora todo se mide con la misma vara.</w:t>
      </w:r>
    </w:p>
    <w:p>
      <w:pPr>
        <w:pStyle w:val="Heading1"/>
        <w:spacing w:after="130" w:before="340"/>
      </w:pPr>
      <w:r>
        <w:rPr>
          <w:rFonts w:ascii="Segoe UI" w:cs="Segoe UI" w:eastAsia="Segoe UI" w:hAnsi="Segoe UI"/>
          <w:b/>
          <w:bCs/>
          <w:color w:val="14191C"/>
          <w:sz w:val="26"/>
          <w:szCs w:val="26"/>
        </w:rPr>
        <w:t xml:space="preserve">3. El catálogo del sistema</w:t>
      </w:r>
    </w:p>
    <w:p>
      <w:pPr>
        <w:spacing w:after="140" w:before="0" w:line="276"/>
      </w:pPr>
      <w:r>
        <w:rPr>
          <w:rFonts w:ascii="Segoe UI" w:cs="Segoe UI" w:eastAsia="Segoe UI" w:hAnsi="Segoe UI"/>
          <w:color w:val="4A5450"/>
          <w:sz w:val="20"/>
          <w:szCs w:val="20"/>
        </w:rPr>
        <w:t xml:space="preserve">Diecisiete unidades. Es lo que quedó fijo en el programa: la misma tarifa para toda la historia, sin cortes de vigencia.</w:t>
      </w:r>
    </w:p>
    <w:tbl>
      <w:tblPr>
        <w:tblW w:type="dxa" w:w="12960"/>
        <w:tblBorders>
          <w:top w:val="single" w:color="D6DCD8" w:sz="6"/>
          <w:left w:val="single" w:color="D6DCD8" w:sz="6"/>
          <w:bottom w:val="single" w:color="D6DCD8" w:sz="6"/>
          <w:right w:val="single" w:color="D6DCD8" w:sz="6"/>
          <w:insideH w:val="single" w:color="D6DCD8" w:sz="4"/>
          <w:insideV w:val="single" w:color="D6DCD8" w:sz="4"/>
        </w:tblBorders>
      </w:tblPr>
      <w:tblGrid>
        <w:gridCol w:w="2700"/>
        <w:gridCol w:w="1150"/>
        <w:gridCol w:w="1150"/>
        <w:gridCol w:w="1150"/>
        <w:gridCol w:w="1150"/>
        <w:gridCol w:w="1400"/>
        <w:gridCol w:w="4260"/>
      </w:tblGrid>
      <w:tr>
        <w:trPr>
          <w:tblHeader/>
        </w:trPr>
        <w:tc>
          <w:tcPr>
            <w:tcW w:type="dxa" w:w="270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UNIDAD</w:t>
            </w:r>
          </w:p>
        </w:tc>
        <w:tc>
          <w:tcPr>
            <w:tcW w:type="dxa" w:w="115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COMISIÓN</w:t>
            </w:r>
          </w:p>
        </w:tc>
        <w:tc>
          <w:tcPr>
            <w:tcW w:type="dxa" w:w="115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EFECTIVO</w:t>
            </w:r>
          </w:p>
        </w:tc>
        <w:tc>
          <w:tcPr>
            <w:tcW w:type="dxa" w:w="115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TARJETA</w:t>
            </w:r>
          </w:p>
        </w:tc>
        <w:tc>
          <w:tcPr>
            <w:tcW w:type="dxa" w:w="115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AMEX</w:t>
            </w:r>
          </w:p>
        </w:tc>
        <w:tc>
          <w:tcPr>
            <w:tcW w:type="dxa" w:w="140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DEJADA</w:t>
            </w:r>
          </w:p>
        </w:tc>
        <w:tc>
          <w:tcPr>
            <w:tcW w:type="dxa" w:w="4260"/>
            <w:shd w:fill="F1F3F1" w:color="auto" w:val="clear"/>
            <w:tcMar>
              <w:top w:type="dxa" w:w="100"/>
              <w:left w:type="dxa" w:w="120"/>
              <w:bottom w:type="dxa" w:w="100"/>
              <w:right w:type="dxa" w:w="120"/>
            </w:tcMar>
          </w:tcPr>
          <w:p>
            <w:pPr>
              <w:spacing w:after="0"/>
            </w:pPr>
            <w:r>
              <w:rPr>
                <w:rFonts w:ascii="Segoe UI" w:cs="Segoe UI" w:eastAsia="Segoe UI" w:hAnsi="Segoe UI"/>
                <w:b/>
                <w:bCs/>
                <w:color w:val="78827E"/>
                <w:sz w:val="14"/>
                <w:szCs w:val="14"/>
              </w:rPr>
              <w:t xml:space="preserve">VIGENCIA</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GUIAS</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$50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MAJESTIC EXPEDITIONS</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8 %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TRAVEL EXPERIENCE</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TAXI AZUL</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$250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TAXI CAFE</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$250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TAXI ROJO</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$300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TAXI VERDE</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TULAKA</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16 %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$200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TURIBUS ADO</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TURIBUS SALMORAN</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16 %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$200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UBER</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$200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UBER  ALIANZA</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$250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VAN AZUL</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$350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VAN CAFE</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$350</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VAN ROJA</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VAN TRANSPORTADORAS</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r>
        <w:tc>
          <w:tcPr>
            <w:tcW w:type="dxa" w:w="270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VAN VERDE</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0 %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19 %</w:t>
            </w:r>
          </w:p>
        </w:tc>
        <w:tc>
          <w:tcPr>
            <w:tcW w:type="dxa" w:w="115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24 %</w:t>
            </w:r>
          </w:p>
        </w:tc>
        <w:tc>
          <w:tcPr>
            <w:tcW w:type="dxa" w:w="1400"/>
            <w:tcMar>
              <w:top w:type="dxa" w:w="110"/>
              <w:left w:type="dxa" w:w="120"/>
              <w:bottom w:type="dxa" w:w="110"/>
              <w:right w:type="dxa" w:w="120"/>
            </w:tcMar>
          </w:tcPr>
          <w:p>
            <w:pPr>
              <w:spacing w:after="0"/>
              <w:jc w:val="right"/>
            </w:pPr>
            <w:r>
              <w:rPr>
                <w:rFonts w:ascii="Segoe UI" w:cs="Segoe UI" w:eastAsia="Segoe UI" w:hAnsi="Segoe UI"/>
                <w:color w:val="14191C"/>
                <w:sz w:val="18"/>
                <w:szCs w:val="18"/>
              </w:rPr>
              <w:t xml:space="preserve">—</w:t>
            </w:r>
          </w:p>
        </w:tc>
        <w:tc>
          <w:tcPr>
            <w:tcW w:type="dxa" w:w="4260"/>
            <w:tcMar>
              <w:top w:type="dxa" w:w="110"/>
              <w:left w:type="dxa" w:w="120"/>
              <w:bottom w:type="dxa" w:w="110"/>
              <w:right w:type="dxa" w:w="120"/>
            </w:tcMar>
          </w:tcPr>
          <w:p>
            <w:pPr>
              <w:spacing w:after="0"/>
            </w:pPr>
            <w:r>
              <w:rPr>
                <w:rFonts w:ascii="Segoe UI" w:cs="Segoe UI" w:eastAsia="Segoe UI" w:hAnsi="Segoe UI"/>
                <w:color w:val="14191C"/>
                <w:sz w:val="18"/>
                <w:szCs w:val="18"/>
              </w:rPr>
              <w:t xml:space="preserve">todo el histórico</w:t>
            </w:r>
          </w:p>
        </w:tc>
      </w:tr>
    </w:tbl>
    <w:p>
      <w:pPr>
        <w:pStyle w:val="Heading1"/>
        <w:spacing w:after="130" w:before="340"/>
      </w:pPr>
      <w:r>
        <w:rPr>
          <w:rFonts w:ascii="Segoe UI" w:cs="Segoe UI" w:eastAsia="Segoe UI" w:hAnsi="Segoe UI"/>
          <w:b/>
          <w:bCs/>
          <w:color w:val="14191C"/>
          <w:sz w:val="26"/>
          <w:szCs w:val="26"/>
        </w:rPr>
        <w:t xml:space="preserve">4. Cuidados al mantenerlo</w:t>
      </w:r>
    </w:p>
    <w:p>
      <w:pPr>
        <w:pStyle w:val="ListParagraph"/>
        <w:numPr>
          <w:ilvl w:val="0"/>
          <w:numId w:val="2"/>
        </w:numPr>
        <w:spacing w:after="110" w:before="0" w:line="276"/>
      </w:pPr>
      <w:r>
        <w:rPr>
          <w:rFonts w:ascii="Segoe UI" w:cs="Segoe UI" w:eastAsia="Segoe UI" w:hAnsi="Segoe UI"/>
          <w:color w:val="4A5450"/>
          <w:sz w:val="20"/>
          <w:szCs w:val="20"/>
        </w:rPr>
        <w:t xml:space="preserve">El nombre se escribe tal cual está en el catálogo del punto de venta, incluidos los espacios. UBER  ALIANZA lleva DOS espacios entre las dos palabras: así está guardado y así llega en cada captura. Con un solo espacio deja de emparejar.</w:t>
      </w:r>
    </w:p>
    <w:p>
      <w:pPr>
        <w:pStyle w:val="ListParagraph"/>
        <w:numPr>
          <w:ilvl w:val="0"/>
          <w:numId w:val="2"/>
        </w:numPr>
        <w:spacing w:after="110" w:before="0" w:line="276"/>
      </w:pPr>
      <w:r>
        <w:rPr>
          <w:rFonts w:ascii="Segoe UI" w:cs="Segoe UI" w:eastAsia="Segoe UI" w:hAnsi="Segoe UI"/>
          <w:color w:val="4A5450"/>
          <w:sz w:val="20"/>
          <w:szCs w:val="20"/>
        </w:rPr>
        <w:t xml:space="preserve">MAJESTIC EXPEDITIONS y TRAVEL EXPERIENCE son unidades distintas aunque en el punto de venta compartan renglón: Majestic cobra 8 % y Travel 10 %. Cada una tiene su propia clave para que no se roben el emparejamiento.</w:t>
      </w:r>
    </w:p>
    <w:p>
      <w:pPr>
        <w:pStyle w:val="ListParagraph"/>
        <w:numPr>
          <w:ilvl w:val="0"/>
          <w:numId w:val="2"/>
        </w:numPr>
        <w:spacing w:after="110" w:before="0" w:line="276"/>
      </w:pPr>
      <w:r>
        <w:rPr>
          <w:rFonts w:ascii="Segoe UI" w:cs="Segoe UI" w:eastAsia="Segoe UI" w:hAnsi="Segoe UI"/>
          <w:color w:val="4A5450"/>
          <w:sz w:val="20"/>
          <w:szCs w:val="20"/>
        </w:rPr>
        <w:t xml:space="preserve">La unidad capturada se guarda cortada a 10 caracteres, así que casi siempre llega un pedazo del nombre (TURIBUS SA, Transporta, TRAVEL EXP). El sistema empareja por parecido, pero el catálogo debe llevar el nombre completo, no el recortado.</w:t>
      </w:r>
    </w:p>
    <w:p>
      <w:pPr>
        <w:pStyle w:val="ListParagraph"/>
        <w:numPr>
          <w:ilvl w:val="0"/>
          <w:numId w:val="2"/>
        </w:numPr>
        <w:spacing w:after="110" w:before="0" w:line="276"/>
      </w:pPr>
      <w:r>
        <w:rPr>
          <w:rFonts w:ascii="Segoe UI" w:cs="Segoe UI" w:eastAsia="Segoe UI" w:hAnsi="Segoe UI"/>
          <w:color w:val="4A5450"/>
          <w:sz w:val="20"/>
          <w:szCs w:val="20"/>
        </w:rPr>
        <w:t xml:space="preserve">Los errores de dedo conocidos entran por una lista de alias aparte: TRAVER por TRAVEL, TAXOVERDE por TAXI VERDE y VANTRANSPOTADORA por VAN TRANSPORTADORAS. Si aparece uno nuevo hay que agregarlo ahí; el parecido por sí solo no lo alcanza.</w:t>
      </w:r>
    </w:p>
    <w:p>
      <w:pPr>
        <w:pStyle w:val="ListParagraph"/>
        <w:numPr>
          <w:ilvl w:val="0"/>
          <w:numId w:val="2"/>
        </w:numPr>
        <w:spacing w:after="110" w:before="0" w:line="276"/>
      </w:pPr>
      <w:r>
        <w:rPr>
          <w:rFonts w:ascii="Segoe UI" w:cs="Segoe UI" w:eastAsia="Segoe UI" w:hAnsi="Segoe UI"/>
          <w:color w:val="4A5450"/>
          <w:sz w:val="20"/>
          <w:szCs w:val="20"/>
        </w:rPr>
        <w:t xml:space="preserve">Las retenciones de tarjeta (19 %) y AMEX (24 %) son iguales en todas las unidades. La de efectivo sólo es distinta de cero en TURIBUS SALMORAN y TULAKA.</w:t>
      </w:r>
    </w:p>
    <w:p>
      <w:pPr>
        <w:pStyle w:val="ListParagraph"/>
        <w:numPr>
          <w:ilvl w:val="0"/>
          <w:numId w:val="2"/>
        </w:numPr>
        <w:spacing w:after="110" w:before="0" w:line="276"/>
      </w:pPr>
      <w:r>
        <w:rPr>
          <w:rFonts w:ascii="Segoe UI" w:cs="Segoe UI" w:eastAsia="Segoe UI" w:hAnsi="Segoe UI"/>
          <w:color w:val="4A5450"/>
          <w:sz w:val="20"/>
          <w:szCs w:val="20"/>
        </w:rPr>
        <w:t xml:space="preserve">Para cambiar una tarifa hay dos caminos y la diferencia importa: si la tarifa nueva debe aplicar también a lo viejo, se edita el renglón; si es un cambio a partir de una fecha y lo anterior se cobró distinto, se le pone fecha de fin al renglón y se agrega otro que empieza al día siguiente.</w:t>
      </w:r>
    </w:p>
    <w:p>
      <w:pPr>
        <w:spacing w:after="0" w:before="220" w:line="276"/>
      </w:pPr>
      <w:r>
        <w:rPr>
          <w:rFonts w:ascii="Segoe UI" w:cs="Segoe UI" w:eastAsia="Segoe UI" w:hAnsi="Segoe UI"/>
          <w:color w:val="14191C"/>
          <w:sz w:val="20"/>
          <w:szCs w:val="20"/>
        </w:rPr>
        <w:t xml:space="preserve"/>
      </w:r>
    </w:p>
    <w:p>
      <w:pPr>
        <w:pBdr>
          <w:top w:val="single" w:color="D6DCD8" w:sz="6" w:space="12"/>
        </w:pBdr>
        <w:spacing w:after="120" w:before="0" w:line="276"/>
      </w:pPr>
      <w:r>
        <w:rPr>
          <w:rFonts w:ascii="Segoe UI" w:cs="Segoe UI" w:eastAsia="Segoe UI" w:hAnsi="Segoe UI"/>
          <w:color w:val="78827E"/>
          <w:sz w:val="16"/>
          <w:szCs w:val="16"/>
        </w:rPr>
        <w:t xml:space="preserve">Datos tomados de la base de configuración del 2 de septiembre de 2026 y de las capturas de la pantalla de Configuración de comisiones de la máquina revisada. Los usos por unidad salen del conteo de las 81 unidades distintas capturadas en la base de operación.</w:t>
      </w:r>
    </w:p>
    <w:sectPr>
      <w:pgSz w:w="15840" w:h="12240" w:orient="landscape"/>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2026-09-02T20:54:19.129Z</dcterms:created>
  <dcterms:modified xsi:type="dcterms:W3CDTF">2026-09-02T20:54:19.138Z</dcterms:modified>
</cp:coreProperties>
</file>

<file path=docProps/custom.xml><?xml version="1.0" encoding="utf-8"?>
<Properties xmlns="http://schemas.openxmlformats.org/officeDocument/2006/custom-properties" xmlns:vt="http://schemas.openxmlformats.org/officeDocument/2006/docPropsVTypes"/>
</file>