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E6CCC" w14:textId="0C3E04FA" w:rsidR="00DB7531" w:rsidRPr="00F25194" w:rsidRDefault="00DB7531" w:rsidP="00DB7531"/>
    <w:p w14:paraId="77E20DC1" w14:textId="77777777" w:rsidR="00104F8D" w:rsidRPr="00F25194" w:rsidRDefault="00104F8D" w:rsidP="00104F8D">
      <w:pPr>
        <w:pStyle w:val="Heading1"/>
        <w:spacing w:line="276" w:lineRule="auto"/>
        <w:jc w:val="left"/>
        <w:rPr>
          <w:rFonts w:ascii="Arial" w:hAnsi="Arial" w:cs="Arial"/>
          <w:sz w:val="22"/>
          <w:szCs w:val="22"/>
        </w:rPr>
      </w:pPr>
      <w:r w:rsidRPr="00F25194">
        <w:rPr>
          <w:rFonts w:ascii="Arial" w:hAnsi="Arial" w:cs="Arial"/>
          <w:sz w:val="22"/>
          <w:szCs w:val="22"/>
        </w:rPr>
        <w:t>To: Supervisor Smith</w:t>
      </w:r>
    </w:p>
    <w:p w14:paraId="3636A65E" w14:textId="77777777" w:rsidR="00104F8D" w:rsidRPr="00F25194" w:rsidRDefault="00104F8D" w:rsidP="00104F8D">
      <w:pPr>
        <w:rPr>
          <w:b/>
        </w:rPr>
      </w:pPr>
      <w:r w:rsidRPr="00F25194">
        <w:rPr>
          <w:b/>
        </w:rPr>
        <w:t>From: Brandon Hobbs</w:t>
      </w:r>
    </w:p>
    <w:p w14:paraId="6999245C" w14:textId="35A07767" w:rsidR="00104F8D" w:rsidRPr="00F25194" w:rsidRDefault="00104F8D" w:rsidP="00104F8D">
      <w:pPr>
        <w:rPr>
          <w:b/>
        </w:rPr>
      </w:pPr>
      <w:r w:rsidRPr="00F25194">
        <w:rPr>
          <w:b/>
        </w:rPr>
        <w:t xml:space="preserve">Date: </w:t>
      </w:r>
      <w:r w:rsidR="00704FC2">
        <w:rPr>
          <w:b/>
        </w:rPr>
        <w:t>February 6, 2023</w:t>
      </w:r>
    </w:p>
    <w:p w14:paraId="3314D0D0" w14:textId="77777777" w:rsidR="00104F8D" w:rsidRPr="00F25194" w:rsidRDefault="00104F8D" w:rsidP="00104F8D">
      <w:pPr>
        <w:rPr>
          <w:b/>
        </w:rPr>
      </w:pPr>
      <w:r w:rsidRPr="00F25194">
        <w:rPr>
          <w:b/>
        </w:rPr>
        <w:t>Subject: Executive Summary and Actions for Wayne Supermarket Data Project</w:t>
      </w:r>
    </w:p>
    <w:p w14:paraId="2A2CF432" w14:textId="77777777" w:rsidR="00104F8D" w:rsidRPr="00F25194" w:rsidRDefault="00104F8D" w:rsidP="00104F8D"/>
    <w:p w14:paraId="19A0FD0E" w14:textId="77777777" w:rsidR="00104F8D" w:rsidRPr="00F25194" w:rsidRDefault="00104F8D" w:rsidP="00104F8D">
      <w:r w:rsidRPr="00F25194">
        <w:t>To create an effective joining of Wayne and Bruce data, without sacrificing quality, the data was profiled with our current Business Rules in mind. Moreover, the attributes available within the Wayne data were reviewed for their possible mapping to the Bruce data.</w:t>
      </w:r>
    </w:p>
    <w:p w14:paraId="4251B201" w14:textId="53269945" w:rsidR="00104F8D" w:rsidRPr="00F25194" w:rsidRDefault="00104F8D" w:rsidP="00DB7531"/>
    <w:p w14:paraId="367933A1" w14:textId="2922B26A" w:rsidR="0055755B" w:rsidRPr="00F25194" w:rsidRDefault="00104F8D" w:rsidP="000B0C77">
      <w:pPr>
        <w:suppressAutoHyphens/>
        <w:spacing w:line="240" w:lineRule="auto"/>
        <w:contextualSpacing/>
      </w:pPr>
      <w:r w:rsidRPr="00F25194">
        <w:t>To further validate the data, post transformation, descriptive statistics were captured.</w:t>
      </w:r>
      <w:r w:rsidR="008F1864">
        <w:t xml:space="preserve"> </w:t>
      </w:r>
      <w:r w:rsidR="0055755B" w:rsidRPr="00F25194">
        <w:t xml:space="preserve">To start the data profiling, the </w:t>
      </w:r>
      <w:r w:rsidR="005F22BA">
        <w:t>count</w:t>
      </w:r>
      <w:r w:rsidR="0055755B" w:rsidRPr="00F25194">
        <w:t xml:space="preserve"> of objects was established, Table 1.</w:t>
      </w:r>
    </w:p>
    <w:p w14:paraId="3DC52337" w14:textId="4EE4DB8F" w:rsidR="000B0C77" w:rsidRPr="00F25194" w:rsidRDefault="000B0C77" w:rsidP="00DB7531">
      <w:pPr>
        <w:suppressAutoHyphens/>
        <w:spacing w:line="240" w:lineRule="auto"/>
        <w:ind w:left="720"/>
        <w:contextualSpacing/>
      </w:pPr>
    </w:p>
    <w:p w14:paraId="3CC7C9FA" w14:textId="1C9B4711" w:rsidR="000B0C77" w:rsidRPr="00F25194" w:rsidRDefault="0055755B" w:rsidP="0055755B">
      <w:pPr>
        <w:suppressAutoHyphens/>
        <w:spacing w:line="240" w:lineRule="auto"/>
        <w:ind w:left="720" w:hanging="720"/>
        <w:contextualSpacing/>
        <w:rPr>
          <w:rFonts w:eastAsia="Calibri"/>
          <w:b/>
          <w:bCs/>
        </w:rPr>
      </w:pPr>
      <w:r w:rsidRPr="00F25194">
        <w:rPr>
          <w:rFonts w:eastAsia="Calibri"/>
          <w:b/>
          <w:bCs/>
        </w:rPr>
        <w:t xml:space="preserve">Table 1: Descriptive </w:t>
      </w:r>
      <w:r w:rsidR="00BC58D3" w:rsidRPr="00F25194">
        <w:rPr>
          <w:rFonts w:eastAsia="Calibri"/>
          <w:b/>
          <w:bCs/>
        </w:rPr>
        <w:t>Statistics</w:t>
      </w:r>
      <w:r w:rsidRPr="00F25194">
        <w:rPr>
          <w:rFonts w:eastAsia="Calibri"/>
          <w:b/>
          <w:bCs/>
        </w:rPr>
        <w:t xml:space="preserve"> of the </w:t>
      </w:r>
      <w:r w:rsidR="00BC58D3" w:rsidRPr="00F25194">
        <w:rPr>
          <w:rFonts w:eastAsia="Calibri"/>
          <w:b/>
          <w:bCs/>
        </w:rPr>
        <w:t>Raw</w:t>
      </w:r>
      <w:r w:rsidR="00B205F1" w:rsidRPr="00F25194">
        <w:rPr>
          <w:rFonts w:eastAsia="Calibri"/>
          <w:b/>
          <w:bCs/>
        </w:rPr>
        <w:t xml:space="preserve"> and Rejected</w:t>
      </w:r>
      <w:r w:rsidR="00BC58D3" w:rsidRPr="00F25194">
        <w:rPr>
          <w:rFonts w:eastAsia="Calibri"/>
          <w:b/>
          <w:bCs/>
        </w:rPr>
        <w:t xml:space="preserve"> Data</w:t>
      </w:r>
    </w:p>
    <w:tbl>
      <w:tblPr>
        <w:tblStyle w:val="a"/>
        <w:tblW w:w="94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0"/>
        <w:gridCol w:w="1620"/>
        <w:gridCol w:w="2700"/>
        <w:gridCol w:w="930"/>
        <w:gridCol w:w="1560"/>
        <w:gridCol w:w="1563"/>
        <w:gridCol w:w="13"/>
      </w:tblGrid>
      <w:tr w:rsidR="00DF50B4" w:rsidRPr="00F25194" w14:paraId="06B799B8" w14:textId="77777777" w:rsidTr="00CB7463">
        <w:trPr>
          <w:cantSplit/>
          <w:tblHeader/>
        </w:trPr>
        <w:tc>
          <w:tcPr>
            <w:tcW w:w="1070" w:type="dxa"/>
            <w:shd w:val="clear" w:color="auto" w:fill="auto"/>
            <w:tcMar>
              <w:top w:w="0" w:type="dxa"/>
              <w:left w:w="115" w:type="dxa"/>
              <w:bottom w:w="0" w:type="dxa"/>
              <w:right w:w="115" w:type="dxa"/>
            </w:tcMar>
            <w:vAlign w:val="center"/>
          </w:tcPr>
          <w:p w14:paraId="16B63F3B" w14:textId="77777777" w:rsidR="00DF50B4" w:rsidRPr="00F25194" w:rsidRDefault="00DF50B4" w:rsidP="00CB7463">
            <w:pPr>
              <w:pBdr>
                <w:top w:val="nil"/>
                <w:left w:val="nil"/>
                <w:bottom w:val="nil"/>
                <w:right w:val="nil"/>
                <w:between w:val="nil"/>
              </w:pBdr>
              <w:suppressAutoHyphens/>
              <w:spacing w:line="240" w:lineRule="auto"/>
              <w:contextualSpacing/>
              <w:jc w:val="center"/>
              <w:rPr>
                <w:rFonts w:eastAsia="Calibri"/>
              </w:rPr>
            </w:pPr>
          </w:p>
        </w:tc>
        <w:tc>
          <w:tcPr>
            <w:tcW w:w="8386" w:type="dxa"/>
            <w:gridSpan w:val="6"/>
            <w:shd w:val="clear" w:color="auto" w:fill="auto"/>
            <w:tcMar>
              <w:top w:w="0" w:type="dxa"/>
              <w:left w:w="115" w:type="dxa"/>
              <w:bottom w:w="0" w:type="dxa"/>
              <w:right w:w="115" w:type="dxa"/>
            </w:tcMar>
            <w:vAlign w:val="center"/>
          </w:tcPr>
          <w:p w14:paraId="68A46B5C" w14:textId="77777777" w:rsidR="00DF50B4" w:rsidRPr="00F25194" w:rsidRDefault="00737E1C" w:rsidP="00CB7463">
            <w:pPr>
              <w:pBdr>
                <w:top w:val="nil"/>
                <w:left w:val="nil"/>
                <w:bottom w:val="nil"/>
                <w:right w:val="nil"/>
                <w:between w:val="nil"/>
              </w:pBdr>
              <w:suppressAutoHyphens/>
              <w:spacing w:line="240" w:lineRule="auto"/>
              <w:contextualSpacing/>
              <w:jc w:val="center"/>
              <w:rPr>
                <w:rFonts w:eastAsia="Calibri"/>
                <w:b/>
              </w:rPr>
            </w:pPr>
            <w:r w:rsidRPr="00F25194">
              <w:rPr>
                <w:rFonts w:eastAsia="Calibri"/>
                <w:b/>
              </w:rPr>
              <w:t>Excel Files</w:t>
            </w:r>
          </w:p>
        </w:tc>
      </w:tr>
      <w:tr w:rsidR="00DF50B4" w:rsidRPr="00F25194" w14:paraId="2ADAF6D6" w14:textId="77777777" w:rsidTr="008726BA">
        <w:trPr>
          <w:gridAfter w:val="1"/>
          <w:wAfter w:w="13" w:type="dxa"/>
          <w:cantSplit/>
          <w:tblHeader/>
        </w:trPr>
        <w:tc>
          <w:tcPr>
            <w:tcW w:w="1070" w:type="dxa"/>
            <w:shd w:val="clear" w:color="auto" w:fill="auto"/>
            <w:tcMar>
              <w:top w:w="0" w:type="dxa"/>
              <w:left w:w="115" w:type="dxa"/>
              <w:bottom w:w="0" w:type="dxa"/>
              <w:right w:w="115" w:type="dxa"/>
            </w:tcMar>
            <w:vAlign w:val="center"/>
          </w:tcPr>
          <w:p w14:paraId="4C90CD88" w14:textId="77777777" w:rsidR="00DF50B4" w:rsidRPr="00F25194" w:rsidRDefault="00DF50B4" w:rsidP="00CB7463">
            <w:pPr>
              <w:pBdr>
                <w:top w:val="nil"/>
                <w:left w:val="nil"/>
                <w:bottom w:val="nil"/>
                <w:right w:val="nil"/>
                <w:between w:val="nil"/>
              </w:pBdr>
              <w:suppressAutoHyphens/>
              <w:spacing w:line="240" w:lineRule="auto"/>
              <w:contextualSpacing/>
              <w:jc w:val="center"/>
              <w:rPr>
                <w:rFonts w:eastAsia="Calibri"/>
              </w:rPr>
            </w:pPr>
          </w:p>
        </w:tc>
        <w:tc>
          <w:tcPr>
            <w:tcW w:w="1620" w:type="dxa"/>
            <w:shd w:val="clear" w:color="auto" w:fill="auto"/>
            <w:tcMar>
              <w:top w:w="0" w:type="dxa"/>
              <w:left w:w="115" w:type="dxa"/>
              <w:bottom w:w="0" w:type="dxa"/>
              <w:right w:w="115" w:type="dxa"/>
            </w:tcMar>
            <w:vAlign w:val="center"/>
          </w:tcPr>
          <w:p w14:paraId="6A29C241" w14:textId="1A4DF01C" w:rsidR="00DF50B4" w:rsidRPr="00F25194" w:rsidRDefault="00737E1C" w:rsidP="00CB7463">
            <w:pPr>
              <w:pBdr>
                <w:top w:val="nil"/>
                <w:left w:val="nil"/>
                <w:bottom w:val="nil"/>
                <w:right w:val="nil"/>
                <w:between w:val="nil"/>
              </w:pBdr>
              <w:suppressAutoHyphens/>
              <w:spacing w:line="240" w:lineRule="auto"/>
              <w:contextualSpacing/>
              <w:jc w:val="center"/>
              <w:rPr>
                <w:rFonts w:eastAsia="Calibri"/>
                <w:b/>
              </w:rPr>
            </w:pPr>
            <w:r w:rsidRPr="00F25194">
              <w:rPr>
                <w:rFonts w:eastAsia="Calibri"/>
                <w:b/>
              </w:rPr>
              <w:t xml:space="preserve">Source </w:t>
            </w:r>
            <w:r w:rsidR="00CB7463" w:rsidRPr="00F25194">
              <w:rPr>
                <w:rFonts w:eastAsia="Calibri"/>
                <w:b/>
              </w:rPr>
              <w:t xml:space="preserve">Wayne </w:t>
            </w:r>
            <w:r w:rsidRPr="00F25194">
              <w:rPr>
                <w:rFonts w:eastAsia="Calibri"/>
                <w:b/>
              </w:rPr>
              <w:t>File</w:t>
            </w:r>
          </w:p>
        </w:tc>
        <w:tc>
          <w:tcPr>
            <w:tcW w:w="2700" w:type="dxa"/>
            <w:shd w:val="clear" w:color="auto" w:fill="auto"/>
            <w:tcMar>
              <w:top w:w="0" w:type="dxa"/>
              <w:left w:w="115" w:type="dxa"/>
              <w:bottom w:w="0" w:type="dxa"/>
              <w:right w:w="115" w:type="dxa"/>
            </w:tcMar>
            <w:vAlign w:val="center"/>
          </w:tcPr>
          <w:p w14:paraId="5F0E2E60" w14:textId="77777777" w:rsidR="00DF50B4" w:rsidRPr="00F25194" w:rsidRDefault="00737E1C" w:rsidP="00CB7463">
            <w:pPr>
              <w:pBdr>
                <w:top w:val="nil"/>
                <w:left w:val="nil"/>
                <w:bottom w:val="nil"/>
                <w:right w:val="nil"/>
                <w:between w:val="nil"/>
              </w:pBdr>
              <w:suppressAutoHyphens/>
              <w:spacing w:line="240" w:lineRule="auto"/>
              <w:contextualSpacing/>
              <w:jc w:val="center"/>
              <w:rPr>
                <w:rFonts w:eastAsia="Calibri"/>
                <w:b/>
              </w:rPr>
            </w:pPr>
            <w:r w:rsidRPr="00F25194">
              <w:rPr>
                <w:rFonts w:eastAsia="Calibri"/>
                <w:b/>
              </w:rPr>
              <w:t>Anomalies</w:t>
            </w:r>
          </w:p>
        </w:tc>
        <w:tc>
          <w:tcPr>
            <w:tcW w:w="930" w:type="dxa"/>
            <w:shd w:val="clear" w:color="auto" w:fill="auto"/>
            <w:tcMar>
              <w:top w:w="0" w:type="dxa"/>
              <w:left w:w="115" w:type="dxa"/>
              <w:bottom w:w="0" w:type="dxa"/>
              <w:right w:w="115" w:type="dxa"/>
            </w:tcMar>
            <w:vAlign w:val="center"/>
          </w:tcPr>
          <w:p w14:paraId="3E15EEE5" w14:textId="77777777" w:rsidR="00DF50B4" w:rsidRPr="00F25194" w:rsidRDefault="00737E1C" w:rsidP="00CB7463">
            <w:pPr>
              <w:pBdr>
                <w:top w:val="nil"/>
                <w:left w:val="nil"/>
                <w:bottom w:val="nil"/>
                <w:right w:val="nil"/>
                <w:between w:val="nil"/>
              </w:pBdr>
              <w:suppressAutoHyphens/>
              <w:spacing w:line="240" w:lineRule="auto"/>
              <w:contextualSpacing/>
              <w:jc w:val="center"/>
              <w:rPr>
                <w:rFonts w:eastAsia="Calibri"/>
                <w:b/>
              </w:rPr>
            </w:pPr>
            <w:r w:rsidRPr="00F25194">
              <w:rPr>
                <w:rFonts w:eastAsia="Calibri"/>
                <w:b/>
              </w:rPr>
              <w:t>Import Data</w:t>
            </w:r>
          </w:p>
        </w:tc>
        <w:tc>
          <w:tcPr>
            <w:tcW w:w="1560" w:type="dxa"/>
            <w:shd w:val="clear" w:color="auto" w:fill="auto"/>
            <w:tcMar>
              <w:top w:w="0" w:type="dxa"/>
              <w:left w:w="115" w:type="dxa"/>
              <w:bottom w:w="0" w:type="dxa"/>
              <w:right w:w="115" w:type="dxa"/>
            </w:tcMar>
            <w:vAlign w:val="center"/>
          </w:tcPr>
          <w:p w14:paraId="6A7A8EBF" w14:textId="7A798D7B" w:rsidR="00DF50B4" w:rsidRPr="00F25194" w:rsidRDefault="00737E1C" w:rsidP="00CB7463">
            <w:pPr>
              <w:pBdr>
                <w:top w:val="nil"/>
                <w:left w:val="nil"/>
                <w:bottom w:val="nil"/>
                <w:right w:val="nil"/>
                <w:between w:val="nil"/>
              </w:pBdr>
              <w:suppressAutoHyphens/>
              <w:spacing w:line="240" w:lineRule="auto"/>
              <w:contextualSpacing/>
              <w:jc w:val="center"/>
              <w:rPr>
                <w:rFonts w:eastAsia="Calibri"/>
                <w:b/>
              </w:rPr>
            </w:pPr>
            <w:r w:rsidRPr="00F25194">
              <w:rPr>
                <w:rFonts w:eastAsia="Calibri"/>
                <w:b/>
              </w:rPr>
              <w:t>Existing</w:t>
            </w:r>
            <w:r w:rsidR="00CB7463" w:rsidRPr="00F25194">
              <w:rPr>
                <w:rFonts w:eastAsia="Calibri"/>
                <w:b/>
              </w:rPr>
              <w:t xml:space="preserve"> Bruce</w:t>
            </w:r>
            <w:r w:rsidRPr="00F25194">
              <w:rPr>
                <w:rFonts w:eastAsia="Calibri"/>
                <w:b/>
              </w:rPr>
              <w:t xml:space="preserve"> Data</w:t>
            </w:r>
          </w:p>
        </w:tc>
        <w:tc>
          <w:tcPr>
            <w:tcW w:w="1563" w:type="dxa"/>
            <w:shd w:val="clear" w:color="auto" w:fill="auto"/>
            <w:tcMar>
              <w:top w:w="0" w:type="dxa"/>
              <w:left w:w="115" w:type="dxa"/>
              <w:bottom w:w="0" w:type="dxa"/>
              <w:right w:w="115" w:type="dxa"/>
            </w:tcMar>
            <w:vAlign w:val="center"/>
          </w:tcPr>
          <w:p w14:paraId="7AC32121" w14:textId="243598AD" w:rsidR="00DF50B4" w:rsidRPr="00F25194" w:rsidRDefault="00737E1C" w:rsidP="00CB7463">
            <w:pPr>
              <w:pBdr>
                <w:top w:val="nil"/>
                <w:left w:val="nil"/>
                <w:bottom w:val="nil"/>
                <w:right w:val="nil"/>
                <w:between w:val="nil"/>
              </w:pBdr>
              <w:suppressAutoHyphens/>
              <w:spacing w:line="240" w:lineRule="auto"/>
              <w:contextualSpacing/>
              <w:jc w:val="center"/>
              <w:rPr>
                <w:rFonts w:eastAsia="Calibri"/>
                <w:b/>
              </w:rPr>
            </w:pPr>
            <w:r w:rsidRPr="00F25194">
              <w:rPr>
                <w:rFonts w:eastAsia="Calibri"/>
                <w:b/>
              </w:rPr>
              <w:t>Merge</w:t>
            </w:r>
            <w:r w:rsidR="00CB7463" w:rsidRPr="00F25194">
              <w:rPr>
                <w:rFonts w:eastAsia="Calibri"/>
                <w:b/>
              </w:rPr>
              <w:t>d</w:t>
            </w:r>
            <w:r w:rsidRPr="00F25194">
              <w:rPr>
                <w:rFonts w:eastAsia="Calibri"/>
                <w:b/>
              </w:rPr>
              <w:t xml:space="preserve"> Data</w:t>
            </w:r>
          </w:p>
        </w:tc>
      </w:tr>
      <w:tr w:rsidR="00DF50B4" w:rsidRPr="00F25194" w14:paraId="45DBA1AE" w14:textId="77777777" w:rsidTr="008726BA">
        <w:trPr>
          <w:gridAfter w:val="1"/>
          <w:wAfter w:w="13" w:type="dxa"/>
          <w:cantSplit/>
        </w:trPr>
        <w:tc>
          <w:tcPr>
            <w:tcW w:w="1070" w:type="dxa"/>
            <w:shd w:val="clear" w:color="auto" w:fill="auto"/>
            <w:tcMar>
              <w:top w:w="0" w:type="dxa"/>
              <w:left w:w="115" w:type="dxa"/>
              <w:bottom w:w="0" w:type="dxa"/>
              <w:right w:w="115" w:type="dxa"/>
            </w:tcMar>
            <w:vAlign w:val="center"/>
          </w:tcPr>
          <w:p w14:paraId="2D3C2F5C" w14:textId="77777777" w:rsidR="00DF50B4" w:rsidRPr="00F25194" w:rsidRDefault="00737E1C" w:rsidP="00CB7463">
            <w:pPr>
              <w:pBdr>
                <w:top w:val="nil"/>
                <w:left w:val="nil"/>
                <w:bottom w:val="nil"/>
                <w:right w:val="nil"/>
                <w:between w:val="nil"/>
              </w:pBdr>
              <w:suppressAutoHyphens/>
              <w:spacing w:line="240" w:lineRule="auto"/>
              <w:contextualSpacing/>
              <w:jc w:val="center"/>
              <w:rPr>
                <w:rFonts w:eastAsia="Calibri"/>
                <w:b/>
              </w:rPr>
            </w:pPr>
            <w:r w:rsidRPr="00F25194">
              <w:rPr>
                <w:rFonts w:eastAsia="Calibri"/>
                <w:b/>
              </w:rPr>
              <w:t>Count</w:t>
            </w:r>
          </w:p>
        </w:tc>
        <w:tc>
          <w:tcPr>
            <w:tcW w:w="1620" w:type="dxa"/>
            <w:shd w:val="clear" w:color="auto" w:fill="auto"/>
            <w:tcMar>
              <w:top w:w="0" w:type="dxa"/>
              <w:left w:w="115" w:type="dxa"/>
              <w:bottom w:w="0" w:type="dxa"/>
              <w:right w:w="115" w:type="dxa"/>
            </w:tcMar>
            <w:vAlign w:val="center"/>
          </w:tcPr>
          <w:p w14:paraId="78F19810" w14:textId="6C18D22C" w:rsidR="00DF50B4" w:rsidRPr="00F25194" w:rsidRDefault="00531BB5" w:rsidP="00CB7463">
            <w:pPr>
              <w:pBdr>
                <w:top w:val="nil"/>
                <w:left w:val="nil"/>
                <w:bottom w:val="nil"/>
                <w:right w:val="nil"/>
                <w:between w:val="nil"/>
              </w:pBdr>
              <w:suppressAutoHyphens/>
              <w:spacing w:line="240" w:lineRule="auto"/>
              <w:contextualSpacing/>
              <w:jc w:val="center"/>
              <w:rPr>
                <w:rFonts w:eastAsia="Calibri"/>
              </w:rPr>
            </w:pPr>
            <w:r w:rsidRPr="00F25194">
              <w:rPr>
                <w:rFonts w:eastAsia="Calibri"/>
              </w:rPr>
              <w:t>205</w:t>
            </w:r>
          </w:p>
        </w:tc>
        <w:tc>
          <w:tcPr>
            <w:tcW w:w="2700" w:type="dxa"/>
            <w:shd w:val="clear" w:color="auto" w:fill="auto"/>
            <w:tcMar>
              <w:top w:w="0" w:type="dxa"/>
              <w:left w:w="115" w:type="dxa"/>
              <w:bottom w:w="0" w:type="dxa"/>
              <w:right w:w="115" w:type="dxa"/>
            </w:tcMar>
            <w:vAlign w:val="center"/>
          </w:tcPr>
          <w:p w14:paraId="3F65B8A0" w14:textId="2A64CEDF" w:rsidR="00E85A1B" w:rsidRDefault="00CE29B5" w:rsidP="00CB7463">
            <w:pPr>
              <w:pBdr>
                <w:top w:val="nil"/>
                <w:left w:val="nil"/>
                <w:bottom w:val="nil"/>
                <w:right w:val="nil"/>
                <w:between w:val="nil"/>
              </w:pBdr>
              <w:suppressAutoHyphens/>
              <w:spacing w:line="240" w:lineRule="auto"/>
              <w:contextualSpacing/>
              <w:jc w:val="center"/>
              <w:rPr>
                <w:rFonts w:eastAsia="Calibri"/>
              </w:rPr>
            </w:pPr>
            <w:r w:rsidRPr="00F25194">
              <w:rPr>
                <w:rFonts w:eastAsia="Calibri"/>
              </w:rPr>
              <w:t>5</w:t>
            </w:r>
            <w:r w:rsidR="008726BA">
              <w:rPr>
                <w:rFonts w:eastAsia="Calibri"/>
              </w:rPr>
              <w:t>*</w:t>
            </w:r>
          </w:p>
          <w:p w14:paraId="67638E21" w14:textId="786101F9" w:rsidR="00DF50B4" w:rsidRPr="00F25194" w:rsidRDefault="008726BA" w:rsidP="008726BA">
            <w:pPr>
              <w:pBdr>
                <w:top w:val="nil"/>
                <w:left w:val="nil"/>
                <w:bottom w:val="nil"/>
                <w:right w:val="nil"/>
                <w:between w:val="nil"/>
              </w:pBdr>
              <w:suppressAutoHyphens/>
              <w:spacing w:line="240" w:lineRule="auto"/>
              <w:contextualSpacing/>
              <w:rPr>
                <w:rFonts w:eastAsia="Calibri"/>
              </w:rPr>
            </w:pPr>
            <w:r>
              <w:rPr>
                <w:rFonts w:eastAsia="Calibri"/>
                <w:sz w:val="20"/>
                <w:szCs w:val="20"/>
              </w:rPr>
              <w:t>*</w:t>
            </w:r>
            <w:proofErr w:type="spellStart"/>
            <w:r w:rsidR="00443154" w:rsidRPr="008726BA">
              <w:rPr>
                <w:rFonts w:eastAsia="Calibri"/>
                <w:sz w:val="20"/>
                <w:szCs w:val="20"/>
              </w:rPr>
              <w:t>BitCoin</w:t>
            </w:r>
            <w:proofErr w:type="spellEnd"/>
            <w:r w:rsidR="00443154" w:rsidRPr="008726BA">
              <w:rPr>
                <w:rFonts w:eastAsia="Calibri"/>
                <w:sz w:val="20"/>
                <w:szCs w:val="20"/>
              </w:rPr>
              <w:t xml:space="preserve"> </w:t>
            </w:r>
            <w:r w:rsidRPr="008726BA">
              <w:rPr>
                <w:rFonts w:eastAsia="Calibri"/>
                <w:sz w:val="20"/>
                <w:szCs w:val="20"/>
              </w:rPr>
              <w:t>c</w:t>
            </w:r>
            <w:r w:rsidR="00443154" w:rsidRPr="008726BA">
              <w:rPr>
                <w:rFonts w:eastAsia="Calibri"/>
                <w:sz w:val="20"/>
                <w:szCs w:val="20"/>
              </w:rPr>
              <w:t>onverted to “N/A</w:t>
            </w:r>
            <w:r w:rsidR="00443154" w:rsidRPr="008726BA">
              <w:rPr>
                <w:rFonts w:eastAsia="Calibri"/>
                <w:sz w:val="24"/>
                <w:szCs w:val="24"/>
              </w:rPr>
              <w:t>”</w:t>
            </w:r>
          </w:p>
        </w:tc>
        <w:tc>
          <w:tcPr>
            <w:tcW w:w="930" w:type="dxa"/>
            <w:shd w:val="clear" w:color="auto" w:fill="auto"/>
            <w:tcMar>
              <w:top w:w="0" w:type="dxa"/>
              <w:left w:w="115" w:type="dxa"/>
              <w:bottom w:w="0" w:type="dxa"/>
              <w:right w:w="115" w:type="dxa"/>
            </w:tcMar>
            <w:vAlign w:val="center"/>
          </w:tcPr>
          <w:p w14:paraId="71506C9D" w14:textId="3F030228" w:rsidR="00DF50B4" w:rsidRPr="00F25194" w:rsidRDefault="00531BB5" w:rsidP="00CB7463">
            <w:pPr>
              <w:pBdr>
                <w:top w:val="nil"/>
                <w:left w:val="nil"/>
                <w:bottom w:val="nil"/>
                <w:right w:val="nil"/>
                <w:between w:val="nil"/>
              </w:pBdr>
              <w:suppressAutoHyphens/>
              <w:spacing w:line="240" w:lineRule="auto"/>
              <w:contextualSpacing/>
              <w:jc w:val="center"/>
              <w:rPr>
                <w:rFonts w:eastAsia="Calibri"/>
              </w:rPr>
            </w:pPr>
            <w:r w:rsidRPr="00F25194">
              <w:rPr>
                <w:rFonts w:eastAsia="Calibri"/>
              </w:rPr>
              <w:t>20</w:t>
            </w:r>
            <w:r w:rsidR="00443154" w:rsidRPr="00F25194">
              <w:rPr>
                <w:rFonts w:eastAsia="Calibri"/>
              </w:rPr>
              <w:t>1</w:t>
            </w:r>
          </w:p>
        </w:tc>
        <w:tc>
          <w:tcPr>
            <w:tcW w:w="1560" w:type="dxa"/>
            <w:shd w:val="clear" w:color="auto" w:fill="auto"/>
            <w:tcMar>
              <w:top w:w="0" w:type="dxa"/>
              <w:left w:w="115" w:type="dxa"/>
              <w:bottom w:w="0" w:type="dxa"/>
              <w:right w:w="115" w:type="dxa"/>
            </w:tcMar>
            <w:vAlign w:val="center"/>
          </w:tcPr>
          <w:p w14:paraId="3563C111" w14:textId="52005CDF" w:rsidR="00DF50B4" w:rsidRPr="00F25194" w:rsidRDefault="001C56C5" w:rsidP="00CB7463">
            <w:pPr>
              <w:pBdr>
                <w:top w:val="nil"/>
                <w:left w:val="nil"/>
                <w:bottom w:val="nil"/>
                <w:right w:val="nil"/>
                <w:between w:val="nil"/>
              </w:pBdr>
              <w:suppressAutoHyphens/>
              <w:spacing w:line="240" w:lineRule="auto"/>
              <w:contextualSpacing/>
              <w:jc w:val="center"/>
              <w:rPr>
                <w:rFonts w:eastAsia="Calibri"/>
              </w:rPr>
            </w:pPr>
            <w:r w:rsidRPr="00F25194">
              <w:rPr>
                <w:rFonts w:eastAsia="Calibri"/>
              </w:rPr>
              <w:t>795</w:t>
            </w:r>
          </w:p>
        </w:tc>
        <w:tc>
          <w:tcPr>
            <w:tcW w:w="1563" w:type="dxa"/>
            <w:shd w:val="clear" w:color="auto" w:fill="auto"/>
            <w:tcMar>
              <w:top w:w="0" w:type="dxa"/>
              <w:left w:w="115" w:type="dxa"/>
              <w:bottom w:w="0" w:type="dxa"/>
              <w:right w:w="115" w:type="dxa"/>
            </w:tcMar>
            <w:vAlign w:val="center"/>
          </w:tcPr>
          <w:p w14:paraId="4EF270BB" w14:textId="6DCB8D51" w:rsidR="00DF50B4" w:rsidRPr="00F25194" w:rsidRDefault="001C56C5" w:rsidP="00CB7463">
            <w:pPr>
              <w:pBdr>
                <w:top w:val="nil"/>
                <w:left w:val="nil"/>
                <w:bottom w:val="nil"/>
                <w:right w:val="nil"/>
                <w:between w:val="nil"/>
              </w:pBdr>
              <w:suppressAutoHyphens/>
              <w:spacing w:line="240" w:lineRule="auto"/>
              <w:contextualSpacing/>
              <w:jc w:val="center"/>
              <w:rPr>
                <w:rFonts w:eastAsia="Calibri"/>
              </w:rPr>
            </w:pPr>
            <w:r w:rsidRPr="00F25194">
              <w:rPr>
                <w:rFonts w:eastAsia="Calibri"/>
              </w:rPr>
              <w:t>99</w:t>
            </w:r>
            <w:r w:rsidR="00443154" w:rsidRPr="00F25194">
              <w:rPr>
                <w:rFonts w:eastAsia="Calibri"/>
              </w:rPr>
              <w:t>6</w:t>
            </w:r>
          </w:p>
        </w:tc>
      </w:tr>
    </w:tbl>
    <w:p w14:paraId="15D671B2" w14:textId="77777777" w:rsidR="00DF50B4" w:rsidRPr="00F25194" w:rsidRDefault="00DF50B4" w:rsidP="00DB7531">
      <w:pPr>
        <w:suppressAutoHyphens/>
        <w:spacing w:line="240" w:lineRule="auto"/>
        <w:contextualSpacing/>
        <w:rPr>
          <w:rFonts w:eastAsia="Calibri"/>
        </w:rPr>
      </w:pPr>
    </w:p>
    <w:p w14:paraId="4B3F915A" w14:textId="4AC0BECA" w:rsidR="00DF50B4" w:rsidRPr="00F25194" w:rsidRDefault="00DF50B4" w:rsidP="00DB7531">
      <w:pPr>
        <w:suppressAutoHyphens/>
        <w:spacing w:line="240" w:lineRule="auto"/>
        <w:ind w:left="720"/>
        <w:contextualSpacing/>
        <w:rPr>
          <w:rFonts w:eastAsia="Calibri"/>
        </w:rPr>
      </w:pPr>
    </w:p>
    <w:p w14:paraId="5F6434CE" w14:textId="342412B8" w:rsidR="00696242" w:rsidRPr="00F25194" w:rsidRDefault="00696242" w:rsidP="00696242">
      <w:pPr>
        <w:suppressAutoHyphens/>
        <w:spacing w:line="240" w:lineRule="auto"/>
        <w:contextualSpacing/>
        <w:rPr>
          <w:rFonts w:eastAsia="Calibri"/>
        </w:rPr>
      </w:pPr>
      <w:r w:rsidRPr="00F25194">
        <w:rPr>
          <w:rFonts w:eastAsia="Calibri"/>
        </w:rPr>
        <w:t>The data for the Gross Margin was computed in the Bruce data</w:t>
      </w:r>
      <w:r w:rsidR="00890023" w:rsidRPr="00F25194">
        <w:rPr>
          <w:rFonts w:eastAsia="Calibri"/>
        </w:rPr>
        <w:t xml:space="preserve">, Wayne data, and then the merged data, Table 2. It is important to note that the </w:t>
      </w:r>
      <w:r w:rsidR="00FE52D7" w:rsidRPr="00F25194">
        <w:rPr>
          <w:rFonts w:eastAsia="Calibri"/>
        </w:rPr>
        <w:t>minimum of each individual minimum is not altered after merging. The same is true for the maximum. The average would need to be weighted for each dataset to have a sense</w:t>
      </w:r>
      <w:r w:rsidR="00F756B8" w:rsidRPr="00F25194">
        <w:rPr>
          <w:rFonts w:eastAsia="Calibri"/>
        </w:rPr>
        <w:t xml:space="preserve"> of the </w:t>
      </w:r>
      <w:r w:rsidR="009D288E" w:rsidRPr="00F25194">
        <w:rPr>
          <w:rFonts w:eastAsia="Calibri"/>
        </w:rPr>
        <w:t xml:space="preserve">correct </w:t>
      </w:r>
      <w:r w:rsidR="00F756B8" w:rsidRPr="00F25194">
        <w:rPr>
          <w:rFonts w:eastAsia="Calibri"/>
        </w:rPr>
        <w:t>value post-</w:t>
      </w:r>
      <w:r w:rsidR="009D288E" w:rsidRPr="00F25194">
        <w:rPr>
          <w:rFonts w:eastAsia="Calibri"/>
        </w:rPr>
        <w:t>merge,</w:t>
      </w:r>
      <w:r w:rsidR="00F756B8" w:rsidRPr="00F25194">
        <w:rPr>
          <w:rFonts w:eastAsia="Calibri"/>
        </w:rPr>
        <w:t xml:space="preserve"> but </w:t>
      </w:r>
      <w:r w:rsidR="009D288E" w:rsidRPr="00F25194">
        <w:rPr>
          <w:rFonts w:eastAsia="Calibri"/>
        </w:rPr>
        <w:t>this has</w:t>
      </w:r>
      <w:r w:rsidR="00F756B8" w:rsidRPr="00F25194">
        <w:rPr>
          <w:rFonts w:eastAsia="Calibri"/>
        </w:rPr>
        <w:t xml:space="preserve"> not been done at this time.</w:t>
      </w:r>
    </w:p>
    <w:p w14:paraId="033CEE8D" w14:textId="77777777" w:rsidR="00696242" w:rsidRPr="00F25194" w:rsidRDefault="00696242" w:rsidP="00696242">
      <w:pPr>
        <w:suppressAutoHyphens/>
        <w:spacing w:line="240" w:lineRule="auto"/>
        <w:contextualSpacing/>
        <w:rPr>
          <w:rFonts w:eastAsia="Calibri"/>
        </w:rPr>
      </w:pPr>
    </w:p>
    <w:p w14:paraId="5040BF4B" w14:textId="03ED81CB" w:rsidR="00696242" w:rsidRPr="00F25194" w:rsidRDefault="00696242" w:rsidP="00696242">
      <w:pPr>
        <w:suppressAutoHyphens/>
        <w:spacing w:line="240" w:lineRule="auto"/>
        <w:contextualSpacing/>
        <w:rPr>
          <w:rFonts w:eastAsia="Calibri"/>
          <w:b/>
          <w:bCs/>
        </w:rPr>
      </w:pPr>
      <w:r w:rsidRPr="00F25194">
        <w:rPr>
          <w:rFonts w:eastAsia="Calibri"/>
          <w:b/>
          <w:bCs/>
        </w:rPr>
        <w:t xml:space="preserve">Table 2: Descriptive Statistics of the Data </w:t>
      </w:r>
      <w:r w:rsidR="00755626">
        <w:rPr>
          <w:rFonts w:eastAsia="Calibri"/>
          <w:b/>
          <w:bCs/>
        </w:rPr>
        <w:t>Before and A</w:t>
      </w:r>
      <w:r w:rsidRPr="00F25194">
        <w:rPr>
          <w:rFonts w:eastAsia="Calibri"/>
          <w:b/>
          <w:bCs/>
        </w:rPr>
        <w:t>fter Merging</w:t>
      </w:r>
    </w:p>
    <w:tbl>
      <w:tblPr>
        <w:tblStyle w:val="a0"/>
        <w:tblW w:w="939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2340"/>
        <w:gridCol w:w="2340"/>
        <w:gridCol w:w="2340"/>
      </w:tblGrid>
      <w:tr w:rsidR="00DF50B4" w:rsidRPr="00F25194" w14:paraId="6F3B9460" w14:textId="77777777" w:rsidTr="00CB7463">
        <w:trPr>
          <w:cantSplit/>
          <w:tblHeader/>
        </w:trPr>
        <w:tc>
          <w:tcPr>
            <w:tcW w:w="2370" w:type="dxa"/>
            <w:shd w:val="clear" w:color="auto" w:fill="auto"/>
            <w:tcMar>
              <w:top w:w="0" w:type="dxa"/>
              <w:left w:w="115" w:type="dxa"/>
              <w:bottom w:w="0" w:type="dxa"/>
              <w:right w:w="115" w:type="dxa"/>
            </w:tcMar>
            <w:vAlign w:val="center"/>
          </w:tcPr>
          <w:p w14:paraId="60B800D6" w14:textId="77777777" w:rsidR="00DF50B4" w:rsidRPr="00F25194" w:rsidRDefault="00DF50B4" w:rsidP="00CB7463">
            <w:pPr>
              <w:suppressAutoHyphens/>
              <w:spacing w:line="240" w:lineRule="auto"/>
              <w:contextualSpacing/>
              <w:jc w:val="center"/>
              <w:rPr>
                <w:rFonts w:eastAsia="Calibri"/>
              </w:rPr>
            </w:pPr>
          </w:p>
        </w:tc>
        <w:tc>
          <w:tcPr>
            <w:tcW w:w="7020" w:type="dxa"/>
            <w:gridSpan w:val="3"/>
            <w:shd w:val="clear" w:color="auto" w:fill="auto"/>
            <w:tcMar>
              <w:top w:w="0" w:type="dxa"/>
              <w:left w:w="115" w:type="dxa"/>
              <w:bottom w:w="0" w:type="dxa"/>
              <w:right w:w="115" w:type="dxa"/>
            </w:tcMar>
            <w:vAlign w:val="center"/>
          </w:tcPr>
          <w:p w14:paraId="0E04F51A" w14:textId="77777777" w:rsidR="00DF50B4" w:rsidRPr="00F25194" w:rsidRDefault="00737E1C" w:rsidP="00CB7463">
            <w:pPr>
              <w:suppressAutoHyphens/>
              <w:spacing w:line="240" w:lineRule="auto"/>
              <w:contextualSpacing/>
              <w:jc w:val="center"/>
              <w:rPr>
                <w:rFonts w:eastAsia="Calibri"/>
                <w:b/>
              </w:rPr>
            </w:pPr>
            <w:r w:rsidRPr="00F25194">
              <w:rPr>
                <w:rFonts w:eastAsia="Calibri"/>
                <w:b/>
              </w:rPr>
              <w:t>Excel</w:t>
            </w:r>
          </w:p>
        </w:tc>
      </w:tr>
      <w:tr w:rsidR="00DF50B4" w:rsidRPr="00F25194" w14:paraId="396B6D6A" w14:textId="77777777" w:rsidTr="00CB7463">
        <w:trPr>
          <w:cantSplit/>
          <w:tblHeader/>
        </w:trPr>
        <w:tc>
          <w:tcPr>
            <w:tcW w:w="2370" w:type="dxa"/>
            <w:shd w:val="clear" w:color="auto" w:fill="auto"/>
            <w:tcMar>
              <w:top w:w="0" w:type="dxa"/>
              <w:left w:w="115" w:type="dxa"/>
              <w:bottom w:w="0" w:type="dxa"/>
              <w:right w:w="115" w:type="dxa"/>
            </w:tcMar>
            <w:vAlign w:val="center"/>
          </w:tcPr>
          <w:p w14:paraId="5BB80DFA" w14:textId="77777777" w:rsidR="00DF50B4" w:rsidRPr="00F25194" w:rsidRDefault="00DF50B4" w:rsidP="00CB7463">
            <w:pPr>
              <w:suppressAutoHyphens/>
              <w:spacing w:line="240" w:lineRule="auto"/>
              <w:contextualSpacing/>
              <w:jc w:val="center"/>
              <w:rPr>
                <w:rFonts w:eastAsia="Calibri"/>
              </w:rPr>
            </w:pPr>
          </w:p>
        </w:tc>
        <w:tc>
          <w:tcPr>
            <w:tcW w:w="2340" w:type="dxa"/>
            <w:shd w:val="clear" w:color="auto" w:fill="auto"/>
            <w:tcMar>
              <w:top w:w="0" w:type="dxa"/>
              <w:left w:w="115" w:type="dxa"/>
              <w:bottom w:w="0" w:type="dxa"/>
              <w:right w:w="115" w:type="dxa"/>
            </w:tcMar>
            <w:vAlign w:val="center"/>
          </w:tcPr>
          <w:p w14:paraId="3EFD0743" w14:textId="77777777" w:rsidR="00DF50B4" w:rsidRPr="00F25194" w:rsidRDefault="00737E1C" w:rsidP="00CB7463">
            <w:pPr>
              <w:suppressAutoHyphens/>
              <w:spacing w:line="240" w:lineRule="auto"/>
              <w:contextualSpacing/>
              <w:jc w:val="center"/>
              <w:rPr>
                <w:rFonts w:eastAsia="Calibri"/>
                <w:b/>
              </w:rPr>
            </w:pPr>
            <w:r w:rsidRPr="00F25194">
              <w:rPr>
                <w:rFonts w:eastAsia="Calibri"/>
                <w:b/>
              </w:rPr>
              <w:t>Import Data</w:t>
            </w:r>
          </w:p>
        </w:tc>
        <w:tc>
          <w:tcPr>
            <w:tcW w:w="2340" w:type="dxa"/>
            <w:shd w:val="clear" w:color="auto" w:fill="auto"/>
            <w:tcMar>
              <w:top w:w="0" w:type="dxa"/>
              <w:left w:w="115" w:type="dxa"/>
              <w:bottom w:w="0" w:type="dxa"/>
              <w:right w:w="115" w:type="dxa"/>
            </w:tcMar>
            <w:vAlign w:val="center"/>
          </w:tcPr>
          <w:p w14:paraId="0C0C6E35" w14:textId="1510669D" w:rsidR="00DF50B4" w:rsidRPr="00F25194" w:rsidRDefault="00737E1C" w:rsidP="00CB7463">
            <w:pPr>
              <w:suppressAutoHyphens/>
              <w:spacing w:line="240" w:lineRule="auto"/>
              <w:contextualSpacing/>
              <w:jc w:val="center"/>
              <w:rPr>
                <w:rFonts w:eastAsia="Calibri"/>
                <w:b/>
              </w:rPr>
            </w:pPr>
            <w:r w:rsidRPr="00F25194">
              <w:rPr>
                <w:rFonts w:eastAsia="Calibri"/>
                <w:b/>
              </w:rPr>
              <w:t xml:space="preserve">Existing </w:t>
            </w:r>
            <w:r w:rsidR="00CB7463" w:rsidRPr="00F25194">
              <w:rPr>
                <w:rFonts w:eastAsia="Calibri"/>
                <w:b/>
              </w:rPr>
              <w:t xml:space="preserve">Bruce </w:t>
            </w:r>
            <w:r w:rsidRPr="00F25194">
              <w:rPr>
                <w:rFonts w:eastAsia="Calibri"/>
                <w:b/>
              </w:rPr>
              <w:t>Data</w:t>
            </w:r>
          </w:p>
        </w:tc>
        <w:tc>
          <w:tcPr>
            <w:tcW w:w="2340" w:type="dxa"/>
            <w:shd w:val="clear" w:color="auto" w:fill="auto"/>
            <w:tcMar>
              <w:top w:w="0" w:type="dxa"/>
              <w:left w:w="115" w:type="dxa"/>
              <w:bottom w:w="0" w:type="dxa"/>
              <w:right w:w="115" w:type="dxa"/>
            </w:tcMar>
            <w:vAlign w:val="center"/>
          </w:tcPr>
          <w:p w14:paraId="53ECAB10" w14:textId="77777777" w:rsidR="00DF50B4" w:rsidRPr="00F25194" w:rsidRDefault="00737E1C" w:rsidP="00CB7463">
            <w:pPr>
              <w:suppressAutoHyphens/>
              <w:spacing w:line="240" w:lineRule="auto"/>
              <w:contextualSpacing/>
              <w:jc w:val="center"/>
              <w:rPr>
                <w:rFonts w:eastAsia="Calibri"/>
                <w:b/>
              </w:rPr>
            </w:pPr>
            <w:r w:rsidRPr="00F25194">
              <w:rPr>
                <w:rFonts w:eastAsia="Calibri"/>
                <w:b/>
              </w:rPr>
              <w:t>Merge Data</w:t>
            </w:r>
          </w:p>
        </w:tc>
      </w:tr>
      <w:tr w:rsidR="00DF50B4" w:rsidRPr="00F25194" w14:paraId="527B960C" w14:textId="77777777" w:rsidTr="00CB7463">
        <w:trPr>
          <w:cantSplit/>
        </w:trPr>
        <w:tc>
          <w:tcPr>
            <w:tcW w:w="2370" w:type="dxa"/>
            <w:shd w:val="clear" w:color="auto" w:fill="auto"/>
            <w:tcMar>
              <w:top w:w="0" w:type="dxa"/>
              <w:left w:w="115" w:type="dxa"/>
              <w:bottom w:w="0" w:type="dxa"/>
              <w:right w:w="115" w:type="dxa"/>
            </w:tcMar>
            <w:vAlign w:val="center"/>
          </w:tcPr>
          <w:p w14:paraId="695144DC" w14:textId="77777777" w:rsidR="00DF50B4" w:rsidRPr="00F25194" w:rsidRDefault="00737E1C" w:rsidP="00CB7463">
            <w:pPr>
              <w:suppressAutoHyphens/>
              <w:spacing w:line="240" w:lineRule="auto"/>
              <w:contextualSpacing/>
              <w:jc w:val="center"/>
              <w:rPr>
                <w:rFonts w:eastAsia="Calibri"/>
                <w:b/>
              </w:rPr>
            </w:pPr>
            <w:r w:rsidRPr="00F25194">
              <w:rPr>
                <w:rFonts w:eastAsia="Calibri"/>
                <w:b/>
              </w:rPr>
              <w:t>MIN</w:t>
            </w:r>
          </w:p>
        </w:tc>
        <w:tc>
          <w:tcPr>
            <w:tcW w:w="2340" w:type="dxa"/>
            <w:shd w:val="clear" w:color="auto" w:fill="auto"/>
            <w:tcMar>
              <w:top w:w="0" w:type="dxa"/>
              <w:left w:w="115" w:type="dxa"/>
              <w:bottom w:w="0" w:type="dxa"/>
              <w:right w:w="115" w:type="dxa"/>
            </w:tcMar>
            <w:vAlign w:val="center"/>
          </w:tcPr>
          <w:p w14:paraId="6DCBA574" w14:textId="706854FD" w:rsidR="00DF50B4" w:rsidRPr="00F25194" w:rsidRDefault="00A927E6" w:rsidP="00CB7463">
            <w:pPr>
              <w:suppressAutoHyphens/>
              <w:spacing w:line="240" w:lineRule="auto"/>
              <w:contextualSpacing/>
              <w:jc w:val="center"/>
              <w:rPr>
                <w:rFonts w:eastAsia="Calibri"/>
              </w:rPr>
            </w:pPr>
            <w:r w:rsidRPr="00F25194">
              <w:rPr>
                <w:rFonts w:eastAsia="Calibri"/>
              </w:rPr>
              <w:t>$0.917</w:t>
            </w:r>
          </w:p>
        </w:tc>
        <w:tc>
          <w:tcPr>
            <w:tcW w:w="2340" w:type="dxa"/>
            <w:shd w:val="clear" w:color="auto" w:fill="auto"/>
            <w:tcMar>
              <w:top w:w="0" w:type="dxa"/>
              <w:left w:w="115" w:type="dxa"/>
              <w:bottom w:w="0" w:type="dxa"/>
              <w:right w:w="115" w:type="dxa"/>
            </w:tcMar>
            <w:vAlign w:val="center"/>
          </w:tcPr>
          <w:p w14:paraId="389744CF" w14:textId="2B653D26" w:rsidR="00DF50B4" w:rsidRPr="00F25194" w:rsidRDefault="00A927E6" w:rsidP="00CB7463">
            <w:pPr>
              <w:suppressAutoHyphens/>
              <w:spacing w:line="240" w:lineRule="auto"/>
              <w:contextualSpacing/>
              <w:jc w:val="center"/>
              <w:rPr>
                <w:rFonts w:eastAsia="Calibri"/>
              </w:rPr>
            </w:pPr>
            <w:r w:rsidRPr="00F25194">
              <w:rPr>
                <w:rFonts w:eastAsia="Calibri"/>
              </w:rPr>
              <w:t>$</w:t>
            </w:r>
            <w:r w:rsidR="00044F93" w:rsidRPr="00F25194">
              <w:rPr>
                <w:rFonts w:eastAsia="Calibri"/>
              </w:rPr>
              <w:t>0.</w:t>
            </w:r>
            <w:r w:rsidR="00CB7463" w:rsidRPr="00F25194">
              <w:rPr>
                <w:rFonts w:eastAsia="Calibri"/>
              </w:rPr>
              <w:t>5085</w:t>
            </w:r>
          </w:p>
        </w:tc>
        <w:tc>
          <w:tcPr>
            <w:tcW w:w="2340" w:type="dxa"/>
            <w:shd w:val="clear" w:color="auto" w:fill="auto"/>
            <w:tcMar>
              <w:top w:w="0" w:type="dxa"/>
              <w:left w:w="115" w:type="dxa"/>
              <w:bottom w:w="0" w:type="dxa"/>
              <w:right w:w="115" w:type="dxa"/>
            </w:tcMar>
            <w:vAlign w:val="center"/>
          </w:tcPr>
          <w:p w14:paraId="1E3781CF" w14:textId="2399A967" w:rsidR="00246050" w:rsidRPr="00F25194" w:rsidRDefault="00D27641" w:rsidP="00246050">
            <w:pPr>
              <w:suppressAutoHyphens/>
              <w:spacing w:line="240" w:lineRule="auto"/>
              <w:contextualSpacing/>
              <w:jc w:val="center"/>
              <w:rPr>
                <w:rFonts w:eastAsia="Calibri"/>
              </w:rPr>
            </w:pPr>
            <w:r w:rsidRPr="00F25194">
              <w:rPr>
                <w:rFonts w:eastAsia="Calibri"/>
              </w:rPr>
              <w:t>$0.5085</w:t>
            </w:r>
          </w:p>
        </w:tc>
      </w:tr>
      <w:tr w:rsidR="00DF50B4" w:rsidRPr="00F25194" w14:paraId="0E45E0B3" w14:textId="77777777" w:rsidTr="00CB7463">
        <w:trPr>
          <w:cantSplit/>
        </w:trPr>
        <w:tc>
          <w:tcPr>
            <w:tcW w:w="2370" w:type="dxa"/>
            <w:shd w:val="clear" w:color="auto" w:fill="auto"/>
            <w:tcMar>
              <w:top w:w="0" w:type="dxa"/>
              <w:left w:w="115" w:type="dxa"/>
              <w:bottom w:w="0" w:type="dxa"/>
              <w:right w:w="115" w:type="dxa"/>
            </w:tcMar>
            <w:vAlign w:val="center"/>
          </w:tcPr>
          <w:p w14:paraId="6A383EDF" w14:textId="77777777" w:rsidR="00DF50B4" w:rsidRPr="00F25194" w:rsidRDefault="00737E1C" w:rsidP="00CB7463">
            <w:pPr>
              <w:suppressAutoHyphens/>
              <w:spacing w:line="240" w:lineRule="auto"/>
              <w:contextualSpacing/>
              <w:jc w:val="center"/>
              <w:rPr>
                <w:rFonts w:eastAsia="Calibri"/>
                <w:b/>
              </w:rPr>
            </w:pPr>
            <w:r w:rsidRPr="00F25194">
              <w:rPr>
                <w:rFonts w:eastAsia="Calibri"/>
                <w:b/>
              </w:rPr>
              <w:t>MAX</w:t>
            </w:r>
          </w:p>
        </w:tc>
        <w:tc>
          <w:tcPr>
            <w:tcW w:w="2340" w:type="dxa"/>
            <w:shd w:val="clear" w:color="auto" w:fill="auto"/>
            <w:tcMar>
              <w:top w:w="0" w:type="dxa"/>
              <w:left w:w="115" w:type="dxa"/>
              <w:bottom w:w="0" w:type="dxa"/>
              <w:right w:w="115" w:type="dxa"/>
            </w:tcMar>
            <w:vAlign w:val="center"/>
          </w:tcPr>
          <w:p w14:paraId="0AD0DC2A" w14:textId="3718F56D" w:rsidR="00DF50B4" w:rsidRPr="00F25194" w:rsidRDefault="00A927E6" w:rsidP="00CB7463">
            <w:pPr>
              <w:suppressAutoHyphens/>
              <w:spacing w:line="240" w:lineRule="auto"/>
              <w:contextualSpacing/>
              <w:jc w:val="center"/>
              <w:rPr>
                <w:rFonts w:eastAsia="Calibri"/>
              </w:rPr>
            </w:pPr>
            <w:r w:rsidRPr="00F25194">
              <w:rPr>
                <w:rFonts w:eastAsia="Calibri"/>
              </w:rPr>
              <w:t>$49.49</w:t>
            </w:r>
          </w:p>
        </w:tc>
        <w:tc>
          <w:tcPr>
            <w:tcW w:w="2340" w:type="dxa"/>
            <w:shd w:val="clear" w:color="auto" w:fill="auto"/>
            <w:tcMar>
              <w:top w:w="0" w:type="dxa"/>
              <w:left w:w="115" w:type="dxa"/>
              <w:bottom w:w="0" w:type="dxa"/>
              <w:right w:w="115" w:type="dxa"/>
            </w:tcMar>
            <w:vAlign w:val="center"/>
          </w:tcPr>
          <w:p w14:paraId="099AE0FF" w14:textId="65E791E0" w:rsidR="00DF50B4" w:rsidRPr="00F25194" w:rsidRDefault="00A927E6" w:rsidP="00CB7463">
            <w:pPr>
              <w:suppressAutoHyphens/>
              <w:spacing w:line="240" w:lineRule="auto"/>
              <w:contextualSpacing/>
              <w:jc w:val="center"/>
              <w:rPr>
                <w:rFonts w:eastAsia="Calibri"/>
              </w:rPr>
            </w:pPr>
            <w:r w:rsidRPr="00F25194">
              <w:rPr>
                <w:rFonts w:eastAsia="Calibri"/>
              </w:rPr>
              <w:t>$49.65</w:t>
            </w:r>
          </w:p>
        </w:tc>
        <w:tc>
          <w:tcPr>
            <w:tcW w:w="2340" w:type="dxa"/>
            <w:shd w:val="clear" w:color="auto" w:fill="auto"/>
            <w:tcMar>
              <w:top w:w="0" w:type="dxa"/>
              <w:left w:w="115" w:type="dxa"/>
              <w:bottom w:w="0" w:type="dxa"/>
              <w:right w:w="115" w:type="dxa"/>
            </w:tcMar>
            <w:vAlign w:val="center"/>
          </w:tcPr>
          <w:p w14:paraId="15B650C9" w14:textId="60320755" w:rsidR="00DF50B4" w:rsidRPr="00F25194" w:rsidRDefault="00246050" w:rsidP="00CB7463">
            <w:pPr>
              <w:suppressAutoHyphens/>
              <w:spacing w:line="240" w:lineRule="auto"/>
              <w:contextualSpacing/>
              <w:jc w:val="center"/>
              <w:rPr>
                <w:rFonts w:eastAsia="Calibri"/>
              </w:rPr>
            </w:pPr>
            <w:r w:rsidRPr="00F25194">
              <w:rPr>
                <w:rFonts w:eastAsia="Calibri"/>
              </w:rPr>
              <w:t>$49.65</w:t>
            </w:r>
          </w:p>
        </w:tc>
      </w:tr>
      <w:tr w:rsidR="00DF50B4" w:rsidRPr="00F25194" w14:paraId="4E1FA2D3" w14:textId="77777777" w:rsidTr="00CB7463">
        <w:trPr>
          <w:cantSplit/>
        </w:trPr>
        <w:tc>
          <w:tcPr>
            <w:tcW w:w="2370" w:type="dxa"/>
            <w:shd w:val="clear" w:color="auto" w:fill="auto"/>
            <w:tcMar>
              <w:top w:w="0" w:type="dxa"/>
              <w:left w:w="115" w:type="dxa"/>
              <w:bottom w:w="0" w:type="dxa"/>
              <w:right w:w="115" w:type="dxa"/>
            </w:tcMar>
            <w:vAlign w:val="center"/>
          </w:tcPr>
          <w:p w14:paraId="29C9F6EA" w14:textId="77777777" w:rsidR="00DF50B4" w:rsidRPr="00F25194" w:rsidRDefault="00737E1C" w:rsidP="00CB7463">
            <w:pPr>
              <w:suppressAutoHyphens/>
              <w:spacing w:line="240" w:lineRule="auto"/>
              <w:contextualSpacing/>
              <w:jc w:val="center"/>
              <w:rPr>
                <w:rFonts w:eastAsia="Calibri"/>
                <w:b/>
              </w:rPr>
            </w:pPr>
            <w:r w:rsidRPr="00F25194">
              <w:rPr>
                <w:rFonts w:eastAsia="Calibri"/>
                <w:b/>
              </w:rPr>
              <w:t>AVERAGE</w:t>
            </w:r>
          </w:p>
        </w:tc>
        <w:tc>
          <w:tcPr>
            <w:tcW w:w="2340" w:type="dxa"/>
            <w:shd w:val="clear" w:color="auto" w:fill="auto"/>
            <w:tcMar>
              <w:top w:w="0" w:type="dxa"/>
              <w:left w:w="115" w:type="dxa"/>
              <w:bottom w:w="0" w:type="dxa"/>
              <w:right w:w="115" w:type="dxa"/>
            </w:tcMar>
            <w:vAlign w:val="center"/>
          </w:tcPr>
          <w:p w14:paraId="44123836" w14:textId="3B3D2207" w:rsidR="00DF50B4" w:rsidRPr="00F25194" w:rsidRDefault="00A927E6" w:rsidP="00CB7463">
            <w:pPr>
              <w:suppressAutoHyphens/>
              <w:spacing w:line="240" w:lineRule="auto"/>
              <w:contextualSpacing/>
              <w:jc w:val="center"/>
              <w:rPr>
                <w:rFonts w:eastAsia="Calibri"/>
              </w:rPr>
            </w:pPr>
            <w:r w:rsidRPr="00F25194">
              <w:rPr>
                <w:rFonts w:eastAsia="Calibri"/>
              </w:rPr>
              <w:t>$17.63</w:t>
            </w:r>
          </w:p>
        </w:tc>
        <w:tc>
          <w:tcPr>
            <w:tcW w:w="2340" w:type="dxa"/>
            <w:shd w:val="clear" w:color="auto" w:fill="auto"/>
            <w:tcMar>
              <w:top w:w="0" w:type="dxa"/>
              <w:left w:w="115" w:type="dxa"/>
              <w:bottom w:w="0" w:type="dxa"/>
              <w:right w:w="115" w:type="dxa"/>
            </w:tcMar>
            <w:vAlign w:val="center"/>
          </w:tcPr>
          <w:p w14:paraId="0A035B38" w14:textId="7FD42B9E" w:rsidR="00DF50B4" w:rsidRPr="00F25194" w:rsidRDefault="00A927E6" w:rsidP="00CB7463">
            <w:pPr>
              <w:suppressAutoHyphens/>
              <w:spacing w:line="240" w:lineRule="auto"/>
              <w:contextualSpacing/>
              <w:jc w:val="center"/>
              <w:rPr>
                <w:rFonts w:eastAsia="Calibri"/>
              </w:rPr>
            </w:pPr>
            <w:r w:rsidRPr="00F25194">
              <w:rPr>
                <w:rFonts w:eastAsia="Calibri"/>
              </w:rPr>
              <w:t>$14.77</w:t>
            </w:r>
          </w:p>
        </w:tc>
        <w:tc>
          <w:tcPr>
            <w:tcW w:w="2340" w:type="dxa"/>
            <w:shd w:val="clear" w:color="auto" w:fill="auto"/>
            <w:tcMar>
              <w:top w:w="0" w:type="dxa"/>
              <w:left w:w="115" w:type="dxa"/>
              <w:bottom w:w="0" w:type="dxa"/>
              <w:right w:w="115" w:type="dxa"/>
            </w:tcMar>
            <w:vAlign w:val="center"/>
          </w:tcPr>
          <w:p w14:paraId="3DCF2087" w14:textId="23D8D7B6" w:rsidR="00DF50B4" w:rsidRPr="00F25194" w:rsidRDefault="00246050" w:rsidP="00CB7463">
            <w:pPr>
              <w:suppressAutoHyphens/>
              <w:spacing w:line="240" w:lineRule="auto"/>
              <w:contextualSpacing/>
              <w:jc w:val="center"/>
              <w:rPr>
                <w:rFonts w:eastAsia="Calibri"/>
              </w:rPr>
            </w:pPr>
            <w:r w:rsidRPr="00F25194">
              <w:rPr>
                <w:rFonts w:eastAsia="Calibri"/>
              </w:rPr>
              <w:t>$</w:t>
            </w:r>
            <w:r w:rsidR="00683DFB" w:rsidRPr="00F25194">
              <w:rPr>
                <w:rFonts w:eastAsia="Calibri"/>
              </w:rPr>
              <w:t>15.3</w:t>
            </w:r>
            <w:r w:rsidR="009D288E" w:rsidRPr="00F25194">
              <w:rPr>
                <w:rFonts w:eastAsia="Calibri"/>
              </w:rPr>
              <w:t>49…</w:t>
            </w:r>
          </w:p>
        </w:tc>
      </w:tr>
    </w:tbl>
    <w:p w14:paraId="2EB652F1" w14:textId="77777777" w:rsidR="00651626" w:rsidRPr="00F25194" w:rsidRDefault="00651626" w:rsidP="00651626">
      <w:pPr>
        <w:suppressAutoHyphens/>
        <w:spacing w:line="240" w:lineRule="auto"/>
        <w:ind w:left="720"/>
        <w:contextualSpacing/>
        <w:rPr>
          <w:rFonts w:eastAsia="Calibri"/>
        </w:rPr>
      </w:pPr>
    </w:p>
    <w:p w14:paraId="2398BCAC" w14:textId="77777777" w:rsidR="00DF50B4" w:rsidRPr="00F25194" w:rsidRDefault="00DF50B4" w:rsidP="00DB7531">
      <w:pPr>
        <w:suppressAutoHyphens/>
        <w:spacing w:line="240" w:lineRule="auto"/>
        <w:contextualSpacing/>
      </w:pPr>
    </w:p>
    <w:p w14:paraId="587BE6C8" w14:textId="4A8B4053" w:rsidR="00C73F8E" w:rsidRPr="00F25194" w:rsidRDefault="00651626" w:rsidP="00C73F8E">
      <w:pPr>
        <w:pStyle w:val="Heading2"/>
        <w:rPr>
          <w:rFonts w:ascii="Arial" w:hAnsi="Arial" w:cs="Arial"/>
        </w:rPr>
      </w:pPr>
      <w:r w:rsidRPr="00F25194">
        <w:rPr>
          <w:rFonts w:ascii="Arial" w:hAnsi="Arial" w:cs="Arial"/>
        </w:rPr>
        <w:t>Summary</w:t>
      </w:r>
    </w:p>
    <w:p w14:paraId="5B2F8E1C" w14:textId="5214438E" w:rsidR="00C73F8E" w:rsidRPr="00F25194" w:rsidRDefault="00C73F8E" w:rsidP="00C73F8E"/>
    <w:p w14:paraId="6E707F64" w14:textId="473A499D" w:rsidR="006266F8" w:rsidRPr="00F25194" w:rsidRDefault="00554ABA" w:rsidP="00C73F8E">
      <w:r w:rsidRPr="00F25194">
        <w:t xml:space="preserve">Validation tests, post-transformation, were conducted </w:t>
      </w:r>
      <w:r w:rsidR="00C62237">
        <w:t>to prove</w:t>
      </w:r>
      <w:r w:rsidRPr="00F25194">
        <w:t xml:space="preserve"> that </w:t>
      </w:r>
      <w:r w:rsidR="00D50C79">
        <w:t>merging</w:t>
      </w:r>
      <w:r w:rsidRPr="00F25194">
        <w:t xml:space="preserve"> caused no change within the Wayne data. Particularly, the distribution of the </w:t>
      </w:r>
      <w:r w:rsidR="00151BC5" w:rsidRPr="00F25194">
        <w:t>transformed</w:t>
      </w:r>
      <w:r w:rsidRPr="00F25194">
        <w:t xml:space="preserve"> Wayne data and the </w:t>
      </w:r>
      <w:r w:rsidR="00151BC5" w:rsidRPr="00F25194">
        <w:t xml:space="preserve">raw Bruce data were determined. See </w:t>
      </w:r>
      <w:r w:rsidR="004B556F" w:rsidRPr="00F25194">
        <w:t>Tables 3 through 5.</w:t>
      </w:r>
      <w:r w:rsidR="00513FF8" w:rsidRPr="00513FF8">
        <w:t xml:space="preserve"> </w:t>
      </w:r>
      <w:r w:rsidR="00513FF8">
        <w:t>Validation tests proving transformation caused no damage to the Wayne data were conducted and shown in the previous report.</w:t>
      </w:r>
    </w:p>
    <w:p w14:paraId="484988CE" w14:textId="73132BE1" w:rsidR="004B556F" w:rsidRPr="00F25194" w:rsidRDefault="004B556F" w:rsidP="004B556F">
      <w:pPr>
        <w:suppressAutoHyphens/>
        <w:spacing w:line="240" w:lineRule="auto"/>
        <w:contextualSpacing/>
        <w:rPr>
          <w:rFonts w:eastAsia="Calibri"/>
          <w:b/>
          <w:bCs/>
          <w:i/>
          <w:iCs/>
        </w:rPr>
      </w:pPr>
    </w:p>
    <w:p w14:paraId="4187542B" w14:textId="7FB4D227" w:rsidR="00CA7B8C" w:rsidRPr="00F25194" w:rsidRDefault="00CA7B8C" w:rsidP="004B556F">
      <w:pPr>
        <w:suppressAutoHyphens/>
        <w:spacing w:line="240" w:lineRule="auto"/>
        <w:contextualSpacing/>
        <w:rPr>
          <w:rFonts w:eastAsia="Calibri"/>
          <w:b/>
          <w:bCs/>
          <w:i/>
          <w:iCs/>
        </w:rPr>
      </w:pPr>
    </w:p>
    <w:p w14:paraId="56EF2EE2" w14:textId="1119E3F5" w:rsidR="00CA7B8C" w:rsidRDefault="00CA7B8C" w:rsidP="004B556F">
      <w:pPr>
        <w:suppressAutoHyphens/>
        <w:spacing w:line="240" w:lineRule="auto"/>
        <w:contextualSpacing/>
        <w:rPr>
          <w:rFonts w:eastAsia="Calibri"/>
          <w:b/>
          <w:bCs/>
          <w:i/>
          <w:iCs/>
        </w:rPr>
      </w:pPr>
    </w:p>
    <w:p w14:paraId="294AE860" w14:textId="70998DA8" w:rsidR="00BE7F75" w:rsidRDefault="00BE7F75" w:rsidP="004B556F">
      <w:pPr>
        <w:suppressAutoHyphens/>
        <w:spacing w:line="240" w:lineRule="auto"/>
        <w:contextualSpacing/>
        <w:rPr>
          <w:rFonts w:eastAsia="Calibri"/>
          <w:b/>
          <w:bCs/>
          <w:i/>
          <w:iCs/>
        </w:rPr>
      </w:pPr>
    </w:p>
    <w:p w14:paraId="4DDC4710" w14:textId="169F1359" w:rsidR="00BE7F75" w:rsidRDefault="00BE7F75" w:rsidP="004B556F">
      <w:pPr>
        <w:suppressAutoHyphens/>
        <w:spacing w:line="240" w:lineRule="auto"/>
        <w:contextualSpacing/>
        <w:rPr>
          <w:rFonts w:eastAsia="Calibri"/>
          <w:b/>
          <w:bCs/>
          <w:i/>
          <w:iCs/>
        </w:rPr>
      </w:pPr>
    </w:p>
    <w:p w14:paraId="6FB5EB56" w14:textId="77777777" w:rsidR="00BE7F75" w:rsidRPr="00F25194" w:rsidRDefault="00BE7F75" w:rsidP="004B556F">
      <w:pPr>
        <w:suppressAutoHyphens/>
        <w:spacing w:line="240" w:lineRule="auto"/>
        <w:contextualSpacing/>
        <w:rPr>
          <w:rFonts w:eastAsia="Calibri"/>
          <w:b/>
          <w:bCs/>
          <w:i/>
          <w:iCs/>
        </w:rPr>
      </w:pPr>
    </w:p>
    <w:p w14:paraId="13CC7FF3" w14:textId="77777777" w:rsidR="00CA7B8C" w:rsidRPr="00F25194" w:rsidRDefault="00CA7B8C" w:rsidP="004B556F">
      <w:pPr>
        <w:suppressAutoHyphens/>
        <w:spacing w:line="240" w:lineRule="auto"/>
        <w:contextualSpacing/>
        <w:rPr>
          <w:rFonts w:eastAsia="Calibri"/>
          <w:b/>
          <w:bCs/>
          <w:i/>
          <w:iCs/>
        </w:rPr>
      </w:pPr>
    </w:p>
    <w:p w14:paraId="1258D89F" w14:textId="3D3C5607" w:rsidR="00FB25C2" w:rsidRPr="00F25194" w:rsidRDefault="004B556F" w:rsidP="004B556F">
      <w:pPr>
        <w:suppressAutoHyphens/>
        <w:spacing w:line="240" w:lineRule="auto"/>
        <w:contextualSpacing/>
        <w:rPr>
          <w:rFonts w:eastAsia="Calibri"/>
          <w:b/>
          <w:bCs/>
        </w:rPr>
      </w:pPr>
      <w:r w:rsidRPr="00F25194">
        <w:rPr>
          <w:rFonts w:eastAsia="Calibri"/>
          <w:b/>
          <w:bCs/>
        </w:rPr>
        <w:t xml:space="preserve">Table 3: Distribution of </w:t>
      </w:r>
      <w:r w:rsidRPr="00F25194">
        <w:rPr>
          <w:rFonts w:eastAsia="Calibri"/>
          <w:b/>
          <w:bCs/>
          <w:i/>
          <w:iCs/>
        </w:rPr>
        <w:t>Location</w:t>
      </w:r>
      <w:r w:rsidR="00CA7B8C" w:rsidRPr="00F25194">
        <w:rPr>
          <w:rFonts w:eastAsia="Calibri"/>
          <w:b/>
          <w:bCs/>
        </w:rPr>
        <w:t xml:space="preserve"> Attribute in the Wayne, Bruce, and Merged Datasets</w:t>
      </w:r>
    </w:p>
    <w:tbl>
      <w:tblPr>
        <w:tblStyle w:val="TableGrid"/>
        <w:tblW w:w="9463" w:type="dxa"/>
        <w:tblLook w:val="04A0" w:firstRow="1" w:lastRow="0" w:firstColumn="1" w:lastColumn="0" w:noHBand="0" w:noVBand="1"/>
      </w:tblPr>
      <w:tblGrid>
        <w:gridCol w:w="1615"/>
        <w:gridCol w:w="1664"/>
        <w:gridCol w:w="1868"/>
        <w:gridCol w:w="1757"/>
        <w:gridCol w:w="2559"/>
      </w:tblGrid>
      <w:tr w:rsidR="00FB25C2" w:rsidRPr="00F25194" w14:paraId="2678CF30" w14:textId="77777777" w:rsidTr="007F46AB">
        <w:tc>
          <w:tcPr>
            <w:tcW w:w="1615" w:type="dxa"/>
            <w:vAlign w:val="center"/>
          </w:tcPr>
          <w:p w14:paraId="7B9CEFC3" w14:textId="77777777" w:rsidR="00FB25C2" w:rsidRPr="00F25194" w:rsidRDefault="00FB25C2" w:rsidP="007F46AB">
            <w:pPr>
              <w:suppressAutoHyphens/>
              <w:contextualSpacing/>
              <w:jc w:val="center"/>
              <w:rPr>
                <w:b/>
                <w:bCs/>
              </w:rPr>
            </w:pPr>
            <w:r w:rsidRPr="00F25194">
              <w:rPr>
                <w:b/>
                <w:bCs/>
              </w:rPr>
              <w:t>Location</w:t>
            </w:r>
          </w:p>
        </w:tc>
        <w:tc>
          <w:tcPr>
            <w:tcW w:w="1664" w:type="dxa"/>
            <w:vAlign w:val="center"/>
          </w:tcPr>
          <w:p w14:paraId="4EA6F663" w14:textId="77777777" w:rsidR="00FB25C2" w:rsidRPr="00F25194" w:rsidRDefault="00FB25C2" w:rsidP="007F46AB">
            <w:pPr>
              <w:suppressAutoHyphens/>
              <w:contextualSpacing/>
              <w:jc w:val="center"/>
              <w:rPr>
                <w:b/>
                <w:bCs/>
              </w:rPr>
            </w:pPr>
            <w:r w:rsidRPr="00F25194">
              <w:rPr>
                <w:b/>
                <w:bCs/>
              </w:rPr>
              <w:t>Wayne Data Count</w:t>
            </w:r>
          </w:p>
        </w:tc>
        <w:tc>
          <w:tcPr>
            <w:tcW w:w="1868" w:type="dxa"/>
            <w:vAlign w:val="center"/>
          </w:tcPr>
          <w:p w14:paraId="76471931" w14:textId="77777777" w:rsidR="00FB25C2" w:rsidRPr="00F25194" w:rsidRDefault="00FB25C2" w:rsidP="007F46AB">
            <w:pPr>
              <w:suppressAutoHyphens/>
              <w:contextualSpacing/>
              <w:jc w:val="center"/>
              <w:rPr>
                <w:b/>
                <w:bCs/>
              </w:rPr>
            </w:pPr>
            <w:r w:rsidRPr="00F25194">
              <w:rPr>
                <w:b/>
                <w:bCs/>
              </w:rPr>
              <w:t>Bruce Data Count</w:t>
            </w:r>
          </w:p>
        </w:tc>
        <w:tc>
          <w:tcPr>
            <w:tcW w:w="1757" w:type="dxa"/>
            <w:vAlign w:val="center"/>
          </w:tcPr>
          <w:p w14:paraId="209E55DA" w14:textId="77777777" w:rsidR="00FB25C2" w:rsidRPr="00F25194" w:rsidRDefault="00FB25C2" w:rsidP="007F46AB">
            <w:pPr>
              <w:suppressAutoHyphens/>
              <w:contextualSpacing/>
              <w:jc w:val="center"/>
              <w:rPr>
                <w:b/>
                <w:bCs/>
              </w:rPr>
            </w:pPr>
            <w:r w:rsidRPr="00F25194">
              <w:rPr>
                <w:b/>
                <w:bCs/>
              </w:rPr>
              <w:t>Expected Count</w:t>
            </w:r>
          </w:p>
        </w:tc>
        <w:tc>
          <w:tcPr>
            <w:tcW w:w="2559" w:type="dxa"/>
            <w:vAlign w:val="center"/>
          </w:tcPr>
          <w:p w14:paraId="75505925" w14:textId="77777777" w:rsidR="00FB25C2" w:rsidRPr="00F25194" w:rsidRDefault="00FB25C2" w:rsidP="007F46AB">
            <w:pPr>
              <w:suppressAutoHyphens/>
              <w:contextualSpacing/>
              <w:jc w:val="center"/>
              <w:rPr>
                <w:b/>
                <w:bCs/>
              </w:rPr>
            </w:pPr>
            <w:r w:rsidRPr="00F25194">
              <w:rPr>
                <w:b/>
                <w:bCs/>
              </w:rPr>
              <w:t>Merged Count</w:t>
            </w:r>
          </w:p>
        </w:tc>
      </w:tr>
      <w:tr w:rsidR="00FB25C2" w:rsidRPr="00F25194" w14:paraId="60C9AA2E" w14:textId="77777777" w:rsidTr="007F46AB">
        <w:tc>
          <w:tcPr>
            <w:tcW w:w="1615" w:type="dxa"/>
            <w:vAlign w:val="center"/>
          </w:tcPr>
          <w:p w14:paraId="03B129E6" w14:textId="77777777" w:rsidR="00FB25C2" w:rsidRPr="00F25194" w:rsidRDefault="00FB25C2" w:rsidP="007F46AB">
            <w:pPr>
              <w:suppressAutoHyphens/>
              <w:contextualSpacing/>
              <w:jc w:val="center"/>
            </w:pPr>
            <w:r w:rsidRPr="00F25194">
              <w:t>A</w:t>
            </w:r>
          </w:p>
        </w:tc>
        <w:tc>
          <w:tcPr>
            <w:tcW w:w="1664" w:type="dxa"/>
            <w:vAlign w:val="center"/>
          </w:tcPr>
          <w:p w14:paraId="3EA11EA4" w14:textId="77777777" w:rsidR="00FB25C2" w:rsidRPr="00F25194" w:rsidRDefault="00FB25C2" w:rsidP="007F46AB">
            <w:pPr>
              <w:suppressAutoHyphens/>
              <w:contextualSpacing/>
              <w:jc w:val="center"/>
            </w:pPr>
            <w:r w:rsidRPr="00F25194">
              <w:t>64</w:t>
            </w:r>
          </w:p>
        </w:tc>
        <w:tc>
          <w:tcPr>
            <w:tcW w:w="1868" w:type="dxa"/>
            <w:vAlign w:val="center"/>
          </w:tcPr>
          <w:p w14:paraId="46215B5C" w14:textId="77777777" w:rsidR="00FB25C2" w:rsidRPr="00F25194" w:rsidRDefault="00FB25C2" w:rsidP="007F46AB">
            <w:pPr>
              <w:suppressAutoHyphens/>
              <w:contextualSpacing/>
              <w:jc w:val="center"/>
            </w:pPr>
            <w:r w:rsidRPr="00F25194">
              <w:t>274</w:t>
            </w:r>
          </w:p>
        </w:tc>
        <w:tc>
          <w:tcPr>
            <w:tcW w:w="1757" w:type="dxa"/>
            <w:vAlign w:val="center"/>
          </w:tcPr>
          <w:p w14:paraId="08BAB3D7" w14:textId="77777777" w:rsidR="00FB25C2" w:rsidRPr="00F25194" w:rsidRDefault="00FB25C2" w:rsidP="007F46AB">
            <w:pPr>
              <w:suppressAutoHyphens/>
              <w:contextualSpacing/>
              <w:jc w:val="center"/>
            </w:pPr>
            <w:r w:rsidRPr="00F25194">
              <w:t>338</w:t>
            </w:r>
          </w:p>
        </w:tc>
        <w:tc>
          <w:tcPr>
            <w:tcW w:w="2559" w:type="dxa"/>
            <w:vAlign w:val="center"/>
          </w:tcPr>
          <w:p w14:paraId="7D91E34B" w14:textId="77777777" w:rsidR="00FB25C2" w:rsidRPr="00F25194" w:rsidRDefault="00FB25C2" w:rsidP="007F46AB">
            <w:pPr>
              <w:suppressAutoHyphens/>
              <w:contextualSpacing/>
              <w:jc w:val="center"/>
            </w:pPr>
            <w:r w:rsidRPr="00F25194">
              <w:t>338</w:t>
            </w:r>
          </w:p>
        </w:tc>
      </w:tr>
      <w:tr w:rsidR="00FB25C2" w:rsidRPr="00F25194" w14:paraId="1893C822" w14:textId="77777777" w:rsidTr="007F46AB">
        <w:tc>
          <w:tcPr>
            <w:tcW w:w="1615" w:type="dxa"/>
            <w:vAlign w:val="center"/>
          </w:tcPr>
          <w:p w14:paraId="3392A351" w14:textId="77777777" w:rsidR="00FB25C2" w:rsidRPr="00F25194" w:rsidRDefault="00FB25C2" w:rsidP="007F46AB">
            <w:pPr>
              <w:suppressAutoHyphens/>
              <w:contextualSpacing/>
              <w:jc w:val="center"/>
            </w:pPr>
            <w:r w:rsidRPr="00F25194">
              <w:t>B</w:t>
            </w:r>
          </w:p>
        </w:tc>
        <w:tc>
          <w:tcPr>
            <w:tcW w:w="1664" w:type="dxa"/>
            <w:vAlign w:val="center"/>
          </w:tcPr>
          <w:p w14:paraId="1B9036E4" w14:textId="77777777" w:rsidR="00FB25C2" w:rsidRPr="00F25194" w:rsidRDefault="00FB25C2" w:rsidP="007F46AB">
            <w:pPr>
              <w:suppressAutoHyphens/>
              <w:contextualSpacing/>
              <w:jc w:val="center"/>
            </w:pPr>
            <w:r w:rsidRPr="00F25194">
              <w:t>62</w:t>
            </w:r>
          </w:p>
        </w:tc>
        <w:tc>
          <w:tcPr>
            <w:tcW w:w="1868" w:type="dxa"/>
            <w:vAlign w:val="center"/>
          </w:tcPr>
          <w:p w14:paraId="069681DA" w14:textId="77777777" w:rsidR="00FB25C2" w:rsidRPr="00F25194" w:rsidRDefault="00FB25C2" w:rsidP="007F46AB">
            <w:pPr>
              <w:suppressAutoHyphens/>
              <w:contextualSpacing/>
              <w:jc w:val="center"/>
            </w:pPr>
            <w:r w:rsidRPr="00F25194">
              <w:t>269</w:t>
            </w:r>
          </w:p>
        </w:tc>
        <w:tc>
          <w:tcPr>
            <w:tcW w:w="1757" w:type="dxa"/>
            <w:vAlign w:val="center"/>
          </w:tcPr>
          <w:p w14:paraId="57004470" w14:textId="77777777" w:rsidR="00FB25C2" w:rsidRPr="00F25194" w:rsidRDefault="00FB25C2" w:rsidP="007F46AB">
            <w:pPr>
              <w:suppressAutoHyphens/>
              <w:contextualSpacing/>
              <w:jc w:val="center"/>
            </w:pPr>
            <w:r w:rsidRPr="00F25194">
              <w:t>331</w:t>
            </w:r>
          </w:p>
        </w:tc>
        <w:tc>
          <w:tcPr>
            <w:tcW w:w="2559" w:type="dxa"/>
            <w:vAlign w:val="center"/>
          </w:tcPr>
          <w:p w14:paraId="404E5807" w14:textId="77777777" w:rsidR="00FB25C2" w:rsidRPr="00F25194" w:rsidRDefault="00FB25C2" w:rsidP="007F46AB">
            <w:pPr>
              <w:suppressAutoHyphens/>
              <w:contextualSpacing/>
              <w:jc w:val="center"/>
            </w:pPr>
            <w:r w:rsidRPr="00F25194">
              <w:t>331</w:t>
            </w:r>
          </w:p>
        </w:tc>
      </w:tr>
      <w:tr w:rsidR="00FB25C2" w:rsidRPr="00F25194" w14:paraId="0CCA71F2" w14:textId="77777777" w:rsidTr="007F46AB">
        <w:tc>
          <w:tcPr>
            <w:tcW w:w="1615" w:type="dxa"/>
            <w:vAlign w:val="center"/>
          </w:tcPr>
          <w:p w14:paraId="78716DAE" w14:textId="77777777" w:rsidR="00FB25C2" w:rsidRPr="00F25194" w:rsidRDefault="00FB25C2" w:rsidP="007F46AB">
            <w:pPr>
              <w:suppressAutoHyphens/>
              <w:contextualSpacing/>
              <w:jc w:val="center"/>
            </w:pPr>
            <w:r w:rsidRPr="00F25194">
              <w:t>C</w:t>
            </w:r>
          </w:p>
        </w:tc>
        <w:tc>
          <w:tcPr>
            <w:tcW w:w="1664" w:type="dxa"/>
            <w:vAlign w:val="center"/>
          </w:tcPr>
          <w:p w14:paraId="3289A84B" w14:textId="77777777" w:rsidR="00FB25C2" w:rsidRPr="00F25194" w:rsidRDefault="00FB25C2" w:rsidP="007F46AB">
            <w:pPr>
              <w:suppressAutoHyphens/>
              <w:contextualSpacing/>
              <w:jc w:val="center"/>
            </w:pPr>
            <w:r w:rsidRPr="00F25194">
              <w:t>75</w:t>
            </w:r>
          </w:p>
        </w:tc>
        <w:tc>
          <w:tcPr>
            <w:tcW w:w="1868" w:type="dxa"/>
            <w:vAlign w:val="center"/>
          </w:tcPr>
          <w:p w14:paraId="660A174A" w14:textId="77777777" w:rsidR="00FB25C2" w:rsidRPr="00F25194" w:rsidRDefault="00FB25C2" w:rsidP="007F46AB">
            <w:pPr>
              <w:suppressAutoHyphens/>
              <w:contextualSpacing/>
              <w:jc w:val="center"/>
            </w:pPr>
            <w:r w:rsidRPr="00F25194">
              <w:t>252</w:t>
            </w:r>
          </w:p>
        </w:tc>
        <w:tc>
          <w:tcPr>
            <w:tcW w:w="1757" w:type="dxa"/>
            <w:vAlign w:val="center"/>
          </w:tcPr>
          <w:p w14:paraId="2C2C6E1E" w14:textId="77777777" w:rsidR="00FB25C2" w:rsidRPr="00F25194" w:rsidRDefault="00FB25C2" w:rsidP="007F46AB">
            <w:pPr>
              <w:suppressAutoHyphens/>
              <w:contextualSpacing/>
              <w:jc w:val="center"/>
            </w:pPr>
            <w:r w:rsidRPr="00F25194">
              <w:t>327</w:t>
            </w:r>
          </w:p>
        </w:tc>
        <w:tc>
          <w:tcPr>
            <w:tcW w:w="2559" w:type="dxa"/>
            <w:vAlign w:val="center"/>
          </w:tcPr>
          <w:p w14:paraId="3F892E85" w14:textId="77777777" w:rsidR="00FB25C2" w:rsidRPr="00F25194" w:rsidRDefault="00FB25C2" w:rsidP="007F46AB">
            <w:pPr>
              <w:suppressAutoHyphens/>
              <w:contextualSpacing/>
              <w:jc w:val="center"/>
            </w:pPr>
            <w:r w:rsidRPr="00F25194">
              <w:t>327</w:t>
            </w:r>
          </w:p>
        </w:tc>
      </w:tr>
    </w:tbl>
    <w:p w14:paraId="33E44A57" w14:textId="77777777" w:rsidR="004B556F" w:rsidRPr="00F25194" w:rsidRDefault="004B556F" w:rsidP="004B556F">
      <w:pPr>
        <w:suppressAutoHyphens/>
        <w:spacing w:line="240" w:lineRule="auto"/>
        <w:contextualSpacing/>
      </w:pPr>
    </w:p>
    <w:p w14:paraId="5804C392" w14:textId="5DE5B17D" w:rsidR="004B556F" w:rsidRPr="00F25194" w:rsidRDefault="008345E1" w:rsidP="004B556F">
      <w:pPr>
        <w:suppressAutoHyphens/>
        <w:spacing w:line="240" w:lineRule="auto"/>
        <w:contextualSpacing/>
      </w:pPr>
      <w:r w:rsidRPr="00042187">
        <w:rPr>
          <w:b/>
          <w:bCs/>
        </w:rPr>
        <w:t>Table 4:</w:t>
      </w:r>
      <w:r w:rsidRPr="00F25194">
        <w:t xml:space="preserve"> </w:t>
      </w:r>
      <w:r w:rsidRPr="00F25194">
        <w:rPr>
          <w:rFonts w:eastAsia="Calibri"/>
          <w:b/>
          <w:bCs/>
        </w:rPr>
        <w:t xml:space="preserve">Distribution of </w:t>
      </w:r>
      <w:r w:rsidRPr="00F25194">
        <w:rPr>
          <w:rFonts w:eastAsia="Calibri"/>
          <w:b/>
          <w:bCs/>
          <w:i/>
          <w:iCs/>
        </w:rPr>
        <w:t>Customer</w:t>
      </w:r>
      <w:r w:rsidRPr="00F25194">
        <w:rPr>
          <w:rFonts w:eastAsia="Calibri"/>
          <w:b/>
          <w:bCs/>
        </w:rPr>
        <w:t xml:space="preserve"> Attribute in the Wayne, Bruce, and Merged Datasets</w:t>
      </w:r>
    </w:p>
    <w:tbl>
      <w:tblPr>
        <w:tblStyle w:val="TableGrid"/>
        <w:tblW w:w="9355" w:type="dxa"/>
        <w:tblLook w:val="04A0" w:firstRow="1" w:lastRow="0" w:firstColumn="1" w:lastColumn="0" w:noHBand="0" w:noVBand="1"/>
      </w:tblPr>
      <w:tblGrid>
        <w:gridCol w:w="1678"/>
        <w:gridCol w:w="1870"/>
        <w:gridCol w:w="1870"/>
        <w:gridCol w:w="1870"/>
        <w:gridCol w:w="2067"/>
      </w:tblGrid>
      <w:tr w:rsidR="004B556F" w:rsidRPr="00F25194" w14:paraId="0BEA2C85" w14:textId="77777777" w:rsidTr="00DE29A7">
        <w:tc>
          <w:tcPr>
            <w:tcW w:w="1678" w:type="dxa"/>
            <w:vAlign w:val="center"/>
          </w:tcPr>
          <w:p w14:paraId="49CF9B52" w14:textId="77777777" w:rsidR="004B556F" w:rsidRPr="00F25194" w:rsidRDefault="004B556F" w:rsidP="00DE29A7">
            <w:pPr>
              <w:suppressAutoHyphens/>
              <w:contextualSpacing/>
              <w:jc w:val="center"/>
              <w:rPr>
                <w:b/>
                <w:bCs/>
              </w:rPr>
            </w:pPr>
            <w:r w:rsidRPr="00F25194">
              <w:rPr>
                <w:b/>
                <w:bCs/>
              </w:rPr>
              <w:t>Customer Type</w:t>
            </w:r>
          </w:p>
        </w:tc>
        <w:tc>
          <w:tcPr>
            <w:tcW w:w="1870" w:type="dxa"/>
            <w:vAlign w:val="center"/>
          </w:tcPr>
          <w:p w14:paraId="3C86661E" w14:textId="77777777" w:rsidR="004B556F" w:rsidRPr="00F25194" w:rsidRDefault="004B556F" w:rsidP="00DE29A7">
            <w:pPr>
              <w:suppressAutoHyphens/>
              <w:contextualSpacing/>
              <w:jc w:val="center"/>
              <w:rPr>
                <w:b/>
                <w:bCs/>
              </w:rPr>
            </w:pPr>
            <w:r w:rsidRPr="00F25194">
              <w:rPr>
                <w:b/>
                <w:bCs/>
              </w:rPr>
              <w:t>Wayne Data Count</w:t>
            </w:r>
          </w:p>
        </w:tc>
        <w:tc>
          <w:tcPr>
            <w:tcW w:w="1870" w:type="dxa"/>
            <w:vAlign w:val="center"/>
          </w:tcPr>
          <w:p w14:paraId="0B0851C3" w14:textId="77777777" w:rsidR="004B556F" w:rsidRPr="00F25194" w:rsidRDefault="004B556F" w:rsidP="00DE29A7">
            <w:pPr>
              <w:suppressAutoHyphens/>
              <w:contextualSpacing/>
              <w:jc w:val="center"/>
              <w:rPr>
                <w:b/>
                <w:bCs/>
              </w:rPr>
            </w:pPr>
            <w:r w:rsidRPr="00F25194">
              <w:rPr>
                <w:b/>
                <w:bCs/>
              </w:rPr>
              <w:t>Bruce Data Count</w:t>
            </w:r>
          </w:p>
        </w:tc>
        <w:tc>
          <w:tcPr>
            <w:tcW w:w="1870" w:type="dxa"/>
            <w:vAlign w:val="center"/>
          </w:tcPr>
          <w:p w14:paraId="5935568B" w14:textId="77777777" w:rsidR="004B556F" w:rsidRPr="00F25194" w:rsidRDefault="004B556F" w:rsidP="00DE29A7">
            <w:pPr>
              <w:suppressAutoHyphens/>
              <w:contextualSpacing/>
              <w:jc w:val="center"/>
              <w:rPr>
                <w:b/>
                <w:bCs/>
              </w:rPr>
            </w:pPr>
            <w:r w:rsidRPr="00F25194">
              <w:rPr>
                <w:b/>
                <w:bCs/>
              </w:rPr>
              <w:t>Expected Count</w:t>
            </w:r>
          </w:p>
        </w:tc>
        <w:tc>
          <w:tcPr>
            <w:tcW w:w="2067" w:type="dxa"/>
            <w:vAlign w:val="center"/>
          </w:tcPr>
          <w:p w14:paraId="6E45EEE1" w14:textId="77777777" w:rsidR="004B556F" w:rsidRPr="00F25194" w:rsidRDefault="004B556F" w:rsidP="00DE29A7">
            <w:pPr>
              <w:suppressAutoHyphens/>
              <w:contextualSpacing/>
              <w:jc w:val="center"/>
              <w:rPr>
                <w:b/>
                <w:bCs/>
              </w:rPr>
            </w:pPr>
            <w:r w:rsidRPr="00F25194">
              <w:rPr>
                <w:b/>
                <w:bCs/>
              </w:rPr>
              <w:t>Merged Count</w:t>
            </w:r>
          </w:p>
        </w:tc>
      </w:tr>
      <w:tr w:rsidR="004B556F" w:rsidRPr="00F25194" w14:paraId="62B011D8" w14:textId="77777777" w:rsidTr="00DE29A7">
        <w:tc>
          <w:tcPr>
            <w:tcW w:w="1678" w:type="dxa"/>
            <w:vAlign w:val="center"/>
          </w:tcPr>
          <w:p w14:paraId="31BAAAAE" w14:textId="77777777" w:rsidR="004B556F" w:rsidRPr="00F25194" w:rsidRDefault="004B556F" w:rsidP="00DE29A7">
            <w:pPr>
              <w:suppressAutoHyphens/>
              <w:contextualSpacing/>
              <w:jc w:val="center"/>
            </w:pPr>
            <w:r w:rsidRPr="00F25194">
              <w:t>0</w:t>
            </w:r>
          </w:p>
        </w:tc>
        <w:tc>
          <w:tcPr>
            <w:tcW w:w="1870" w:type="dxa"/>
            <w:vAlign w:val="center"/>
          </w:tcPr>
          <w:p w14:paraId="6132B02C" w14:textId="77777777" w:rsidR="004B556F" w:rsidRPr="00F25194" w:rsidRDefault="004B556F" w:rsidP="00DE29A7">
            <w:pPr>
              <w:suppressAutoHyphens/>
              <w:contextualSpacing/>
              <w:jc w:val="center"/>
            </w:pPr>
            <w:r w:rsidRPr="00F25194">
              <w:t>107</w:t>
            </w:r>
          </w:p>
        </w:tc>
        <w:tc>
          <w:tcPr>
            <w:tcW w:w="1870" w:type="dxa"/>
            <w:vAlign w:val="center"/>
          </w:tcPr>
          <w:p w14:paraId="709D7574" w14:textId="77777777" w:rsidR="004B556F" w:rsidRPr="00F25194" w:rsidRDefault="004B556F" w:rsidP="00DE29A7">
            <w:pPr>
              <w:suppressAutoHyphens/>
              <w:contextualSpacing/>
              <w:jc w:val="center"/>
            </w:pPr>
            <w:r w:rsidRPr="00F25194">
              <w:t>391</w:t>
            </w:r>
          </w:p>
        </w:tc>
        <w:tc>
          <w:tcPr>
            <w:tcW w:w="1870" w:type="dxa"/>
            <w:vAlign w:val="center"/>
          </w:tcPr>
          <w:p w14:paraId="63AFCB70" w14:textId="77777777" w:rsidR="004B556F" w:rsidRPr="00F25194" w:rsidRDefault="004B556F" w:rsidP="00DE29A7">
            <w:pPr>
              <w:suppressAutoHyphens/>
              <w:contextualSpacing/>
              <w:jc w:val="center"/>
            </w:pPr>
            <w:r w:rsidRPr="00F25194">
              <w:t>498</w:t>
            </w:r>
          </w:p>
        </w:tc>
        <w:tc>
          <w:tcPr>
            <w:tcW w:w="2067" w:type="dxa"/>
            <w:vAlign w:val="center"/>
          </w:tcPr>
          <w:p w14:paraId="6A1C81E5" w14:textId="77777777" w:rsidR="004B556F" w:rsidRPr="00F25194" w:rsidRDefault="004B556F" w:rsidP="00DE29A7">
            <w:pPr>
              <w:suppressAutoHyphens/>
              <w:contextualSpacing/>
              <w:jc w:val="center"/>
            </w:pPr>
            <w:r w:rsidRPr="00F25194">
              <w:t>498</w:t>
            </w:r>
          </w:p>
        </w:tc>
      </w:tr>
      <w:tr w:rsidR="004B556F" w:rsidRPr="00F25194" w14:paraId="5D566500" w14:textId="77777777" w:rsidTr="00DE29A7">
        <w:tc>
          <w:tcPr>
            <w:tcW w:w="1678" w:type="dxa"/>
            <w:vAlign w:val="center"/>
          </w:tcPr>
          <w:p w14:paraId="17A97BA4" w14:textId="77777777" w:rsidR="004B556F" w:rsidRPr="00F25194" w:rsidRDefault="004B556F" w:rsidP="00DE29A7">
            <w:pPr>
              <w:suppressAutoHyphens/>
              <w:contextualSpacing/>
              <w:jc w:val="center"/>
            </w:pPr>
            <w:r w:rsidRPr="00F25194">
              <w:t>1</w:t>
            </w:r>
          </w:p>
        </w:tc>
        <w:tc>
          <w:tcPr>
            <w:tcW w:w="1870" w:type="dxa"/>
            <w:vAlign w:val="center"/>
          </w:tcPr>
          <w:p w14:paraId="5BF8F2D5" w14:textId="77777777" w:rsidR="004B556F" w:rsidRPr="00F25194" w:rsidRDefault="004B556F" w:rsidP="00DE29A7">
            <w:pPr>
              <w:suppressAutoHyphens/>
              <w:contextualSpacing/>
              <w:jc w:val="center"/>
            </w:pPr>
            <w:r w:rsidRPr="00F25194">
              <w:t>94</w:t>
            </w:r>
          </w:p>
        </w:tc>
        <w:tc>
          <w:tcPr>
            <w:tcW w:w="1870" w:type="dxa"/>
            <w:vAlign w:val="center"/>
          </w:tcPr>
          <w:p w14:paraId="7888AE51" w14:textId="77777777" w:rsidR="004B556F" w:rsidRPr="00F25194" w:rsidRDefault="004B556F" w:rsidP="00DE29A7">
            <w:pPr>
              <w:suppressAutoHyphens/>
              <w:contextualSpacing/>
              <w:jc w:val="center"/>
            </w:pPr>
            <w:r w:rsidRPr="00F25194">
              <w:t>404</w:t>
            </w:r>
          </w:p>
        </w:tc>
        <w:tc>
          <w:tcPr>
            <w:tcW w:w="1870" w:type="dxa"/>
            <w:vAlign w:val="center"/>
          </w:tcPr>
          <w:p w14:paraId="2E944A92" w14:textId="77777777" w:rsidR="004B556F" w:rsidRPr="00F25194" w:rsidRDefault="004B556F" w:rsidP="00DE29A7">
            <w:pPr>
              <w:suppressAutoHyphens/>
              <w:contextualSpacing/>
              <w:jc w:val="center"/>
            </w:pPr>
            <w:r w:rsidRPr="00F25194">
              <w:t>498</w:t>
            </w:r>
          </w:p>
        </w:tc>
        <w:tc>
          <w:tcPr>
            <w:tcW w:w="2067" w:type="dxa"/>
            <w:vAlign w:val="center"/>
          </w:tcPr>
          <w:p w14:paraId="09FD814F" w14:textId="77777777" w:rsidR="004B556F" w:rsidRPr="00F25194" w:rsidRDefault="004B556F" w:rsidP="00DE29A7">
            <w:pPr>
              <w:suppressAutoHyphens/>
              <w:contextualSpacing/>
              <w:jc w:val="center"/>
            </w:pPr>
            <w:r w:rsidRPr="00F25194">
              <w:t>498</w:t>
            </w:r>
          </w:p>
        </w:tc>
      </w:tr>
    </w:tbl>
    <w:p w14:paraId="566D9EC5" w14:textId="77777777" w:rsidR="004B556F" w:rsidRPr="00F25194" w:rsidRDefault="004B556F" w:rsidP="004B556F">
      <w:pPr>
        <w:suppressAutoHyphens/>
        <w:spacing w:line="240" w:lineRule="auto"/>
        <w:contextualSpacing/>
      </w:pPr>
    </w:p>
    <w:p w14:paraId="4670C960" w14:textId="3A1EDFD3" w:rsidR="004B556F" w:rsidRPr="00F25194" w:rsidRDefault="008345E1" w:rsidP="004B556F">
      <w:pPr>
        <w:suppressAutoHyphens/>
        <w:spacing w:line="240" w:lineRule="auto"/>
        <w:contextualSpacing/>
      </w:pPr>
      <w:r w:rsidRPr="00042187">
        <w:rPr>
          <w:b/>
          <w:bCs/>
        </w:rPr>
        <w:t>Table 5:</w:t>
      </w:r>
      <w:r w:rsidRPr="00F25194">
        <w:t xml:space="preserve"> </w:t>
      </w:r>
      <w:r w:rsidRPr="00F25194">
        <w:rPr>
          <w:rFonts w:eastAsia="Calibri"/>
          <w:b/>
          <w:bCs/>
        </w:rPr>
        <w:t xml:space="preserve">Distribution of </w:t>
      </w:r>
      <w:r w:rsidRPr="00F25194">
        <w:rPr>
          <w:rFonts w:eastAsia="Calibri"/>
          <w:b/>
          <w:bCs/>
          <w:i/>
          <w:iCs/>
        </w:rPr>
        <w:t>Gender</w:t>
      </w:r>
      <w:r w:rsidRPr="00F25194">
        <w:rPr>
          <w:rFonts w:eastAsia="Calibri"/>
          <w:b/>
          <w:bCs/>
        </w:rPr>
        <w:t xml:space="preserve"> Attribute in the Wayne, Bruce, and Merged Datasets</w:t>
      </w:r>
    </w:p>
    <w:tbl>
      <w:tblPr>
        <w:tblStyle w:val="TableGrid"/>
        <w:tblW w:w="9355" w:type="dxa"/>
        <w:tblLook w:val="04A0" w:firstRow="1" w:lastRow="0" w:firstColumn="1" w:lastColumn="0" w:noHBand="0" w:noVBand="1"/>
      </w:tblPr>
      <w:tblGrid>
        <w:gridCol w:w="1678"/>
        <w:gridCol w:w="1870"/>
        <w:gridCol w:w="1870"/>
        <w:gridCol w:w="1870"/>
        <w:gridCol w:w="2067"/>
      </w:tblGrid>
      <w:tr w:rsidR="004B556F" w:rsidRPr="00F25194" w14:paraId="1E273800" w14:textId="77777777" w:rsidTr="00DE29A7">
        <w:tc>
          <w:tcPr>
            <w:tcW w:w="1678" w:type="dxa"/>
            <w:vAlign w:val="center"/>
          </w:tcPr>
          <w:p w14:paraId="6FEA5199" w14:textId="77777777" w:rsidR="004B556F" w:rsidRPr="00F25194" w:rsidRDefault="004B556F" w:rsidP="00DE29A7">
            <w:pPr>
              <w:suppressAutoHyphens/>
              <w:contextualSpacing/>
              <w:jc w:val="center"/>
              <w:rPr>
                <w:b/>
                <w:bCs/>
              </w:rPr>
            </w:pPr>
            <w:r w:rsidRPr="00F25194">
              <w:rPr>
                <w:b/>
                <w:bCs/>
              </w:rPr>
              <w:t>Gender Type</w:t>
            </w:r>
          </w:p>
        </w:tc>
        <w:tc>
          <w:tcPr>
            <w:tcW w:w="1870" w:type="dxa"/>
            <w:vAlign w:val="center"/>
          </w:tcPr>
          <w:p w14:paraId="0B493FBD" w14:textId="77777777" w:rsidR="004B556F" w:rsidRPr="00F25194" w:rsidRDefault="004B556F" w:rsidP="00DE29A7">
            <w:pPr>
              <w:suppressAutoHyphens/>
              <w:contextualSpacing/>
              <w:jc w:val="center"/>
              <w:rPr>
                <w:b/>
                <w:bCs/>
              </w:rPr>
            </w:pPr>
            <w:r w:rsidRPr="00F25194">
              <w:rPr>
                <w:b/>
                <w:bCs/>
              </w:rPr>
              <w:t>Wayne Data Count</w:t>
            </w:r>
          </w:p>
        </w:tc>
        <w:tc>
          <w:tcPr>
            <w:tcW w:w="1870" w:type="dxa"/>
            <w:vAlign w:val="center"/>
          </w:tcPr>
          <w:p w14:paraId="141EF188" w14:textId="77777777" w:rsidR="004B556F" w:rsidRPr="00F25194" w:rsidRDefault="004B556F" w:rsidP="00DE29A7">
            <w:pPr>
              <w:suppressAutoHyphens/>
              <w:contextualSpacing/>
              <w:jc w:val="center"/>
              <w:rPr>
                <w:b/>
                <w:bCs/>
              </w:rPr>
            </w:pPr>
            <w:r w:rsidRPr="00F25194">
              <w:rPr>
                <w:b/>
                <w:bCs/>
              </w:rPr>
              <w:t>Bruce Data Count</w:t>
            </w:r>
          </w:p>
        </w:tc>
        <w:tc>
          <w:tcPr>
            <w:tcW w:w="1870" w:type="dxa"/>
            <w:vAlign w:val="center"/>
          </w:tcPr>
          <w:p w14:paraId="0224A6E8" w14:textId="77777777" w:rsidR="004B556F" w:rsidRPr="00F25194" w:rsidRDefault="004B556F" w:rsidP="00DE29A7">
            <w:pPr>
              <w:suppressAutoHyphens/>
              <w:contextualSpacing/>
              <w:jc w:val="center"/>
              <w:rPr>
                <w:b/>
                <w:bCs/>
              </w:rPr>
            </w:pPr>
            <w:r w:rsidRPr="00F25194">
              <w:rPr>
                <w:b/>
                <w:bCs/>
              </w:rPr>
              <w:t>Expected Count</w:t>
            </w:r>
          </w:p>
        </w:tc>
        <w:tc>
          <w:tcPr>
            <w:tcW w:w="2067" w:type="dxa"/>
            <w:vAlign w:val="center"/>
          </w:tcPr>
          <w:p w14:paraId="5323C41C" w14:textId="77777777" w:rsidR="004B556F" w:rsidRPr="00F25194" w:rsidRDefault="004B556F" w:rsidP="00DE29A7">
            <w:pPr>
              <w:suppressAutoHyphens/>
              <w:contextualSpacing/>
              <w:jc w:val="center"/>
              <w:rPr>
                <w:b/>
                <w:bCs/>
              </w:rPr>
            </w:pPr>
            <w:r w:rsidRPr="00F25194">
              <w:rPr>
                <w:b/>
                <w:bCs/>
              </w:rPr>
              <w:t>Merged Count</w:t>
            </w:r>
          </w:p>
        </w:tc>
      </w:tr>
      <w:tr w:rsidR="004B556F" w:rsidRPr="00F25194" w14:paraId="082FA44C" w14:textId="77777777" w:rsidTr="00DE29A7">
        <w:tc>
          <w:tcPr>
            <w:tcW w:w="1678" w:type="dxa"/>
            <w:vAlign w:val="center"/>
          </w:tcPr>
          <w:p w14:paraId="619C099A" w14:textId="77777777" w:rsidR="004B556F" w:rsidRPr="00F25194" w:rsidRDefault="004B556F" w:rsidP="00DE29A7">
            <w:pPr>
              <w:suppressAutoHyphens/>
              <w:contextualSpacing/>
              <w:jc w:val="center"/>
            </w:pPr>
            <w:r w:rsidRPr="00F25194">
              <w:t>0</w:t>
            </w:r>
          </w:p>
        </w:tc>
        <w:tc>
          <w:tcPr>
            <w:tcW w:w="1870" w:type="dxa"/>
            <w:vAlign w:val="center"/>
          </w:tcPr>
          <w:p w14:paraId="3A293C3A" w14:textId="77777777" w:rsidR="004B556F" w:rsidRPr="00F25194" w:rsidRDefault="004B556F" w:rsidP="00DE29A7">
            <w:pPr>
              <w:suppressAutoHyphens/>
              <w:contextualSpacing/>
              <w:jc w:val="center"/>
            </w:pPr>
            <w:r w:rsidRPr="00F25194">
              <w:t>110</w:t>
            </w:r>
          </w:p>
        </w:tc>
        <w:tc>
          <w:tcPr>
            <w:tcW w:w="1870" w:type="dxa"/>
            <w:vAlign w:val="center"/>
          </w:tcPr>
          <w:p w14:paraId="5AF84A65" w14:textId="77777777" w:rsidR="004B556F" w:rsidRPr="00F25194" w:rsidRDefault="004B556F" w:rsidP="00DE29A7">
            <w:pPr>
              <w:suppressAutoHyphens/>
              <w:contextualSpacing/>
              <w:jc w:val="center"/>
            </w:pPr>
            <w:r w:rsidRPr="00F25194">
              <w:t>386</w:t>
            </w:r>
          </w:p>
        </w:tc>
        <w:tc>
          <w:tcPr>
            <w:tcW w:w="1870" w:type="dxa"/>
            <w:vAlign w:val="center"/>
          </w:tcPr>
          <w:p w14:paraId="024AEFEB" w14:textId="77777777" w:rsidR="004B556F" w:rsidRPr="00F25194" w:rsidRDefault="004B556F" w:rsidP="00DE29A7">
            <w:pPr>
              <w:suppressAutoHyphens/>
              <w:contextualSpacing/>
              <w:jc w:val="center"/>
            </w:pPr>
            <w:r w:rsidRPr="00F25194">
              <w:t>496</w:t>
            </w:r>
          </w:p>
        </w:tc>
        <w:tc>
          <w:tcPr>
            <w:tcW w:w="2067" w:type="dxa"/>
            <w:vAlign w:val="center"/>
          </w:tcPr>
          <w:p w14:paraId="0FE2BB14" w14:textId="77777777" w:rsidR="004B556F" w:rsidRPr="00F25194" w:rsidRDefault="004B556F" w:rsidP="00DE29A7">
            <w:pPr>
              <w:suppressAutoHyphens/>
              <w:contextualSpacing/>
              <w:jc w:val="center"/>
            </w:pPr>
            <w:r w:rsidRPr="00F25194">
              <w:t>496</w:t>
            </w:r>
          </w:p>
        </w:tc>
      </w:tr>
      <w:tr w:rsidR="004B556F" w:rsidRPr="00F25194" w14:paraId="35445F39" w14:textId="77777777" w:rsidTr="00DE29A7">
        <w:tc>
          <w:tcPr>
            <w:tcW w:w="1678" w:type="dxa"/>
            <w:vAlign w:val="center"/>
          </w:tcPr>
          <w:p w14:paraId="26BE9A4E" w14:textId="77777777" w:rsidR="004B556F" w:rsidRPr="00F25194" w:rsidRDefault="004B556F" w:rsidP="00DE29A7">
            <w:pPr>
              <w:suppressAutoHyphens/>
              <w:contextualSpacing/>
              <w:jc w:val="center"/>
            </w:pPr>
            <w:r w:rsidRPr="00F25194">
              <w:t>1</w:t>
            </w:r>
          </w:p>
        </w:tc>
        <w:tc>
          <w:tcPr>
            <w:tcW w:w="1870" w:type="dxa"/>
            <w:vAlign w:val="center"/>
          </w:tcPr>
          <w:p w14:paraId="793259A1" w14:textId="77777777" w:rsidR="004B556F" w:rsidRPr="00F25194" w:rsidRDefault="004B556F" w:rsidP="00DE29A7">
            <w:pPr>
              <w:suppressAutoHyphens/>
              <w:contextualSpacing/>
              <w:jc w:val="center"/>
            </w:pPr>
            <w:r w:rsidRPr="00F25194">
              <w:t>91</w:t>
            </w:r>
          </w:p>
        </w:tc>
        <w:tc>
          <w:tcPr>
            <w:tcW w:w="1870" w:type="dxa"/>
            <w:vAlign w:val="center"/>
          </w:tcPr>
          <w:p w14:paraId="1BA577A4" w14:textId="77777777" w:rsidR="004B556F" w:rsidRPr="00F25194" w:rsidRDefault="004B556F" w:rsidP="00DE29A7">
            <w:pPr>
              <w:suppressAutoHyphens/>
              <w:contextualSpacing/>
              <w:jc w:val="center"/>
            </w:pPr>
            <w:r w:rsidRPr="00F25194">
              <w:t>409</w:t>
            </w:r>
          </w:p>
        </w:tc>
        <w:tc>
          <w:tcPr>
            <w:tcW w:w="1870" w:type="dxa"/>
            <w:vAlign w:val="center"/>
          </w:tcPr>
          <w:p w14:paraId="35EB95B0" w14:textId="77777777" w:rsidR="004B556F" w:rsidRPr="00F25194" w:rsidRDefault="004B556F" w:rsidP="00DE29A7">
            <w:pPr>
              <w:suppressAutoHyphens/>
              <w:contextualSpacing/>
              <w:jc w:val="center"/>
            </w:pPr>
            <w:r w:rsidRPr="00F25194">
              <w:t>500</w:t>
            </w:r>
          </w:p>
        </w:tc>
        <w:tc>
          <w:tcPr>
            <w:tcW w:w="2067" w:type="dxa"/>
            <w:vAlign w:val="center"/>
          </w:tcPr>
          <w:p w14:paraId="29DA42E0" w14:textId="77777777" w:rsidR="004B556F" w:rsidRPr="00F25194" w:rsidRDefault="004B556F" w:rsidP="00DE29A7">
            <w:pPr>
              <w:suppressAutoHyphens/>
              <w:contextualSpacing/>
              <w:jc w:val="center"/>
            </w:pPr>
            <w:r w:rsidRPr="00F25194">
              <w:t>500</w:t>
            </w:r>
          </w:p>
        </w:tc>
      </w:tr>
    </w:tbl>
    <w:p w14:paraId="742F0300" w14:textId="4A93151B" w:rsidR="00151BC5" w:rsidRPr="00F25194" w:rsidRDefault="00151BC5" w:rsidP="00C73F8E"/>
    <w:p w14:paraId="079D7B43" w14:textId="1E035795" w:rsidR="00151BC5" w:rsidRPr="00F25194" w:rsidRDefault="00151BC5" w:rsidP="00C73F8E">
      <w:r w:rsidRPr="00F25194">
        <w:t xml:space="preserve">By capturing the </w:t>
      </w:r>
      <w:r w:rsidR="00B913C7" w:rsidRPr="00F25194">
        <w:t xml:space="preserve">individual </w:t>
      </w:r>
      <w:r w:rsidR="00042187" w:rsidRPr="00F25194">
        <w:t>distributions,</w:t>
      </w:r>
      <w:r w:rsidR="004E5B2C">
        <w:t xml:space="preserve"> one </w:t>
      </w:r>
      <w:r w:rsidR="00042187">
        <w:t>can</w:t>
      </w:r>
      <w:r w:rsidR="004E5B2C">
        <w:t xml:space="preserve"> infer if the </w:t>
      </w:r>
      <w:r w:rsidR="00B913C7" w:rsidRPr="00F25194">
        <w:t>merg</w:t>
      </w:r>
      <w:r w:rsidR="004E5B2C">
        <w:t>e is performed correctly as it</w:t>
      </w:r>
      <w:r w:rsidR="00042187">
        <w:t>s distribution</w:t>
      </w:r>
      <w:r w:rsidR="00B913C7" w:rsidRPr="00F25194">
        <w:t xml:space="preserve"> will be the summation of the</w:t>
      </w:r>
      <w:r w:rsidR="00F25194" w:rsidRPr="00F25194">
        <w:t xml:space="preserve"> </w:t>
      </w:r>
      <w:r w:rsidR="00042187">
        <w:t xml:space="preserve">individual </w:t>
      </w:r>
      <w:r w:rsidR="00B913C7" w:rsidRPr="00F25194">
        <w:t xml:space="preserve">distributions. </w:t>
      </w:r>
    </w:p>
    <w:p w14:paraId="4108663E" w14:textId="77777777" w:rsidR="00F25194" w:rsidRPr="00F25194" w:rsidRDefault="00F25194" w:rsidP="00C73F8E"/>
    <w:p w14:paraId="2BEAB1A0" w14:textId="2BC2F567" w:rsidR="00B913C7" w:rsidRDefault="00B913C7" w:rsidP="00C73F8E">
      <w:r w:rsidRPr="00F25194">
        <w:t>However, because the tra</w:t>
      </w:r>
      <w:r w:rsidR="009A6B9C" w:rsidRPr="00F25194">
        <w:t xml:space="preserve">nsposition of two values can still produce </w:t>
      </w:r>
      <w:r w:rsidR="00651CF7">
        <w:t>the expected</w:t>
      </w:r>
      <w:r w:rsidR="009A6B9C" w:rsidRPr="00F25194">
        <w:t xml:space="preserve"> distribution it is important to </w:t>
      </w:r>
      <w:r w:rsidR="00E21E04" w:rsidRPr="00F25194">
        <w:t xml:space="preserve">look at other metrics, such as the MAX and MIN (see </w:t>
      </w:r>
      <w:r w:rsidR="00651CF7">
        <w:t>T</w:t>
      </w:r>
      <w:r w:rsidR="00E21E04" w:rsidRPr="00F25194">
        <w:t>able 2).</w:t>
      </w:r>
      <w:r w:rsidR="00BB2CA0">
        <w:t xml:space="preserve"> MIN and MAX are useful as they are absolute and</w:t>
      </w:r>
      <w:r w:rsidR="009A0E5E">
        <w:t xml:space="preserve"> deterministic. With two datasets the </w:t>
      </w:r>
      <w:r w:rsidR="007F7946">
        <w:t xml:space="preserve">MAX or MIN of the merged dataset must be the MAX or MIN of one of the individual datasets. If not, then an improper merge has occurred. </w:t>
      </w:r>
    </w:p>
    <w:p w14:paraId="4565EFFA" w14:textId="72B42E5F" w:rsidR="007F7946" w:rsidRDefault="007F7946" w:rsidP="00C73F8E"/>
    <w:p w14:paraId="21B7E148" w14:textId="73FC6F36" w:rsidR="00651626" w:rsidRPr="00F25194" w:rsidRDefault="007F7946" w:rsidP="00586D3C">
      <w:pPr>
        <w:rPr>
          <w:rFonts w:eastAsia="Calibri"/>
          <w:b/>
          <w:bCs/>
          <w:i/>
          <w:iCs/>
        </w:rPr>
      </w:pPr>
      <w:r>
        <w:t xml:space="preserve">Average, mean, </w:t>
      </w:r>
      <w:r w:rsidR="008A27F4">
        <w:t xml:space="preserve">and </w:t>
      </w:r>
      <w:r>
        <w:t>mode</w:t>
      </w:r>
      <w:r w:rsidR="00E92422">
        <w:t xml:space="preserve"> </w:t>
      </w:r>
      <w:r w:rsidR="008A27F4">
        <w:t>is</w:t>
      </w:r>
      <w:r>
        <w:t xml:space="preserve"> not </w:t>
      </w:r>
      <w:r w:rsidR="00B85080">
        <w:t>as deterministic. These descriptors are sensitive to the range of the dataset</w:t>
      </w:r>
      <w:r w:rsidR="00D52DDF">
        <w:t xml:space="preserve"> and would need to be “weighted” to be useful for validatio</w:t>
      </w:r>
      <w:r w:rsidR="001A01E7">
        <w:t xml:space="preserve">n. This was shown in Table 2 – the merged </w:t>
      </w:r>
      <w:r w:rsidR="00586D3C">
        <w:t>average is not equal to Bruce</w:t>
      </w:r>
      <w:r w:rsidR="00C80724">
        <w:t>’s average</w:t>
      </w:r>
      <w:r w:rsidR="00586D3C">
        <w:t xml:space="preserve"> nor Wayne’s average.</w:t>
      </w:r>
    </w:p>
    <w:p w14:paraId="11BD75DD" w14:textId="6B38AABC" w:rsidR="00F4344A" w:rsidRDefault="00F4344A" w:rsidP="00DB7531">
      <w:pPr>
        <w:suppressAutoHyphens/>
        <w:spacing w:line="240" w:lineRule="auto"/>
        <w:contextualSpacing/>
      </w:pPr>
    </w:p>
    <w:p w14:paraId="77FACEBA" w14:textId="28FF3727" w:rsidR="00AF74CF" w:rsidRDefault="00AF74CF" w:rsidP="00DB7531">
      <w:pPr>
        <w:suppressAutoHyphens/>
        <w:spacing w:line="240" w:lineRule="auto"/>
        <w:contextualSpacing/>
      </w:pPr>
      <w:r>
        <w:t>By performing these validations one can be assured that the merged dataset stil</w:t>
      </w:r>
      <w:r w:rsidR="002524B9">
        <w:t>l represents the data in a meaningful way. A poorly written formula to convert location</w:t>
      </w:r>
      <w:r w:rsidR="00D44211">
        <w:t xml:space="preserve"> from city to A, B, C</w:t>
      </w:r>
      <w:r w:rsidR="002524B9">
        <w:t xml:space="preserve"> could easily </w:t>
      </w:r>
      <w:r w:rsidR="00D44211">
        <w:t xml:space="preserve">cause the </w:t>
      </w:r>
      <w:r w:rsidR="0008429E">
        <w:t xml:space="preserve">nearly flat distribution to be skewed towards a location. This skew could cause </w:t>
      </w:r>
      <w:r w:rsidR="00C17074">
        <w:t>our Executive Team</w:t>
      </w:r>
      <w:r w:rsidR="0008429E">
        <w:t xml:space="preserve"> to invest </w:t>
      </w:r>
      <w:r w:rsidR="00C17074">
        <w:t xml:space="preserve">in new stores in the wrong </w:t>
      </w:r>
      <w:r w:rsidR="000F08E4">
        <w:t>city</w:t>
      </w:r>
      <w:r w:rsidR="00C17074">
        <w:t>.</w:t>
      </w:r>
    </w:p>
    <w:p w14:paraId="61F39ADF" w14:textId="598956B2" w:rsidR="00844206" w:rsidRDefault="00844206" w:rsidP="00DB7531">
      <w:pPr>
        <w:suppressAutoHyphens/>
        <w:spacing w:line="240" w:lineRule="auto"/>
        <w:contextualSpacing/>
      </w:pPr>
    </w:p>
    <w:p w14:paraId="04CFC3E8" w14:textId="5F9FE2BA" w:rsidR="00844206" w:rsidRDefault="006B62CB" w:rsidP="00DB7531">
      <w:pPr>
        <w:suppressAutoHyphens/>
        <w:spacing w:line="240" w:lineRule="auto"/>
        <w:contextualSpacing/>
      </w:pPr>
      <w:r>
        <w:t xml:space="preserve">The tests from the prior report and this report </w:t>
      </w:r>
      <w:r w:rsidR="00651B28">
        <w:t xml:space="preserve">prove that the transformed data was not altered in its meaning nor was </w:t>
      </w:r>
      <w:r w:rsidR="0027505A">
        <w:t>and data missed</w:t>
      </w:r>
      <w:r w:rsidR="00D94AAE">
        <w:t xml:space="preserve"> or altered by the merging activities.</w:t>
      </w:r>
      <w:r w:rsidR="00E72FAD">
        <w:t xml:space="preserve"> It is my opinion</w:t>
      </w:r>
      <w:r w:rsidR="00A54AB5">
        <w:t xml:space="preserve"> </w:t>
      </w:r>
      <w:r w:rsidR="00C02B6B">
        <w:t xml:space="preserve">that </w:t>
      </w:r>
      <w:r w:rsidR="00A54AB5">
        <w:t xml:space="preserve">the merged Bruce and Wayne datasets </w:t>
      </w:r>
      <w:r w:rsidR="00DF5407">
        <w:t>maintain the quality that our Data Consumers require.</w:t>
      </w:r>
    </w:p>
    <w:p w14:paraId="74B9AFDE" w14:textId="129CD681" w:rsidR="00DF5407" w:rsidRDefault="00DF5407" w:rsidP="00DB7531">
      <w:pPr>
        <w:suppressAutoHyphens/>
        <w:spacing w:line="240" w:lineRule="auto"/>
        <w:contextualSpacing/>
      </w:pPr>
    </w:p>
    <w:p w14:paraId="4B0B66E0" w14:textId="77777777" w:rsidR="00DF5407" w:rsidRDefault="00DF5407" w:rsidP="00DF5407">
      <w:r>
        <w:t>Please contact me if you have any questions or concerns about this analysis.</w:t>
      </w:r>
    </w:p>
    <w:p w14:paraId="0F76891A" w14:textId="77777777" w:rsidR="00DF5407" w:rsidRDefault="00DF5407" w:rsidP="00DF5407"/>
    <w:p w14:paraId="5176693C" w14:textId="77777777" w:rsidR="00DF5407" w:rsidRPr="0033106E" w:rsidRDefault="00DF5407" w:rsidP="00DF5407">
      <w:r>
        <w:t>Brandon Hobbs</w:t>
      </w:r>
    </w:p>
    <w:p w14:paraId="25DDDA46" w14:textId="77777777" w:rsidR="00DF5407" w:rsidRPr="00F25194" w:rsidRDefault="00DF5407" w:rsidP="00DB7531">
      <w:pPr>
        <w:suppressAutoHyphens/>
        <w:spacing w:line="240" w:lineRule="auto"/>
        <w:contextualSpacing/>
      </w:pPr>
    </w:p>
    <w:sectPr w:rsidR="00DF5407" w:rsidRPr="00F25194">
      <w:headerReference w:type="default" r:id="rId10"/>
      <w:footerReference w:type="even" r:id="rId11"/>
      <w:footerReference w:type="defaul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AE151" w14:textId="77777777" w:rsidR="006C368C" w:rsidRDefault="006C368C" w:rsidP="00DB7531">
      <w:pPr>
        <w:spacing w:line="240" w:lineRule="auto"/>
      </w:pPr>
      <w:r>
        <w:separator/>
      </w:r>
    </w:p>
  </w:endnote>
  <w:endnote w:type="continuationSeparator" w:id="0">
    <w:p w14:paraId="5AEB7C85" w14:textId="77777777" w:rsidR="006C368C" w:rsidRDefault="006C368C" w:rsidP="00DB75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76B5E" w14:textId="050C95D4" w:rsidR="00834AA7" w:rsidRDefault="00834A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43555" w14:textId="0703F7F8" w:rsidR="00834AA7" w:rsidRDefault="00834A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2F1BF" w14:textId="4A184FEC" w:rsidR="00834AA7" w:rsidRDefault="00834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DD896" w14:textId="77777777" w:rsidR="006C368C" w:rsidRDefault="006C368C" w:rsidP="00DB7531">
      <w:pPr>
        <w:spacing w:line="240" w:lineRule="auto"/>
      </w:pPr>
      <w:r>
        <w:separator/>
      </w:r>
    </w:p>
  </w:footnote>
  <w:footnote w:type="continuationSeparator" w:id="0">
    <w:p w14:paraId="5706EBE6" w14:textId="77777777" w:rsidR="006C368C" w:rsidRDefault="006C368C" w:rsidP="00DB75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733E7" w14:textId="77777777" w:rsidR="00DB7531" w:rsidRDefault="00DB7531" w:rsidP="00DB7531">
    <w:pPr>
      <w:pStyle w:val="Header"/>
      <w:spacing w:after="200"/>
      <w:jc w:val="center"/>
    </w:pPr>
    <w:r>
      <w:rPr>
        <w:noProof/>
        <w:lang w:val="en-US"/>
      </w:rPr>
      <w:drawing>
        <wp:inline distT="0" distB="0" distL="0" distR="0" wp14:anchorId="2CCD2807" wp14:editId="55856C35">
          <wp:extent cx="2743200" cy="409575"/>
          <wp:effectExtent l="0" t="0" r="0" b="9525"/>
          <wp:docPr id="5" name="Picture 5"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25386D"/>
    <w:multiLevelType w:val="multilevel"/>
    <w:tmpl w:val="BCD83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2788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0B4"/>
    <w:rsid w:val="00042187"/>
    <w:rsid w:val="00044F93"/>
    <w:rsid w:val="00063E04"/>
    <w:rsid w:val="00067BBF"/>
    <w:rsid w:val="00077AD0"/>
    <w:rsid w:val="0008429E"/>
    <w:rsid w:val="000B0C77"/>
    <w:rsid w:val="000B764F"/>
    <w:rsid w:val="000F08E4"/>
    <w:rsid w:val="00104F8D"/>
    <w:rsid w:val="00151BC5"/>
    <w:rsid w:val="001A01E7"/>
    <w:rsid w:val="001C56C5"/>
    <w:rsid w:val="001D7086"/>
    <w:rsid w:val="001E76F2"/>
    <w:rsid w:val="001F31AB"/>
    <w:rsid w:val="00246050"/>
    <w:rsid w:val="002524B9"/>
    <w:rsid w:val="0027505A"/>
    <w:rsid w:val="002A258F"/>
    <w:rsid w:val="002A38FD"/>
    <w:rsid w:val="00372B2E"/>
    <w:rsid w:val="00443154"/>
    <w:rsid w:val="004B556F"/>
    <w:rsid w:val="004E5B2C"/>
    <w:rsid w:val="00513FF8"/>
    <w:rsid w:val="00531BB5"/>
    <w:rsid w:val="0054558B"/>
    <w:rsid w:val="00554ABA"/>
    <w:rsid w:val="0055755B"/>
    <w:rsid w:val="00576FE2"/>
    <w:rsid w:val="005805D0"/>
    <w:rsid w:val="00586D3C"/>
    <w:rsid w:val="005C799E"/>
    <w:rsid w:val="005F22BA"/>
    <w:rsid w:val="006266F8"/>
    <w:rsid w:val="00651626"/>
    <w:rsid w:val="00651B28"/>
    <w:rsid w:val="00651CF7"/>
    <w:rsid w:val="00683DFB"/>
    <w:rsid w:val="00696242"/>
    <w:rsid w:val="006B62CB"/>
    <w:rsid w:val="006C368C"/>
    <w:rsid w:val="00704FC2"/>
    <w:rsid w:val="007351C7"/>
    <w:rsid w:val="00737E1C"/>
    <w:rsid w:val="00755626"/>
    <w:rsid w:val="00785E74"/>
    <w:rsid w:val="007F46AB"/>
    <w:rsid w:val="007F7946"/>
    <w:rsid w:val="008066BB"/>
    <w:rsid w:val="008345E1"/>
    <w:rsid w:val="00834AA7"/>
    <w:rsid w:val="00844206"/>
    <w:rsid w:val="008726BA"/>
    <w:rsid w:val="00890023"/>
    <w:rsid w:val="008A27F4"/>
    <w:rsid w:val="008E6272"/>
    <w:rsid w:val="008F1864"/>
    <w:rsid w:val="00927ED4"/>
    <w:rsid w:val="009A0E5E"/>
    <w:rsid w:val="009A6B9C"/>
    <w:rsid w:val="009D288E"/>
    <w:rsid w:val="009E4157"/>
    <w:rsid w:val="009E6E25"/>
    <w:rsid w:val="00A54AB5"/>
    <w:rsid w:val="00A85FFD"/>
    <w:rsid w:val="00A927E6"/>
    <w:rsid w:val="00AD7D57"/>
    <w:rsid w:val="00AF2F2B"/>
    <w:rsid w:val="00AF74CF"/>
    <w:rsid w:val="00B205F1"/>
    <w:rsid w:val="00B250F4"/>
    <w:rsid w:val="00B50D4A"/>
    <w:rsid w:val="00B5536A"/>
    <w:rsid w:val="00B80143"/>
    <w:rsid w:val="00B85080"/>
    <w:rsid w:val="00B913C7"/>
    <w:rsid w:val="00BB2CA0"/>
    <w:rsid w:val="00BC58D3"/>
    <w:rsid w:val="00BE7F75"/>
    <w:rsid w:val="00C02B6B"/>
    <w:rsid w:val="00C051AA"/>
    <w:rsid w:val="00C17074"/>
    <w:rsid w:val="00C62237"/>
    <w:rsid w:val="00C73F8E"/>
    <w:rsid w:val="00C80724"/>
    <w:rsid w:val="00CA7B8C"/>
    <w:rsid w:val="00CB7463"/>
    <w:rsid w:val="00CE29B5"/>
    <w:rsid w:val="00D144B9"/>
    <w:rsid w:val="00D27641"/>
    <w:rsid w:val="00D44211"/>
    <w:rsid w:val="00D50C79"/>
    <w:rsid w:val="00D52DDF"/>
    <w:rsid w:val="00D94AAE"/>
    <w:rsid w:val="00D9604A"/>
    <w:rsid w:val="00DB7531"/>
    <w:rsid w:val="00DF50B4"/>
    <w:rsid w:val="00DF5407"/>
    <w:rsid w:val="00E21E04"/>
    <w:rsid w:val="00E72FAD"/>
    <w:rsid w:val="00E85A1B"/>
    <w:rsid w:val="00E92422"/>
    <w:rsid w:val="00EA2852"/>
    <w:rsid w:val="00EB5245"/>
    <w:rsid w:val="00EE040A"/>
    <w:rsid w:val="00EF47F8"/>
    <w:rsid w:val="00F25194"/>
    <w:rsid w:val="00F4344A"/>
    <w:rsid w:val="00F756B8"/>
    <w:rsid w:val="00FB25C2"/>
    <w:rsid w:val="00FE1AE0"/>
    <w:rsid w:val="00FE5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53A92FD"/>
  <w15:docId w15:val="{F4EE7F02-9E8E-46B7-A08D-4853A6FD9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DB7531"/>
    <w:pPr>
      <w:suppressAutoHyphens/>
      <w:spacing w:line="240" w:lineRule="auto"/>
      <w:contextualSpacing/>
      <w:jc w:val="center"/>
      <w:outlineLvl w:val="0"/>
    </w:pPr>
    <w:rPr>
      <w:rFonts w:asciiTheme="majorHAnsi" w:eastAsia="Calibri" w:hAnsiTheme="majorHAnsi" w:cstheme="majorHAnsi"/>
      <w:b/>
      <w:sz w:val="24"/>
      <w:szCs w:val="24"/>
    </w:rPr>
  </w:style>
  <w:style w:type="paragraph" w:styleId="Heading2">
    <w:name w:val="heading 2"/>
    <w:basedOn w:val="Normal"/>
    <w:next w:val="Normal"/>
    <w:rsid w:val="00651626"/>
    <w:pPr>
      <w:suppressAutoHyphens/>
      <w:spacing w:line="240" w:lineRule="auto"/>
      <w:contextualSpacing/>
      <w:jc w:val="center"/>
      <w:outlineLvl w:val="1"/>
    </w:pPr>
    <w:rPr>
      <w:rFonts w:asciiTheme="majorHAnsi" w:eastAsia="Calibri" w:hAnsiTheme="majorHAnsi" w:cstheme="majorHAnsi"/>
      <w:b/>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nhideWhenUsed/>
    <w:rsid w:val="00DB7531"/>
    <w:pPr>
      <w:tabs>
        <w:tab w:val="center" w:pos="4680"/>
        <w:tab w:val="right" w:pos="9360"/>
      </w:tabs>
      <w:spacing w:line="240" w:lineRule="auto"/>
    </w:pPr>
  </w:style>
  <w:style w:type="character" w:customStyle="1" w:styleId="HeaderChar">
    <w:name w:val="Header Char"/>
    <w:basedOn w:val="DefaultParagraphFont"/>
    <w:link w:val="Header"/>
    <w:rsid w:val="00DB7531"/>
  </w:style>
  <w:style w:type="paragraph" w:styleId="Footer">
    <w:name w:val="footer"/>
    <w:basedOn w:val="Normal"/>
    <w:link w:val="FooterChar"/>
    <w:uiPriority w:val="99"/>
    <w:unhideWhenUsed/>
    <w:rsid w:val="00DB7531"/>
    <w:pPr>
      <w:tabs>
        <w:tab w:val="center" w:pos="4680"/>
        <w:tab w:val="right" w:pos="9360"/>
      </w:tabs>
      <w:spacing w:line="240" w:lineRule="auto"/>
    </w:pPr>
  </w:style>
  <w:style w:type="character" w:customStyle="1" w:styleId="FooterChar">
    <w:name w:val="Footer Char"/>
    <w:basedOn w:val="DefaultParagraphFont"/>
    <w:link w:val="Footer"/>
    <w:uiPriority w:val="99"/>
    <w:rsid w:val="00DB7531"/>
  </w:style>
  <w:style w:type="character" w:styleId="CommentReference">
    <w:name w:val="annotation reference"/>
    <w:basedOn w:val="DefaultParagraphFont"/>
    <w:uiPriority w:val="99"/>
    <w:semiHidden/>
    <w:unhideWhenUsed/>
    <w:rsid w:val="00DB7531"/>
    <w:rPr>
      <w:sz w:val="16"/>
      <w:szCs w:val="16"/>
    </w:rPr>
  </w:style>
  <w:style w:type="paragraph" w:styleId="CommentText">
    <w:name w:val="annotation text"/>
    <w:basedOn w:val="Normal"/>
    <w:link w:val="CommentTextChar"/>
    <w:uiPriority w:val="99"/>
    <w:semiHidden/>
    <w:unhideWhenUsed/>
    <w:rsid w:val="00DB7531"/>
    <w:pPr>
      <w:spacing w:line="240" w:lineRule="auto"/>
    </w:pPr>
    <w:rPr>
      <w:sz w:val="20"/>
      <w:szCs w:val="20"/>
    </w:rPr>
  </w:style>
  <w:style w:type="character" w:customStyle="1" w:styleId="CommentTextChar">
    <w:name w:val="Comment Text Char"/>
    <w:basedOn w:val="DefaultParagraphFont"/>
    <w:link w:val="CommentText"/>
    <w:uiPriority w:val="99"/>
    <w:semiHidden/>
    <w:rsid w:val="00DB7531"/>
    <w:rPr>
      <w:sz w:val="20"/>
      <w:szCs w:val="20"/>
    </w:rPr>
  </w:style>
  <w:style w:type="paragraph" w:styleId="CommentSubject">
    <w:name w:val="annotation subject"/>
    <w:basedOn w:val="CommentText"/>
    <w:next w:val="CommentText"/>
    <w:link w:val="CommentSubjectChar"/>
    <w:uiPriority w:val="99"/>
    <w:semiHidden/>
    <w:unhideWhenUsed/>
    <w:rsid w:val="00DB7531"/>
    <w:rPr>
      <w:b/>
      <w:bCs/>
    </w:rPr>
  </w:style>
  <w:style w:type="character" w:customStyle="1" w:styleId="CommentSubjectChar">
    <w:name w:val="Comment Subject Char"/>
    <w:basedOn w:val="CommentTextChar"/>
    <w:link w:val="CommentSubject"/>
    <w:uiPriority w:val="99"/>
    <w:semiHidden/>
    <w:rsid w:val="00DB7531"/>
    <w:rPr>
      <w:b/>
      <w:bCs/>
      <w:sz w:val="20"/>
      <w:szCs w:val="20"/>
    </w:rPr>
  </w:style>
  <w:style w:type="paragraph" w:styleId="BalloonText">
    <w:name w:val="Balloon Text"/>
    <w:basedOn w:val="Normal"/>
    <w:link w:val="BalloonTextChar"/>
    <w:uiPriority w:val="99"/>
    <w:semiHidden/>
    <w:unhideWhenUsed/>
    <w:rsid w:val="00DB753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531"/>
    <w:rPr>
      <w:rFonts w:ascii="Segoe UI" w:hAnsi="Segoe UI" w:cs="Segoe UI"/>
      <w:sz w:val="18"/>
      <w:szCs w:val="18"/>
    </w:rPr>
  </w:style>
  <w:style w:type="table" w:styleId="TableGrid">
    <w:name w:val="Table Grid"/>
    <w:basedOn w:val="TableNormal"/>
    <w:uiPriority w:val="39"/>
    <w:rsid w:val="00A85FF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E60F05-A8C4-4064-82E7-CABDACB5E5FA}">
  <ds:schemaRefs>
    <ds:schemaRef ds:uri="http://schemas.microsoft.com/sharepoint/v3/contenttype/forms"/>
  </ds:schemaRefs>
</ds:datastoreItem>
</file>

<file path=customXml/itemProps2.xml><?xml version="1.0" encoding="utf-8"?>
<ds:datastoreItem xmlns:ds="http://schemas.openxmlformats.org/officeDocument/2006/customXml" ds:itemID="{5CC07342-D597-4706-87B7-83D00B52A9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63A2A4-C8AF-4CCA-B644-41033FBF13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Metadata/LabelInfo.xml><?xml version="1.0" encoding="utf-8"?>
<clbl:labelList xmlns:clbl="http://schemas.microsoft.com/office/2020/mipLabelMetadata">
  <clbl:label id="{703e2fe1-4846-4393-8cf2-1bc71a04fd88}" enabled="1" method="Privileged" siteId="{41ff26dc-250f-4b13-8981-739be8610c21}" removed="0"/>
</clbl:labelList>
</file>

<file path=docProps/app.xml><?xml version="1.0" encoding="utf-8"?>
<Properties xmlns="http://schemas.openxmlformats.org/officeDocument/2006/extended-properties" xmlns:vt="http://schemas.openxmlformats.org/officeDocument/2006/docPropsVTypes">
  <Template>Normal.dotm</Template>
  <TotalTime>206</TotalTime>
  <Pages>2</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Locke, Jennifer</dc:creator>
  <cp:lastModifiedBy>Brandon Hobbs</cp:lastModifiedBy>
  <cp:revision>99</cp:revision>
  <dcterms:created xsi:type="dcterms:W3CDTF">2023-02-07T02:41:00Z</dcterms:created>
  <dcterms:modified xsi:type="dcterms:W3CDTF">2023-02-07T19:52:00Z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