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B73"/>
          <w:sz w:val="22"/>
        </w:rPr>
        <w:t>COMERCIALIZADORA MIGH DE MÉXICO S.A. DE C.V.</w:t>
      </w:r>
    </w:p>
    <w:p>
      <w:pPr>
        <w:spacing w:after="200"/>
      </w:pPr>
      <w:r>
        <w:rPr>
          <w:b w:val="0"/>
          <w:sz w:val="16"/>
        </w:rPr>
        <w:t>Almacén de materias primas · Aseguramiento de Calidad</w:t>
      </w:r>
    </w:p>
    <w:p>
      <w:pPr>
        <w:spacing w:after="160"/>
      </w:pPr>
      <w:r>
        <w:rPr>
          <w:b/>
          <w:sz w:val="30"/>
        </w:rPr>
        <w:t>Guía operativa — control de ubicación del inventario</w:t>
      </w:r>
    </w:p>
    <w:p>
      <w:pPr>
        <w:spacing w:after="200"/>
      </w:pPr>
      <w:r>
        <w:rPr>
          <w:b w:val="0"/>
          <w:i/>
          <w:sz w:val="16"/>
        </w:rPr>
        <w:t>Documento de trabajo. No sustituye ALM-PNO-002 ni el formato F01-ALM-PNO-002.</w:t>
      </w:r>
    </w:p>
    <w:p>
      <w:pPr>
        <w:spacing w:after="80"/>
      </w:pPr>
      <w:r>
        <w:rPr>
          <w:b/>
          <w:color w:val="1F3B73"/>
          <w:sz w:val="22"/>
        </w:rPr>
        <w:t>1. Punto de partida (medido el 22 de octubre de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b/>
                <w:color w:val="1F3B73"/>
                <w:sz w:val="16"/>
              </w:rPr>
              <w:t>Indicador</w:t>
            </w:r>
          </w:p>
        </w:tc>
        <w:tc>
          <w:tcPr>
            <w:tcW w:type="dxa" w:w="5100"/>
          </w:tcPr>
          <w:p>
            <w:r/>
            <w:r>
              <w:rPr>
                <w:b/>
                <w:color w:val="1F3B73"/>
                <w:sz w:val="16"/>
              </w:rPr>
              <w:t>Valor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6"/>
              </w:rPr>
              <w:t>Lotes en el inventario del área</w:t>
            </w:r>
          </w:p>
        </w:tc>
        <w:tc>
          <w:tcPr>
            <w:tcW w:type="dxa" w:w="5100"/>
          </w:tcPr>
          <w:p>
            <w:r/>
            <w:r>
              <w:rPr>
                <w:sz w:val="16"/>
              </w:rPr>
              <w:t>137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6"/>
              </w:rPr>
              <w:t>Kilogramos declarados</w:t>
            </w:r>
          </w:p>
        </w:tc>
        <w:tc>
          <w:tcPr>
            <w:tcW w:type="dxa" w:w="5100"/>
          </w:tcPr>
          <w:p>
            <w:r/>
            <w:r>
              <w:rPr>
                <w:sz w:val="16"/>
              </w:rPr>
              <w:t>72,215.4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6"/>
              </w:rPr>
              <w:t>Lotes con ubicación registrada</w:t>
            </w:r>
          </w:p>
        </w:tc>
        <w:tc>
          <w:tcPr>
            <w:tcW w:type="dxa" w:w="5100"/>
          </w:tcPr>
          <w:p>
            <w:r/>
            <w:r>
              <w:rPr>
                <w:sz w:val="16"/>
              </w:rPr>
              <w:t>0 de 137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6"/>
              </w:rPr>
              <w:t>Lotes ya vencidos</w:t>
            </w:r>
          </w:p>
        </w:tc>
        <w:tc>
          <w:tcPr>
            <w:tcW w:type="dxa" w:w="5100"/>
          </w:tcPr>
          <w:p>
            <w:r/>
            <w:r>
              <w:rPr>
                <w:sz w:val="16"/>
              </w:rPr>
              <w:t>29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6"/>
              </w:rPr>
              <w:t>Lotes que vencen en 30 días</w:t>
            </w:r>
          </w:p>
        </w:tc>
        <w:tc>
          <w:tcPr>
            <w:tcW w:type="dxa" w:w="5100"/>
          </w:tcPr>
          <w:p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6"/>
              </w:rPr>
              <w:t>Lotes sin caducidad legible</w:t>
            </w:r>
          </w:p>
        </w:tc>
        <w:tc>
          <w:tcPr>
            <w:tcW w:type="dxa" w:w="5100"/>
          </w:tcPr>
          <w:p>
            <w:r/>
            <w:r>
              <w:rPr>
                <w:sz w:val="16"/>
              </w:rPr>
              <w:t>7</w:t>
            </w:r>
          </w:p>
        </w:tc>
      </w:tr>
    </w:tbl>
    <w:p>
      <w:pPr>
        <w:spacing w:after="200"/>
      </w:pPr>
      <w:r>
        <w:rPr>
          <w:b w:val="0"/>
          <w:color w:val="B01C1C"/>
          <w:sz w:val="18"/>
        </w:rPr>
        <w:t>El archivo del área no puede contestar «¿qué se me vence primero?». Eso es PEPS/FEFO, no papeleo: es merma y desabasto.</w:t>
      </w:r>
    </w:p>
    <w:p>
      <w:pPr>
        <w:spacing w:after="80"/>
      </w:pPr>
      <w:r>
        <w:rPr>
          <w:b/>
          <w:color w:val="1F3B73"/>
          <w:sz w:val="22"/>
        </w:rPr>
        <w:t>2. Cómo se usa (tres pasos, 15 segundos)</w:t>
      </w:r>
    </w:p>
    <w:p>
      <w:pPr>
        <w:spacing w:after="60"/>
      </w:pPr>
      <w:r>
        <w:rPr>
          <w:b w:val="0"/>
          <w:sz w:val="18"/>
        </w:rPr>
        <w:t>• Abrir el sistema: doble clic en arrancar.cmd de la carpeta del proyecto. Se abre en el navegador.</w:t>
      </w:r>
    </w:p>
    <w:p>
      <w:pPr>
        <w:spacing w:after="60"/>
      </w:pPr>
      <w:r>
        <w:rPr>
          <w:b w:val="0"/>
          <w:sz w:val="18"/>
        </w:rPr>
        <w:t>• Escribir tu nombre la primera vez. Queda registrado en cada movimiento que hagas.</w:t>
      </w:r>
    </w:p>
    <w:p>
      <w:pPr>
        <w:spacing w:after="60"/>
      </w:pPr>
      <w:r>
        <w:rPr>
          <w:b w:val="0"/>
          <w:sz w:val="18"/>
        </w:rPr>
        <w:t>• Buscar el material o el lote, teclear el código del rack en la columna UBICACIÓN y dar Enter. Si no aparece, botón «no está» y anotas qué pasó.</w:t>
      </w:r>
    </w:p>
    <w:p>
      <w:pPr>
        <w:spacing w:after="80"/>
      </w:pPr>
      <w:r>
        <w:rPr>
          <w:b/>
          <w:color w:val="1F3B73"/>
          <w:sz w:val="22"/>
        </w:rPr>
        <w:t>3. Los cinco Excel, con un clic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color w:val="1F3B73"/>
                <w:sz w:val="16"/>
              </w:rPr>
              <w:t>Botón</w:t>
            </w:r>
          </w:p>
        </w:tc>
        <w:tc>
          <w:tcPr>
            <w:tcW w:type="dxa" w:w="3400"/>
          </w:tcPr>
          <w:p>
            <w:r/>
            <w:r>
              <w:rPr>
                <w:b/>
                <w:color w:val="1F3B73"/>
                <w:sz w:val="16"/>
              </w:rPr>
              <w:t>Qué obtienes</w:t>
            </w:r>
          </w:p>
        </w:tc>
        <w:tc>
          <w:tcPr>
            <w:tcW w:type="dxa" w:w="3400"/>
          </w:tcPr>
          <w:p>
            <w:r/>
            <w:r>
              <w:rPr>
                <w:b/>
                <w:color w:val="1F3B73"/>
                <w:sz w:val="16"/>
              </w:rPr>
              <w:t>Para qué sirve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Inventario + ubicación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El Excel del área con la columna UBICACIÓN, más hojas Resumen y Sin ubicar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Trabajo diario y evidencia de avance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Reporte F01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F01-ALM-PNO-002 versión 2 (Ubicación, Material, Cantidad, Lote) por zona, con firmas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El reporte del periodo, para imprimir y firmar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F01 con caducidad (v3)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La misma tabla más Caducidad y Días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Propuesta de versión siguiente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Tabla macro + FEFO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Matriz material × zona y caducidades ordenadas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Pegar en el almacén y planear surtido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Bitácora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Todos los movimientos con usuario, fecha, origen y destino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Evidencia para auditoría</w:t>
            </w:r>
          </w:p>
        </w:tc>
      </w:tr>
    </w:tbl>
    <w:p>
      <w:pPr>
        <w:spacing w:after="80"/>
      </w:pPr>
      <w:r>
        <w:rPr>
          <w:b/>
          <w:color w:val="1F3B73"/>
          <w:sz w:val="22"/>
        </w:rPr>
        <w:t>4. Reglas que no se negocian</w:t>
      </w:r>
    </w:p>
    <w:p>
      <w:pPr>
        <w:spacing w:after="60"/>
      </w:pPr>
      <w:r>
        <w:rPr>
          <w:b w:val="0"/>
          <w:sz w:val="18"/>
        </w:rPr>
        <w:t>• No se inventa una ubicación: si no se sabe, se marca «no está».</w:t>
      </w:r>
    </w:p>
    <w:p>
      <w:pPr>
        <w:spacing w:after="60"/>
      </w:pPr>
      <w:r>
        <w:rPr>
          <w:b w:val="0"/>
          <w:sz w:val="18"/>
        </w:rPr>
        <w:t>• No se inventa una caducidad: si el dato no es legible, queda como «sin dato».</w:t>
      </w:r>
    </w:p>
    <w:p>
      <w:pPr>
        <w:spacing w:after="60"/>
      </w:pPr>
      <w:r>
        <w:rPr>
          <w:b w:val="0"/>
          <w:sz w:val="18"/>
        </w:rPr>
        <w:t>• No se llena el reporte a mano: se genera y se firma.</w:t>
      </w:r>
    </w:p>
    <w:p>
      <w:pPr>
        <w:spacing w:after="60"/>
      </w:pPr>
      <w:r>
        <w:rPr>
          <w:b w:val="0"/>
          <w:sz w:val="18"/>
        </w:rPr>
        <w:t>• El papel no cambia: R-ALM-001 y el checklist de recepción se siguen llenando igual.</w:t>
      </w:r>
    </w:p>
    <w:p>
      <w:pPr>
        <w:spacing w:after="80"/>
      </w:pPr>
      <w:r>
        <w:rPr>
          <w:b/>
          <w:color w:val="1F3B73"/>
          <w:sz w:val="22"/>
        </w:rPr>
        <w:t>5. Códigos de ubicación válidos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b/>
                <w:color w:val="1F3B73"/>
                <w:sz w:val="16"/>
              </w:rPr>
              <w:t>Serie</w:t>
            </w:r>
          </w:p>
        </w:tc>
        <w:tc>
          <w:tcPr>
            <w:tcW w:type="dxa" w:w="3400"/>
          </w:tcPr>
          <w:p>
            <w:r/>
            <w:r>
              <w:rPr>
                <w:b/>
                <w:color w:val="1F3B73"/>
                <w:sz w:val="16"/>
              </w:rPr>
              <w:t>Rango</w:t>
            </w:r>
          </w:p>
        </w:tc>
        <w:tc>
          <w:tcPr>
            <w:tcW w:type="dxa" w:w="3400"/>
          </w:tcPr>
          <w:p>
            <w:r/>
            <w:r>
              <w:rPr>
                <w:b/>
                <w:color w:val="1F3B73"/>
                <w:sz w:val="16"/>
              </w:rPr>
              <w:t>Materiales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MPA-A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001 – 040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Materias primas, zona alérgenos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MPNA-A / MPNA-B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041 – 136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Materias primas no alérgenas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MPT-B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001 – 020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Material de producto terminado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MEP-B a MEP-E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001 – 220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Material de empaque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6"/>
              </w:rPr>
              <w:t>Especiales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3400"/>
          </w:tcPr>
          <w:p>
            <w:r/>
            <w:r>
              <w:rPr>
                <w:sz w:val="16"/>
              </w:rPr>
              <w:t>PASILLO-A, JAULA-MP, JAULA-PT, LAB-RETENCION, CUARENTENA-MP, ADUANA-MP, ANDEN</w:t>
            </w:r>
          </w:p>
        </w:tc>
      </w:tr>
    </w:tbl>
    <w:p>
      <w:pPr>
        <w:spacing w:after="200"/>
      </w:pPr>
      <w:r>
        <w:rPr>
          <w:b w:val="0"/>
          <w:color w:val="1E6B3A"/>
          <w:sz w:val="18"/>
        </w:rPr>
        <w:t>Si el código no existe, el sistema lo rechaza. Las ubicaciones MPNA-B-131 a 136 y las jaulas no están en el formato F01 vigente aunque sí en el procedimiento: hay que agregarlas en la próxima revisión del formato.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