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tvzjf1s45e4l" w:id="0"/>
      <w:bookmarkEnd w:id="0"/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871663" cy="46162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71663" cy="4616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>
          <w:rFonts w:ascii="Merriweather Medium" w:cs="Merriweather Medium" w:eastAsia="Merriweather Medium" w:hAnsi="Merriweather Medium"/>
          <w:sz w:val="42"/>
          <w:szCs w:val="42"/>
        </w:rPr>
      </w:pPr>
      <w:bookmarkStart w:colFirst="0" w:colLast="0" w:name="_15jpgk264ts0" w:id="1"/>
      <w:bookmarkEnd w:id="1"/>
      <w:r w:rsidDel="00000000" w:rsidR="00000000" w:rsidRPr="00000000">
        <w:rPr>
          <w:rFonts w:ascii="Merriweather Medium" w:cs="Merriweather Medium" w:eastAsia="Merriweather Medium" w:hAnsi="Merriweather Medium"/>
          <w:sz w:val="42"/>
          <w:szCs w:val="42"/>
          <w:rtl w:val="0"/>
        </w:rPr>
        <w:t xml:space="preserve">Componentes del Sistema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El sistema se subdivide en componentes modulares con responsabilidades únicas: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Merriweather" w:cs="Merriweather" w:eastAsia="Merriweather" w:hAnsi="Merriweather"/>
          <w:b w:val="1"/>
          <w:bCs w:val="1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A.- Componentes del Cliente (Frontend &amp; PWA) </w:t>
      </w:r>
    </w:p>
    <w:p w:rsidR="00000000" w:rsidDel="00000000" w:rsidP="00000000" w:rsidRDefault="00000000" w:rsidRPr="00000000" w14:paraId="00000007">
      <w:pPr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1.- Módulo de Autenticación y Perfil (</w:t>
      </w:r>
      <w:r w:rsidDel="00000000" w:rsidR="00000000" w:rsidRPr="00000000">
        <w:rPr>
          <w:rFonts w:ascii="Roboto Mono" w:cs="Roboto Mono" w:eastAsia="Roboto Mono" w:hAnsi="Roboto Mono"/>
          <w:color w:val="ff0000"/>
          <w:rtl w:val="0"/>
        </w:rPr>
        <w:t xml:space="preserve">AuthComponent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): 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Maneja los formularios de ingreso, almacenamiento local del token JWT e inyección del encabezado en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0000"/>
          <w:rtl w:val="0"/>
        </w:rPr>
        <w:t xml:space="preserve">Authorization: Bearer &lt;token&gt;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 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en cada petición.</w:t>
      </w:r>
    </w:p>
    <w:p w:rsidR="00000000" w:rsidDel="00000000" w:rsidP="00000000" w:rsidRDefault="00000000" w:rsidRPr="00000000" w14:paraId="00000009">
      <w:pPr>
        <w:jc w:val="both"/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2.- Visor de Mapa Interactivo (</w:t>
      </w:r>
      <w:r w:rsidDel="00000000" w:rsidR="00000000" w:rsidRPr="00000000">
        <w:rPr>
          <w:rFonts w:ascii="Roboto Mono" w:cs="Roboto Mono" w:eastAsia="Roboto Mono" w:hAnsi="Roboto Mono"/>
          <w:color w:val="ff0000"/>
          <w:rtl w:val="0"/>
        </w:rPr>
        <w:t xml:space="preserve">MapViewerComponent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): 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Renderiza dinámicamente los planos vectoriales (SVG) por piso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rtl w:val="0"/>
        </w:rPr>
        <w:t xml:space="preserve">Piso 1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,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ff000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rtl w:val="0"/>
        </w:rPr>
        <w:t xml:space="preserve">Piso 2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, etc.) 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y resalta aulas o coordinaciones seleccionadas.</w:t>
      </w:r>
    </w:p>
    <w:p w:rsidR="00000000" w:rsidDel="00000000" w:rsidP="00000000" w:rsidRDefault="00000000" w:rsidRPr="00000000" w14:paraId="0000000B">
      <w:pPr>
        <w:jc w:val="both"/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3.- Buscador Inteligente (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i w:val="1"/>
          <w:iCs w:val="1"/>
          <w:rtl w:val="0"/>
        </w:rPr>
        <w:t xml:space="preserve">Fuzzy Search Component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): 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Interfaz de consulta rápida que tolera errores tipográficos al buscar salas, laboratorios o coordinadores de carrera. </w:t>
      </w:r>
    </w:p>
    <w:p w:rsidR="00000000" w:rsidDel="00000000" w:rsidP="00000000" w:rsidRDefault="00000000" w:rsidRPr="00000000" w14:paraId="0000000D">
      <w:pPr>
        <w:jc w:val="both"/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4.- Módulo de Accesibilidad Universal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AccessibilityUI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 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Adapta la pantalla para tótems táctiles concentrando botones, teclado virtual y menú de navegación en el tercio inferior (&lt; 1.20 m virtuales) para usuarios en silla de ruedas.</w:t>
      </w:r>
    </w:p>
    <w:p w:rsidR="00000000" w:rsidDel="00000000" w:rsidP="00000000" w:rsidRDefault="00000000" w:rsidRPr="00000000" w14:paraId="0000000F">
      <w:pPr>
        <w:jc w:val="both"/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5.- Motor PWA y Service Worker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rtl w:val="0"/>
        </w:rPr>
        <w:t xml:space="preserve">ResilienceWorker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): 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Intercepta peticiones de red y gestiona el caché de assets estáticos, planos SVG y el directorio local para operar en caso de caídas del Wi-Fi de la sede. </w:t>
      </w:r>
    </w:p>
    <w:p w:rsidR="00000000" w:rsidDel="00000000" w:rsidP="00000000" w:rsidRDefault="00000000" w:rsidRPr="00000000" w14:paraId="00000011">
      <w:pPr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Merriweather" w:cs="Merriweather" w:eastAsia="Merriweather" w:hAnsi="Merriweather"/>
          <w:b w:val="1"/>
          <w:bCs w:val="1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B.- Componentes del Servidor (Backend API) </w:t>
      </w:r>
    </w:p>
    <w:p w:rsidR="00000000" w:rsidDel="00000000" w:rsidP="00000000" w:rsidRDefault="00000000" w:rsidRPr="00000000" w14:paraId="00000013">
      <w:pPr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1.- Servidor API Express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rtl w:val="0"/>
        </w:rPr>
        <w:t xml:space="preserve">APIServer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): 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Punto de entrada que gestiona enrutamiento, CORS, parseo de JSON y captura global de errores.</w:t>
      </w:r>
    </w:p>
    <w:p w:rsidR="00000000" w:rsidDel="00000000" w:rsidP="00000000" w:rsidRDefault="00000000" w:rsidRPr="00000000" w14:paraId="00000015">
      <w:pPr>
        <w:jc w:val="both"/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16">
      <w:pPr>
        <w:jc w:val="both"/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2.- Middleware de Seguridad y Roles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rtl w:val="0"/>
        </w:rPr>
        <w:t xml:space="preserve">SecurityGuard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): 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Valida la autenticidad y vigencia de la firma JWT, así como los permisos del rol solicitado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rtl w:val="0"/>
        </w:rPr>
        <w:t xml:space="preserve">alumno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rtl w:val="0"/>
        </w:rPr>
        <w:t xml:space="preserve">docente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rtl w:val="0"/>
        </w:rPr>
        <w:t xml:space="preserve">administrador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).</w:t>
      </w:r>
    </w:p>
    <w:p w:rsidR="00000000" w:rsidDel="00000000" w:rsidP="00000000" w:rsidRDefault="00000000" w:rsidRPr="00000000" w14:paraId="00000017">
      <w:pPr>
        <w:jc w:val="both"/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18">
      <w:pPr>
        <w:jc w:val="both"/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3.- Gestor de Aforos en Tiempo Real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rtl w:val="0"/>
        </w:rPr>
        <w:t xml:space="preserve">CapacityManager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): 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Componente dentro de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rtl w:val="0"/>
        </w:rPr>
        <w:t xml:space="preserve">EventController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 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encargado de verificar que la cantidad de inscritos en la colección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rtl w:val="0"/>
        </w:rPr>
        <w:t xml:space="preserve">Event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 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no exceda la capacidad máxima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rtl w:val="0"/>
        </w:rPr>
        <w:t xml:space="preserve">aforoMaximo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).</w:t>
      </w:r>
    </w:p>
    <w:p w:rsidR="00000000" w:rsidDel="00000000" w:rsidP="00000000" w:rsidRDefault="00000000" w:rsidRPr="00000000" w14:paraId="00000019">
      <w:pPr>
        <w:jc w:val="both"/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1A">
      <w:pPr>
        <w:jc w:val="both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4.- Motor de Analíticas de Sede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rtl w:val="0"/>
        </w:rPr>
        <w:t xml:space="preserve">AnalyticsEngine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): 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Captura en segundo plano los términos de búsqueda e interacciones del usuario para procesar reportes sobre los puntos de mayor desorientación en la sede. </w:t>
      </w:r>
    </w:p>
    <w:p w:rsidR="00000000" w:rsidDel="00000000" w:rsidP="00000000" w:rsidRDefault="00000000" w:rsidRPr="00000000" w14:paraId="0000001B">
      <w:pPr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Merriweather" w:cs="Merriweather" w:eastAsia="Merriweather" w:hAnsi="Merriweather"/>
          <w:b w:val="1"/>
          <w:bCs w:val="1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C.- Componentes de Persistencia (Base de Datos) </w:t>
      </w:r>
    </w:p>
    <w:p w:rsidR="00000000" w:rsidDel="00000000" w:rsidP="00000000" w:rsidRDefault="00000000" w:rsidRPr="00000000" w14:paraId="0000001D">
      <w:pPr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1.- ODM Mongoose Layer: 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Mapea las estructuras documentales NoSQL en MongoDB hacia objetos JavaScript con esquemas y validaciones estrictas. </w:t>
      </w:r>
    </w:p>
    <w:p w:rsidR="00000000" w:rsidDel="00000000" w:rsidP="00000000" w:rsidRDefault="00000000" w:rsidRPr="00000000" w14:paraId="0000001F">
      <w:pPr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2.- Motor MongoDB: 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Maneja la persistencia transaccional de los documentos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rtl w:val="0"/>
        </w:rPr>
        <w:t xml:space="preserve">users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rtl w:val="0"/>
        </w:rPr>
        <w:t xml:space="preserve">events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rtl w:val="0"/>
        </w:rPr>
        <w:t xml:space="preserve">news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rtl w:val="0"/>
        </w:rPr>
        <w:t xml:space="preserve">locations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rtl w:val="0"/>
        </w:rPr>
        <w:t xml:space="preserve">analytics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). </w:t>
      </w:r>
    </w:p>
    <w:p w:rsidR="00000000" w:rsidDel="00000000" w:rsidP="00000000" w:rsidRDefault="00000000" w:rsidRPr="00000000" w14:paraId="00000021">
      <w:pPr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erriweather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Merriweather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Medium-regular.ttf"/><Relationship Id="rId2" Type="http://schemas.openxmlformats.org/officeDocument/2006/relationships/font" Target="fonts/MerriweatherMedium-bold.ttf"/><Relationship Id="rId3" Type="http://schemas.openxmlformats.org/officeDocument/2006/relationships/font" Target="fonts/MerriweatherMedium-italic.ttf"/><Relationship Id="rId4" Type="http://schemas.openxmlformats.org/officeDocument/2006/relationships/font" Target="fonts/MerriweatherMedium-boldItalic.ttf"/><Relationship Id="rId11" Type="http://schemas.openxmlformats.org/officeDocument/2006/relationships/font" Target="fonts/Merriweather-italic.ttf"/><Relationship Id="rId10" Type="http://schemas.openxmlformats.org/officeDocument/2006/relationships/font" Target="fonts/Merriweather-bold.ttf"/><Relationship Id="rId12" Type="http://schemas.openxmlformats.org/officeDocument/2006/relationships/font" Target="fonts/Merriweather-boldItalic.ttf"/><Relationship Id="rId9" Type="http://schemas.openxmlformats.org/officeDocument/2006/relationships/font" Target="fonts/Merriweather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