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Comunicación entre Servicios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interacción entre las capas del sistema se realiza mediante protocolos estandarizados y mensajes estructurados: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1.- Protocolo de Comunicación Cliente - Servidor </w:t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Transporte: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HTTPS (TCP/IP) con payload cifrado TLS.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Formato de Intercambio: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Peticiones y respuestas en JSON (JavaScript Object Notation).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Estilo de Arquitectura: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RESTful API utilizando verbos HTTP semánticos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GET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POST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PUT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Mecanismo de Autenticación: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Tokens JWT (JSON Web Tokens) enviados en la cabecera HTTP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Authorization: Bearer &lt;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JWT_TOKEN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&gt;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2.- Flujo de Secuencia: Inscripción a Taller con Control de Aforo 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</w:rPr>
        <w:drawing>
          <wp:inline distB="114300" distT="114300" distL="114300" distR="114300">
            <wp:extent cx="5353050" cy="430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3.- Declaración de la Visión del Producto (Product Vision Statement)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Transporte: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Conexión TCP/IP persistente sobre el puerto por defecto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27017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 canal seguro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mongodb+srv://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Protocolo: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MongoDB Wire Protocol a través de la librería cliente ODM Mongoose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4.- Declaración de la Visión del Producto (Product Vision Statement)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Petición en Línea: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navegador intenta obtener la información directamente del servidor API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Network First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Fallo de Red: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Ante una desconexión o falla de respuesta del servidor, el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Service Worker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intercepta el evento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fetch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y sirve la respuesta almacenada previamente en la caché local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Cache Fallback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 </w:t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