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5DF14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7B0BCB05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0E7866F8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3C12FE27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2026年第八届</w:t>
      </w:r>
    </w:p>
    <w:p w14:paraId="3FACF1A3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全球校园人工智能算法精英大赛</w:t>
      </w:r>
    </w:p>
    <w:p w14:paraId="68BEE164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</w:p>
    <w:p w14:paraId="7DD997BC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算法创新赛</w:t>
      </w:r>
    </w:p>
    <w:p w14:paraId="1F9F0268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eastAsia="黑体"/>
          <w:sz w:val="36"/>
        </w:rPr>
        <w:t>AI+场景创新</w:t>
      </w:r>
    </w:p>
    <w:p w14:paraId="322C140B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0"/>
          <w:szCs w:val="40"/>
        </w:rPr>
        <w:t>技术报告</w:t>
      </w:r>
    </w:p>
    <w:p w14:paraId="6009AFAE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</w:p>
    <w:p w14:paraId="6EA57D33">
      <w:pPr>
        <w:snapToGrid w:val="0"/>
        <w:spacing w:after="0"/>
        <w:ind w:firstLine="0"/>
        <w:jc w:val="center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团队名称：</w:t>
      </w:r>
    </w:p>
    <w:p w14:paraId="5DC1094F">
      <w:pPr>
        <w:snapToGrid w:val="0"/>
        <w:spacing w:after="0"/>
        <w:ind w:firstLine="0"/>
        <w:jc w:val="center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eastAsia="仿宋"/>
          <w:sz w:val="32"/>
        </w:rPr>
        <w:t>参赛编号：</w:t>
      </w:r>
    </w:p>
    <w:p w14:paraId="518EF83C">
      <w:pPr>
        <w:snapToGrid w:val="0"/>
        <w:spacing w:after="0"/>
        <w:ind w:firstLine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</w:rPr>
        <w:t>作品名称：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智行合一——船舶能效优化智能体</w:t>
      </w:r>
    </w:p>
    <w:p w14:paraId="74D5FC25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</w:p>
    <w:p w14:paraId="50371C4A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</w:p>
    <w:p w14:paraId="6D451EAB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</w:p>
    <w:p w14:paraId="0FB67385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</w:p>
    <w:p w14:paraId="657A7048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</w:p>
    <w:p w14:paraId="2532787D">
      <w:pPr>
        <w:snapToGrid w:val="0"/>
        <w:spacing w:after="0"/>
        <w:ind w:firstLine="0"/>
        <w:rPr>
          <w:rFonts w:hint="eastAsia" w:ascii="黑体" w:hAnsi="黑体" w:eastAsia="黑体" w:cs="黑体"/>
          <w:sz w:val="44"/>
          <w:szCs w:val="44"/>
        </w:rPr>
      </w:pPr>
      <w:bookmarkStart w:id="41" w:name="_GoBack"/>
      <w:bookmarkEnd w:id="41"/>
    </w:p>
    <w:p w14:paraId="1C451054">
      <w:pPr>
        <w:snapToGrid w:val="0"/>
        <w:spacing w:after="0"/>
        <w:ind w:firstLine="0"/>
        <w:jc w:val="center"/>
        <w:rPr>
          <w:rFonts w:hint="eastAsia" w:ascii="仿宋" w:hAnsi="仿宋" w:cs="仿宋"/>
          <w:sz w:val="32"/>
          <w:szCs w:val="32"/>
        </w:rPr>
      </w:pPr>
      <w:r>
        <w:rPr>
          <w:sz w:val="32"/>
        </w:rPr>
        <w:t>日期：2026年10月14日</w:t>
      </w:r>
    </w:p>
    <w:p w14:paraId="209033D8">
      <w:pPr>
        <w:snapToGrid w:val="0"/>
        <w:spacing w:after="0"/>
        <w:ind w:firstLine="0"/>
        <w:sectPr>
          <w:headerReference r:id="rId5" w:type="first"/>
          <w:headerReference r:id="rId4" w:type="default"/>
          <w:footerReference r:id="rId6" w:type="default"/>
          <w:pgSz w:w="11906" w:h="16838"/>
          <w:pgMar w:top="1417" w:right="1701" w:bottom="1417" w:left="1701" w:header="850" w:footer="850" w:gutter="0"/>
          <w:pgNumType w:fmt="upperRoman" w:start="1"/>
          <w:cols w:space="720" w:num="1"/>
        </w:sectPr>
      </w:pPr>
    </w:p>
    <w:p w14:paraId="5721AA54">
      <w:pPr>
        <w:pStyle w:val="14"/>
        <w:snapToGrid w:val="0"/>
      </w:pPr>
      <w:r>
        <w:t>目录</w:t>
      </w:r>
    </w:p>
    <w:p w14:paraId="2E72880A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r>
        <w:fldChar w:fldCharType="begin"/>
      </w:r>
      <w:r>
        <w:instrText xml:space="preserve"> HYPERLINK \l "_Toc242885421" </w:instrText>
      </w:r>
      <w:r>
        <w:fldChar w:fldCharType="separate"/>
      </w:r>
      <w:r>
        <w:rPr>
          <w:rStyle w:val="20"/>
        </w:rPr>
        <w:t>1 项目概述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AD9BF5F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"_Toc242885422" </w:instrText>
      </w:r>
      <w:r>
        <w:fldChar w:fldCharType="separate"/>
      </w:r>
      <w:r>
        <w:rPr>
          <w:rStyle w:val="20"/>
        </w:rPr>
        <w:t>1.1 研究背景与意义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8F9441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"_Toc242885423" </w:instrText>
      </w:r>
      <w:r>
        <w:fldChar w:fldCharType="separate"/>
      </w:r>
      <w:r>
        <w:rPr>
          <w:rStyle w:val="20"/>
        </w:rPr>
        <w:t>1.2 场景现状与问题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5373517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"_Toc242885424" </w:instrText>
      </w:r>
      <w:r>
        <w:fldChar w:fldCharType="separate"/>
      </w:r>
      <w:r>
        <w:rPr>
          <w:rStyle w:val="20"/>
        </w:rPr>
        <w:t>1.3 目标定位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1FC8508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"_Toc242885425" </w:instrText>
      </w:r>
      <w:r>
        <w:fldChar w:fldCharType="separate"/>
      </w:r>
      <w:r>
        <w:rPr>
          <w:rStyle w:val="20"/>
        </w:rPr>
        <w:t>1.4 项目创新点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8836EE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"_Toc242885426" </w:instrText>
      </w:r>
      <w:r>
        <w:fldChar w:fldCharType="separate"/>
      </w:r>
      <w:r>
        <w:rPr>
          <w:rStyle w:val="20"/>
        </w:rPr>
        <w:t>2 需求分析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B03D0C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"_Toc242885427" </w:instrText>
      </w:r>
      <w:r>
        <w:fldChar w:fldCharType="separate"/>
      </w:r>
      <w:r>
        <w:rPr>
          <w:rStyle w:val="20"/>
        </w:rPr>
        <w:t>2.1 研究对象与资料基础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22E77A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"_Toc242885428" </w:instrText>
      </w:r>
      <w:r>
        <w:fldChar w:fldCharType="separate"/>
      </w:r>
      <w:r>
        <w:rPr>
          <w:rStyle w:val="20"/>
        </w:rPr>
        <w:t>2.2 用户任务与使用流程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916FF4D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"_Toc242885429" </w:instrText>
      </w:r>
      <w:r>
        <w:fldChar w:fldCharType="separate"/>
      </w:r>
      <w:r>
        <w:rPr>
          <w:rStyle w:val="20"/>
        </w:rPr>
        <w:t>2.3 功能需求与验收对应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4CE77E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"_Toc242885430" </w:instrText>
      </w:r>
      <w:r>
        <w:fldChar w:fldCharType="separate"/>
      </w:r>
      <w:r>
        <w:rPr>
          <w:rStyle w:val="20"/>
        </w:rPr>
        <w:t>2.4 运行约束与适用范围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B59A14A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"_Toc242885431" </w:instrText>
      </w:r>
      <w:r>
        <w:fldChar w:fldCharType="separate"/>
      </w:r>
      <w:r>
        <w:rPr>
          <w:rStyle w:val="20"/>
        </w:rPr>
        <w:t>3 解决方案设计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88D8FE4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"_Toc242885432" </w:instrText>
      </w:r>
      <w:r>
        <w:fldChar w:fldCharType="separate"/>
      </w:r>
      <w:r>
        <w:rPr>
          <w:rStyle w:val="20"/>
        </w:rPr>
        <w:t>3.1 系统总体架构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9D5E8FC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"_Toc242885433" </w:instrText>
      </w:r>
      <w:r>
        <w:fldChar w:fldCharType="separate"/>
      </w:r>
      <w:r>
        <w:rPr>
          <w:rStyle w:val="20"/>
        </w:rPr>
        <w:t>3.2 主智能体运行流程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57C625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"_Toc242885434" </w:instrText>
      </w:r>
      <w:r>
        <w:fldChar w:fldCharType="separate"/>
      </w:r>
      <w:r>
        <w:rPr>
          <w:rStyle w:val="20"/>
        </w:rPr>
        <w:t>3.3 五个专业工具的构建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8592E90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"_Toc242885435" </w:instrText>
      </w:r>
      <w:r>
        <w:fldChar w:fldCharType="separate"/>
      </w:r>
      <w:r>
        <w:rPr>
          <w:rStyle w:val="20"/>
        </w:rPr>
        <w:t>3.4 数据接口与独立校验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05C4232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"_Toc242885436" </w:instrText>
      </w:r>
      <w:r>
        <w:fldChar w:fldCharType="separate"/>
      </w:r>
      <w:r>
        <w:rPr>
          <w:rStyle w:val="20"/>
        </w:rPr>
        <w:t>3.5 模型答复与过程展示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E6469FC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"_Toc242885437" </w:instrText>
      </w:r>
      <w:r>
        <w:fldChar w:fldCharType="separate"/>
      </w:r>
      <w:r>
        <w:rPr>
          <w:rStyle w:val="20"/>
        </w:rPr>
        <w:t>3.6 部署与数据管理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D4298BB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"_Toc242885438" </w:instrText>
      </w:r>
      <w:r>
        <w:fldChar w:fldCharType="separate"/>
      </w:r>
      <w:r>
        <w:rPr>
          <w:rStyle w:val="20"/>
        </w:rPr>
        <w:t>4 项目实施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E9E98B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"_Toc242885439" </w:instrText>
      </w:r>
      <w:r>
        <w:fldChar w:fldCharType="separate"/>
      </w:r>
      <w:r>
        <w:rPr>
          <w:rStyle w:val="20"/>
        </w:rPr>
        <w:t>4.1 已有基础与建设顺序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EB14864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"_Toc242885440" </w:instrText>
      </w:r>
      <w:r>
        <w:fldChar w:fldCharType="separate"/>
      </w:r>
      <w:r>
        <w:rPr>
          <w:rStyle w:val="20"/>
        </w:rPr>
        <w:t>4.2 开发分工与协作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2332ECB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"_Toc242885441" </w:instrText>
      </w:r>
      <w:r>
        <w:fldChar w:fldCharType="separate"/>
      </w:r>
      <w:r>
        <w:rPr>
          <w:rStyle w:val="20"/>
        </w:rPr>
        <w:t>4.3 软件仿真与历史回放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97155D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"_Toc242885442" </w:instrText>
      </w:r>
      <w:r>
        <w:fldChar w:fldCharType="separate"/>
      </w:r>
      <w:r>
        <w:rPr>
          <w:rStyle w:val="20"/>
        </w:rPr>
        <w:t>4.4 复现与版本管理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1B4EC1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"_Toc242885443" </w:instrText>
      </w:r>
      <w:r>
        <w:fldChar w:fldCharType="separate"/>
      </w:r>
      <w:r>
        <w:rPr>
          <w:rStyle w:val="20"/>
        </w:rPr>
        <w:t>4.5 主要技术风险与应对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5A8FDE8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"_Toc242885444" </w:instrText>
      </w:r>
      <w:r>
        <w:fldChar w:fldCharType="separate"/>
      </w:r>
      <w:r>
        <w:rPr>
          <w:rStyle w:val="20"/>
        </w:rPr>
        <w:t>5 测试与验证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F21852B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"_Toc242885445" </w:instrText>
      </w:r>
      <w:r>
        <w:fldChar w:fldCharType="separate"/>
      </w:r>
      <w:r>
        <w:rPr>
          <w:rStyle w:val="20"/>
        </w:rPr>
        <w:t>5.1 验证原则与对照设置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FEC54C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"_Toc242885446" </w:instrText>
      </w:r>
      <w:r>
        <w:fldChar w:fldCharType="separate"/>
      </w:r>
      <w:r>
        <w:rPr>
          <w:rStyle w:val="20"/>
        </w:rPr>
        <w:t>5.2 数值工具验证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FE3C60F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"_Toc242885447" </w:instrText>
      </w:r>
      <w:r>
        <w:fldChar w:fldCharType="separate"/>
      </w:r>
      <w:r>
        <w:rPr>
          <w:rStyle w:val="20"/>
        </w:rPr>
        <w:t>5.3 智能体与接口验证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031F1F0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"_Toc242885448" </w:instrText>
      </w:r>
      <w:r>
        <w:fldChar w:fldCharType="separate"/>
      </w:r>
      <w:r>
        <w:rPr>
          <w:rStyle w:val="20"/>
        </w:rPr>
        <w:t>5.4 场景实验与消融分析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71B386A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"_Toc242885449" </w:instrText>
      </w:r>
      <w:r>
        <w:fldChar w:fldCharType="separate"/>
      </w:r>
      <w:r>
        <w:rPr>
          <w:rStyle w:val="20"/>
        </w:rPr>
        <w:t>5.5 现有证据与结果报告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A500524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"_Toc242885450" </w:instrText>
      </w:r>
      <w:r>
        <w:fldChar w:fldCharType="separate"/>
      </w:r>
      <w:r>
        <w:rPr>
          <w:rStyle w:val="20"/>
        </w:rPr>
        <w:t>6 应用效果与成果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AE1F4A0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"_Toc242885451" </w:instrText>
      </w:r>
      <w:r>
        <w:fldChar w:fldCharType="separate"/>
      </w:r>
      <w:r>
        <w:rPr>
          <w:rStyle w:val="20"/>
        </w:rPr>
        <w:t>6.1 已形成的项目成果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9727327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"_Toc242885452" </w:instrText>
      </w:r>
      <w:r>
        <w:fldChar w:fldCharType="separate"/>
      </w:r>
      <w:r>
        <w:rPr>
          <w:rStyle w:val="20"/>
        </w:rPr>
        <w:t>6.2 预期应用价值及评价方式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6B860BC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"_Toc242885453" </w:instrText>
      </w:r>
      <w:r>
        <w:fldChar w:fldCharType="separate"/>
      </w:r>
      <w:r>
        <w:rPr>
          <w:rStyle w:val="20"/>
        </w:rPr>
        <w:t>6.3 推广条件与实施路径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63BD4C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"_Toc242885454" </w:instrText>
      </w:r>
      <w:r>
        <w:fldChar w:fldCharType="separate"/>
      </w:r>
      <w:r>
        <w:rPr>
          <w:rStyle w:val="20"/>
        </w:rPr>
        <w:t>7 总结与展望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6204DF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"_Toc242885455" </w:instrText>
      </w:r>
      <w:r>
        <w:fldChar w:fldCharType="separate"/>
      </w:r>
      <w:r>
        <w:rPr>
          <w:rStyle w:val="20"/>
        </w:rPr>
        <w:t>7.1 项目总结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E61A6F1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"_Toc242885456" </w:instrText>
      </w:r>
      <w:r>
        <w:fldChar w:fldCharType="separate"/>
      </w:r>
      <w:r>
        <w:rPr>
          <w:rStyle w:val="20"/>
        </w:rPr>
        <w:t>7.2 局限与后续研究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34E53C7">
      <w:pPr>
        <w:pStyle w:val="10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"_Toc242885457" </w:instrText>
      </w:r>
      <w:r>
        <w:fldChar w:fldCharType="separate"/>
      </w:r>
      <w:r>
        <w:rPr>
          <w:rStyle w:val="20"/>
        </w:rPr>
        <w:t>8 附录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EF0C62C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"_Toc242885458" </w:instrText>
      </w:r>
      <w:r>
        <w:fldChar w:fldCharType="separate"/>
      </w:r>
      <w:r>
        <w:rPr>
          <w:rStyle w:val="20"/>
        </w:rPr>
        <w:t>8.1 参考文献与资料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5EF4765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"_Toc242885459" </w:instrText>
      </w:r>
      <w:r>
        <w:fldChar w:fldCharType="separate"/>
      </w:r>
      <w:r>
        <w:rPr>
          <w:rStyle w:val="20"/>
        </w:rPr>
        <w:t>8.2 项目文档与交付索引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_Toc242885459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792DD7C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"_Toc242885460" </w:instrText>
      </w:r>
      <w:r>
        <w:fldChar w:fldCharType="separate"/>
      </w:r>
      <w:r>
        <w:rPr>
          <w:rStyle w:val="20"/>
        </w:rPr>
        <w:t>8.3 名词与结果口径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_Toc242885460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847B82F">
      <w:pPr>
        <w:pStyle w:val="11"/>
        <w:tabs>
          <w:tab w:val="right" w:leader="dot" w:pos="8494"/>
        </w:tabs>
        <w:rPr>
          <w:rFonts w:asciiTheme="minorHAnsi" w:hAnsiTheme="minorHAnsi" w:cstheme="minorBidi"/>
          <w:color w:val="auto"/>
          <w14:ligatures w14:val="standardContextual"/>
        </w:rPr>
      </w:pPr>
      <w:r>
        <w:fldChar w:fldCharType="begin"/>
      </w:r>
      <w:r>
        <w:instrText xml:space="preserve"> HYPERLINK \l "_Toc242885461" </w:instrText>
      </w:r>
      <w:r>
        <w:fldChar w:fldCharType="separate"/>
      </w:r>
      <w:r>
        <w:rPr>
          <w:rStyle w:val="20"/>
        </w:rPr>
        <w:t>8.4 前期成果与附加材料索引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_Toc242885461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  <w:r>
        <w:fldChar w:fldCharType="end"/>
      </w:r>
    </w:p>
    <w:p w14:paraId="387955B8">
      <w:pPr>
        <w:pStyle w:val="14"/>
        <w:pageBreakBefore/>
        <w:snapToGrid w:val="0"/>
      </w:pPr>
      <w:r>
        <w:t>作品简介</w:t>
      </w:r>
    </w:p>
    <w:p w14:paraId="21DA4D3C">
      <w:pPr>
        <w:snapToGrid w:val="0"/>
      </w:pPr>
      <w:r>
        <w:t>智行合一面向内河电动船舶的航速规划与双电池能量管理，以豫交投001历史航行资料为研究基础，构建由API大语言模型、LangGraph运行图和五个专业工具组成的决策支持系统。船员通过自然语言提出任务，系统读取船舶状态，调用LSTM预测推进功率，以差分进化求解航速，再以前向动态规划分配两组电池功率。规则程序独立复核数值与约束，模型生成可追溯的自然语言方案，并在任务不可满足或航中条件变化时组织协商与重规划。项目已形成历史数据核验、工具任务书、图结构和联调设计，现有演示用于流程基线。后续以独立数据测试、软件仿真和故障注入验证预测、优化与智能体协作效果。</w:t>
      </w:r>
    </w:p>
    <w:p w14:paraId="4ED1C505">
      <w:pPr>
        <w:snapToGrid w:val="0"/>
        <w:ind w:firstLine="0"/>
      </w:pPr>
      <w:r>
        <w:t>关键词：船舶能效；智能体；LangGraph；航速优化；双电池管理</w:t>
      </w:r>
    </w:p>
    <w:p w14:paraId="608042EE">
      <w:pPr>
        <w:snapToGrid w:val="0"/>
        <w:spacing w:after="0"/>
        <w:ind w:firstLine="0"/>
        <w:sectPr>
          <w:headerReference r:id="rId7" w:type="default"/>
          <w:footerReference r:id="rId8" w:type="default"/>
          <w:pgSz w:w="11906" w:h="16838"/>
          <w:pgMar w:top="1417" w:right="1701" w:bottom="1417" w:left="1701" w:header="850" w:footer="850" w:gutter="0"/>
          <w:pgNumType w:fmt="upperRoman" w:start="1"/>
          <w:cols w:space="0" w:num="1"/>
        </w:sectPr>
      </w:pPr>
    </w:p>
    <w:p w14:paraId="339496CD">
      <w:pPr>
        <w:pStyle w:val="2"/>
        <w:snapToGrid w:val="0"/>
        <w:spacing w:before="120"/>
      </w:pPr>
      <w:bookmarkStart w:id="0" w:name="_Toc242885421"/>
      <w:r>
        <w:t>1 项目概述</w:t>
      </w:r>
      <w:bookmarkEnd w:id="0"/>
    </w:p>
    <w:p w14:paraId="666A175A">
      <w:pPr>
        <w:pStyle w:val="3"/>
        <w:snapToGrid w:val="0"/>
        <w:spacing w:before="120"/>
        <w:rPr>
          <w:rFonts w:hint="default"/>
        </w:rPr>
      </w:pPr>
      <w:bookmarkStart w:id="1" w:name="_Toc242885422"/>
      <w:r>
        <w:t>1.1 研究背景与意义</w:t>
      </w:r>
      <w:bookmarkEnd w:id="1"/>
    </w:p>
    <w:p w14:paraId="0F0ED295">
      <w:pPr>
        <w:snapToGrid w:val="0"/>
      </w:pPr>
      <w:r>
        <w:t>内河电动船舶的航行决策需要同时处理到达时间、航段限速、等待过程和电池余量。航速变化会改变推进功率与航行时间，两组电池的功率分配又会影响各自的荷电状态和后续供能能力。只给出一个节能航速，不能说明整段航程是否具备持续供能条件；只显示剩余电量，也难以帮助船员判断当前任务应如何调整。</w:t>
      </w:r>
    </w:p>
    <w:p w14:paraId="46B14D69">
      <w:pPr>
        <w:snapToGrid w:val="0"/>
      </w:pPr>
      <w:r>
        <w:t>《智能航运2030行动计划》将人工智能与航运场景融合、船岸协同和运行效率提升纳入发展方向[1]。本项目选择船员日常能够提出、历史数据能够支撑、软件仿真能够检验的航行任务规划作为切入点，研究如何把自然语言需求转换成有数值依据的航速与能量管理方案，使专业算法进入连续的人机协作过程。</w:t>
      </w:r>
    </w:p>
    <w:p w14:paraId="1AF3803A">
      <w:pPr>
        <w:snapToGrid w:val="0"/>
      </w:pPr>
      <w:r>
        <w:t>项目以豫交投001为研究对象。现有资料包括船舶调研报告、两个日期的航行CSV和一份独立的实船Excel记录。它们为推进功率建模、数据质量分析及研究情景构建提供基础，但尚不能直接支撑整套实船控制系统的有效性结论。本作品定位为航行决策支持研究系统，输出供船员审阅和采用的建议，不直接向推进装置或电池控制器下发控制指令。</w:t>
      </w:r>
    </w:p>
    <w:p w14:paraId="0A8AE4B3">
      <w:pPr>
        <w:pStyle w:val="3"/>
        <w:snapToGrid w:val="0"/>
        <w:spacing w:before="120"/>
        <w:rPr>
          <w:rFonts w:hint="default"/>
        </w:rPr>
      </w:pPr>
      <w:bookmarkStart w:id="2" w:name="_Toc242885423"/>
      <w:r>
        <w:t>1.2 场景现状与问题</w:t>
      </w:r>
      <w:bookmarkEnd w:id="2"/>
    </w:p>
    <w:p w14:paraId="0D746047">
      <w:pPr>
        <w:snapToGrid w:val="0"/>
      </w:pPr>
      <w:r>
        <w:t>现有船舶资料记录了定位、航速、电池与能量管理等相关设备或系统。具备设备和记录条件，并不等于任务规划所需的数据已经统一：不同记录的时间分辨率、字段含义和测量边界存在差别，船员提出的到达要求也不能直接作为优化器输入。项目首先需要把这些信息整理成同一任务下可追溯的数据快照，才能讨论算法计算和交互体验。</w:t>
      </w:r>
    </w:p>
    <w:p w14:paraId="449E2E94">
      <w:pPr>
        <w:snapToGrid w:val="0"/>
      </w:pPr>
      <w:r>
        <w:t>航速优化与能量管理已有成熟的研究方法。项目提供的船舶研究论文针对豫交投001开展了推进功率预测、差分进化航速优化和双电池调度研究[2]，可以作为专业工具的构建依据。此类方法要进入船员使用流程，还需要补充任务解析、条件校验、异常协商、运行恢复和结果解释等环节。论文方法在本项目中用于数值工具，智能体的状态设计、调用控制和交互链路依据本项目任务独立构建。</w:t>
      </w:r>
    </w:p>
    <w:p w14:paraId="036DB2BE">
      <w:pPr>
        <w:snapToGrid w:val="0"/>
      </w:pPr>
      <w:r>
        <w:t>通用大语言模型能够理解口语并组织解释，但不能凭语言推断保证航速、能量积分和电池约束正确。固定计算表单则要求用户预先了解字段，并难以处理省略、改口和多轮协商。本项目将模型的语义理解与专业计算结合：模型提出有依据的动作，程序核验动作和结果，船员决定涉及任务取舍的调整。</w:t>
      </w:r>
    </w:p>
    <w:p w14:paraId="226EE7BC">
      <w:pPr>
        <w:pStyle w:val="3"/>
        <w:snapToGrid w:val="0"/>
        <w:spacing w:before="120"/>
        <w:rPr>
          <w:rFonts w:hint="default"/>
        </w:rPr>
      </w:pPr>
      <w:bookmarkStart w:id="3" w:name="_Toc242885424"/>
      <w:r>
        <w:t>1.3 目标定位</w:t>
      </w:r>
      <w:bookmarkEnd w:id="3"/>
    </w:p>
    <w:p w14:paraId="13BCE06E">
      <w:pPr>
        <w:snapToGrid w:val="0"/>
      </w:pPr>
      <w:r>
        <w:t>系统服务于航前方案制定、航中剩余航程重规划和研究过程复核。航前，船员给出目的地、到达要求与任务偏好，系统读取可用状态并形成分段航速、预计历时、推进能耗与双电池功率及SOC轨迹。航中，系统在状态或任务发生有效变化时重新检查剩余航程，保留已经执行的部分。研究复核时，开发人员能够根据一次方案的输入、版本、调用和校验记录复算结果。</w:t>
      </w:r>
    </w:p>
    <w:p w14:paraId="4FFA9A3A">
      <w:pPr>
        <w:snapToGrid w:val="0"/>
      </w:pPr>
      <w:r>
        <w:t>项目的首要目标是贯通可信的任务链路。预测准确性、节能幅度和交互效率均通过后续实验评价，不在设计阶段预设为已达到的成绩。首版研究系统以能耗最小化为主要优化目标，其他目标只有在实现对应求解和验收后才对外开放。</w:t>
      </w:r>
    </w:p>
    <w:p w14:paraId="5BFB7ABC">
      <w:pPr>
        <w:pStyle w:val="3"/>
        <w:snapToGrid w:val="0"/>
        <w:spacing w:before="120"/>
        <w:rPr>
          <w:rFonts w:hint="default"/>
        </w:rPr>
      </w:pPr>
      <w:bookmarkStart w:id="4" w:name="_Toc242885425"/>
      <w:r>
        <w:t>1.4 项目创新点</w:t>
      </w:r>
      <w:bookmarkEnd w:id="4"/>
    </w:p>
    <w:p w14:paraId="59A06C11">
      <w:pPr>
        <w:snapToGrid w:val="0"/>
      </w:pPr>
      <w:r>
        <w:t>第一，将船员任务理解与航速、能量管理计算组织为可持续运行的智能体过程。模型根据任务和工具反馈选择允许的下一动作，既可继续计算，也可组织追问或调整试算；LangGraph保存过程状态，支持等待和恢复。</w:t>
      </w:r>
    </w:p>
    <w:p w14:paraId="7A5EA5FC">
      <w:pPr>
        <w:snapToGrid w:val="0"/>
      </w:pPr>
      <w:r>
        <w:t>第二，形成相互反馈的预测与优化链路。LSTM根据历史观测和候选未来航速预测功率，DE批量评价候选航速，FDP检查两组电池的供能路径；电池侧失败以限定适用范围的反馈返回航速搜索，使速度规划与供能约束衔接。</w:t>
      </w:r>
    </w:p>
    <w:p w14:paraId="1C129E46">
      <w:pPr>
        <w:snapToGrid w:val="0"/>
      </w:pPr>
      <w:r>
        <w:t>第三，把自然语言方案与计算证据关联。系统保留模型原始答复和公开决策依据，逐次记录真实工具调用，对关键数值逐项绑定结果字段并校验。用户既能阅读完整方案，也能展开查看该方案依据的数据、调用状态和版本。这些设计构成待验证的项目特点，实际收益由第五章的对照实验检验。</w:t>
      </w:r>
    </w:p>
    <w:p w14:paraId="114EA24C">
      <w:pPr>
        <w:pStyle w:val="2"/>
        <w:snapToGrid w:val="0"/>
        <w:spacing w:before="120"/>
      </w:pPr>
      <w:bookmarkStart w:id="5" w:name="_Toc242885426"/>
      <w:r>
        <w:t>2 需求分析</w:t>
      </w:r>
      <w:bookmarkEnd w:id="5"/>
    </w:p>
    <w:p w14:paraId="10B5004C">
      <w:pPr>
        <w:pStyle w:val="3"/>
        <w:snapToGrid w:val="0"/>
        <w:spacing w:before="120"/>
        <w:rPr>
          <w:rFonts w:hint="default"/>
        </w:rPr>
      </w:pPr>
      <w:bookmarkStart w:id="6" w:name="_Toc242885427"/>
      <w:r>
        <w:t>2.1 研究对象与资料基础</w:t>
      </w:r>
      <w:bookmarkEnd w:id="6"/>
    </w:p>
    <w:p w14:paraId="0AD9306A">
      <w:pPr>
        <w:snapToGrid w:val="0"/>
      </w:pPr>
      <w:r>
        <w:t>项目资料中的船舶调研报告形成于2025年8月，内容涉及豫交投001的船舶设备与信息条件[3]。本次需求分析以该报告和已有航行记录为依据，不将其表述为已完成的大规模船员访谈。后续试用仍需观察船员能否理解提示、识别数据状态并据此作出任务选择。</w:t>
      </w:r>
    </w:p>
    <w:p w14:paraId="49230CF4">
      <w:pPr>
        <w:snapToGrid w:val="0"/>
      </w:pPr>
      <w:r>
        <w:t>两份CSV分别对应10月29日和10月31日的航行数据；Excel来自同一艘船的另一份实船记录，与这两个日期不对应，也没有可供追溯的原始日志。三份资料分别保留来源标识，不能拼成同一次航行。CSV中的对地航速按节、功率按千瓦处理；同一时间戳下重复或冲突的记录纳入常规数据清理，不把重复行解释为确定的采集先后。</w:t>
      </w:r>
    </w:p>
    <w:p w14:paraId="60B4BA31">
      <w:pPr>
        <w:snapToGrid w:val="0"/>
      </w:pPr>
      <w:r>
        <w:t>双电池管理采用两组可独立调度的研究电池。两组各自设置容量、初始SOC、功率边界和损耗模型，并记录参数来源或仿真假设。研究分组不沿用实船生活与推进用电的固定分工，也不依据未经确认的capacity字段推定实测SOC。这样可以明确研究问题，同时保留未来按实船接口重新标定的空间。</w:t>
      </w:r>
    </w:p>
    <w:p w14:paraId="1057C391">
      <w:pPr>
        <w:pStyle w:val="3"/>
        <w:snapToGrid w:val="0"/>
        <w:spacing w:before="120"/>
        <w:rPr>
          <w:rFonts w:hint="default"/>
        </w:rPr>
      </w:pPr>
      <w:bookmarkStart w:id="7" w:name="_Toc242885428"/>
      <w:r>
        <w:t>2.2 用户任务与使用流程</w:t>
      </w:r>
      <w:bookmarkEnd w:id="7"/>
    </w:p>
    <w:p w14:paraId="11F65C62">
      <w:pPr>
        <w:snapToGrid w:val="0"/>
      </w:pPr>
      <w:r>
        <w:t>船员主要表达任务意图，例如从当前位置前往某港、希望在指定时间前到达，或者在不影响期限的条件下减少耗电。当前位置、当前航速、设备状态和电池状态应由系统自动读取；只有缺失、过期或存在冲突时才需要补充。系统对简称和错别字给出有来源的地名候选，对有多种解释的期限或地点进行追问，避免要求船员反复输入已知状态。</w:t>
      </w:r>
    </w:p>
    <w:p w14:paraId="3342D2C0">
      <w:pPr>
        <w:snapToGrid w:val="0"/>
      </w:pPr>
      <w:r>
        <w:t>正常流程为提交任务、确认必要歧义、查看计算过程、审阅方案和选择采用。若原任务无法在当前条件下满足，系统说明限制来自哪个环节，并展示已经实际试算的调整选项。船员选中选项后形成新任务修订，重新计算受影响部分。方案被采用后仍保留候选版本和调整记录，便于解释后续变化。</w:t>
      </w:r>
    </w:p>
    <w:p w14:paraId="259BDD9A">
      <w:pPr>
        <w:snapToGrid w:val="0"/>
      </w:pPr>
      <w:r>
        <w:t>前端同时服务于快速阅读和过程检查。默认视图突出当前状态、模型方案和需要船员决定的事项；展开视图提供公开决策依据、工具输入输出摘要、数值校验和历史版本。过程区域必须来自后端真实事件，不能用预设动画模拟模型正在调用工具。</w:t>
      </w:r>
    </w:p>
    <w:p w14:paraId="67912C38">
      <w:pPr>
        <w:pStyle w:val="3"/>
        <w:snapToGrid w:val="0"/>
        <w:spacing w:before="120"/>
        <w:rPr>
          <w:rFonts w:hint="default"/>
        </w:rPr>
      </w:pPr>
      <w:bookmarkStart w:id="8" w:name="_Toc242885429"/>
      <w:r>
        <w:t>2.3 功能需求与验收对应</w:t>
      </w:r>
      <w:bookmarkEnd w:id="8"/>
    </w:p>
    <w:p w14:paraId="475A40ED">
      <w:pPr>
        <w:pStyle w:val="6"/>
        <w:keepNext/>
        <w:snapToGrid w:val="0"/>
        <w:jc w:val="center"/>
      </w:pPr>
      <w:r>
        <w:t>表2-1 主要需求与验收对应</w:t>
      </w:r>
    </w:p>
    <w:tbl>
      <w:tblPr>
        <w:tblStyle w:val="1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14"/>
        <w:gridCol w:w="3231"/>
        <w:gridCol w:w="3458"/>
      </w:tblGrid>
      <w:tr w14:paraId="48554F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E8EEF2"/>
            <w:vAlign w:val="center"/>
          </w:tcPr>
          <w:p w14:paraId="6C79A31B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用户需求</w:t>
            </w:r>
          </w:p>
        </w:tc>
        <w:tc>
          <w:tcPr>
            <w:tcW w:w="3231" w:type="dxa"/>
            <w:shd w:val="clear" w:color="auto" w:fill="E8EEF2"/>
            <w:vAlign w:val="center"/>
          </w:tcPr>
          <w:p w14:paraId="117328F0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系统能力</w:t>
            </w:r>
          </w:p>
        </w:tc>
        <w:tc>
          <w:tcPr>
            <w:tcW w:w="3458" w:type="dxa"/>
            <w:shd w:val="clear" w:color="auto" w:fill="E8EEF2"/>
            <w:vAlign w:val="center"/>
          </w:tcPr>
          <w:p w14:paraId="09F648D8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验收证据</w:t>
            </w:r>
          </w:p>
        </w:tc>
      </w:tr>
      <w:tr w14:paraId="334710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BCA45FD">
            <w:pPr>
              <w:snapToGrid w:val="0"/>
              <w:spacing w:before="40" w:after="40"/>
              <w:ind w:firstLine="0"/>
              <w:jc w:val="left"/>
            </w:pPr>
            <w:r>
              <w:t>减少重复填报</w:t>
            </w:r>
          </w:p>
        </w:tc>
        <w:tc>
          <w:tcPr>
            <w:tcW w:w="3231" w:type="dxa"/>
            <w:vAlign w:val="center"/>
          </w:tcPr>
          <w:p w14:paraId="69EBC4F0">
            <w:pPr>
              <w:snapToGrid w:val="0"/>
              <w:spacing w:before="40" w:after="40"/>
              <w:ind w:firstLine="0"/>
              <w:jc w:val="left"/>
            </w:pPr>
            <w:r>
              <w:t>自动取数、来源与有效期核验</w:t>
            </w:r>
          </w:p>
        </w:tc>
        <w:tc>
          <w:tcPr>
            <w:tcW w:w="3458" w:type="dxa"/>
            <w:vAlign w:val="center"/>
          </w:tcPr>
          <w:p w14:paraId="14EF16B6">
            <w:pPr>
              <w:snapToGrid w:val="0"/>
              <w:spacing w:before="40" w:after="40"/>
              <w:ind w:firstLine="0"/>
              <w:jc w:val="left"/>
            </w:pPr>
            <w:r>
              <w:t>已知状态无需追问；缺失值保持未知</w:t>
            </w:r>
          </w:p>
        </w:tc>
      </w:tr>
      <w:tr w14:paraId="365C6E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48584891">
            <w:pPr>
              <w:snapToGrid w:val="0"/>
              <w:spacing w:before="40" w:after="40"/>
              <w:ind w:firstLine="0"/>
              <w:jc w:val="left"/>
            </w:pPr>
            <w:r>
              <w:t>理解自然表达</w:t>
            </w:r>
          </w:p>
        </w:tc>
        <w:tc>
          <w:tcPr>
            <w:tcW w:w="3231" w:type="dxa"/>
            <w:vAlign w:val="center"/>
          </w:tcPr>
          <w:p w14:paraId="7DE4BC96">
            <w:pPr>
              <w:snapToGrid w:val="0"/>
              <w:spacing w:before="40" w:after="40"/>
              <w:ind w:firstLine="0"/>
              <w:jc w:val="left"/>
            </w:pPr>
            <w:r>
              <w:t>结构化抽取、地名归一、多轮修订</w:t>
            </w:r>
          </w:p>
        </w:tc>
        <w:tc>
          <w:tcPr>
            <w:tcW w:w="3458" w:type="dxa"/>
            <w:vAlign w:val="center"/>
          </w:tcPr>
          <w:p w14:paraId="4B23C57F">
            <w:pPr>
              <w:snapToGrid w:val="0"/>
              <w:spacing w:before="40" w:after="40"/>
              <w:ind w:firstLine="0"/>
              <w:jc w:val="left"/>
            </w:pPr>
            <w:r>
              <w:t>任务字段与原文依据一致，歧义可追问</w:t>
            </w:r>
          </w:p>
        </w:tc>
      </w:tr>
      <w:tr w14:paraId="729E48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3073A41">
            <w:pPr>
              <w:snapToGrid w:val="0"/>
              <w:spacing w:before="40" w:after="40"/>
              <w:ind w:firstLine="0"/>
              <w:jc w:val="left"/>
            </w:pPr>
            <w:r>
              <w:t>得到可检查方案</w:t>
            </w:r>
          </w:p>
        </w:tc>
        <w:tc>
          <w:tcPr>
            <w:tcW w:w="3231" w:type="dxa"/>
            <w:vAlign w:val="center"/>
          </w:tcPr>
          <w:p w14:paraId="175293BA">
            <w:pPr>
              <w:snapToGrid w:val="0"/>
              <w:spacing w:before="40" w:after="40"/>
              <w:ind w:firstLine="0"/>
              <w:jc w:val="left"/>
            </w:pPr>
            <w:r>
              <w:t>五工具计算与独立复核</w:t>
            </w:r>
          </w:p>
        </w:tc>
        <w:tc>
          <w:tcPr>
            <w:tcW w:w="3458" w:type="dxa"/>
            <w:vAlign w:val="center"/>
          </w:tcPr>
          <w:p w14:paraId="55F9FE51">
            <w:pPr>
              <w:snapToGrid w:val="0"/>
              <w:spacing w:before="40" w:after="40"/>
              <w:ind w:firstLine="0"/>
              <w:jc w:val="left"/>
            </w:pPr>
            <w:r>
              <w:t>时间、距离、功率、电量和两组SOC可复算</w:t>
            </w:r>
          </w:p>
        </w:tc>
      </w:tr>
      <w:tr w14:paraId="04E2FB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3D565010">
            <w:pPr>
              <w:snapToGrid w:val="0"/>
              <w:spacing w:before="40" w:after="40"/>
              <w:ind w:firstLine="0"/>
              <w:jc w:val="left"/>
            </w:pPr>
            <w:r>
              <w:t>理解任务受限原因</w:t>
            </w:r>
          </w:p>
        </w:tc>
        <w:tc>
          <w:tcPr>
            <w:tcW w:w="3231" w:type="dxa"/>
            <w:vAlign w:val="center"/>
          </w:tcPr>
          <w:p w14:paraId="334A598B">
            <w:pPr>
              <w:snapToGrid w:val="0"/>
              <w:spacing w:before="40" w:after="40"/>
              <w:ind w:firstLine="0"/>
              <w:jc w:val="left"/>
            </w:pPr>
            <w:r>
              <w:t>分类诊断与有依据的调整试算</w:t>
            </w:r>
          </w:p>
        </w:tc>
        <w:tc>
          <w:tcPr>
            <w:tcW w:w="3458" w:type="dxa"/>
            <w:vAlign w:val="center"/>
          </w:tcPr>
          <w:p w14:paraId="4659FA45">
            <w:pPr>
              <w:snapToGrid w:val="0"/>
              <w:spacing w:before="40" w:after="40"/>
              <w:ind w:firstLine="0"/>
              <w:jc w:val="left"/>
            </w:pPr>
            <w:r>
              <w:t>选项有结果引用，不虚构可行承诺</w:t>
            </w:r>
          </w:p>
        </w:tc>
      </w:tr>
      <w:tr w14:paraId="7B4293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2D99CA1">
            <w:pPr>
              <w:snapToGrid w:val="0"/>
              <w:spacing w:before="40" w:after="40"/>
              <w:ind w:firstLine="0"/>
              <w:jc w:val="left"/>
            </w:pPr>
            <w:r>
              <w:t>适应航中变化</w:t>
            </w:r>
          </w:p>
        </w:tc>
        <w:tc>
          <w:tcPr>
            <w:tcW w:w="3231" w:type="dxa"/>
            <w:vAlign w:val="center"/>
          </w:tcPr>
          <w:p w14:paraId="415A93BF">
            <w:pPr>
              <w:snapToGrid w:val="0"/>
              <w:spacing w:before="40" w:after="40"/>
              <w:ind w:firstLine="0"/>
              <w:jc w:val="left"/>
            </w:pPr>
            <w:r>
              <w:t>事件触发、剩余航程重规划</w:t>
            </w:r>
          </w:p>
        </w:tc>
        <w:tc>
          <w:tcPr>
            <w:tcW w:w="3458" w:type="dxa"/>
            <w:vAlign w:val="center"/>
          </w:tcPr>
          <w:p w14:paraId="4AE2D643">
            <w:pPr>
              <w:snapToGrid w:val="0"/>
              <w:spacing w:before="40" w:after="40"/>
              <w:ind w:firstLine="0"/>
              <w:jc w:val="left"/>
            </w:pPr>
            <w:r>
              <w:t>已执行航程冻结，旧结果不覆盖新方案</w:t>
            </w:r>
          </w:p>
        </w:tc>
      </w:tr>
      <w:tr w14:paraId="525B60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443268F4">
            <w:pPr>
              <w:snapToGrid w:val="0"/>
              <w:spacing w:before="40" w:after="40"/>
              <w:ind w:firstLine="0"/>
              <w:jc w:val="left"/>
            </w:pPr>
            <w:r>
              <w:t>查看模型与工具过程</w:t>
            </w:r>
          </w:p>
        </w:tc>
        <w:tc>
          <w:tcPr>
            <w:tcW w:w="3231" w:type="dxa"/>
            <w:vAlign w:val="center"/>
          </w:tcPr>
          <w:p w14:paraId="5CF141C3">
            <w:pPr>
              <w:snapToGrid w:val="0"/>
              <w:spacing w:before="40" w:after="40"/>
              <w:ind w:firstLine="0"/>
              <w:jc w:val="left"/>
            </w:pPr>
            <w:r>
              <w:t>事件时间线、答复存档、版本追溯</w:t>
            </w:r>
          </w:p>
        </w:tc>
        <w:tc>
          <w:tcPr>
            <w:tcW w:w="3458" w:type="dxa"/>
            <w:vAlign w:val="center"/>
          </w:tcPr>
          <w:p w14:paraId="2E74CFF9">
            <w:pPr>
              <w:snapToGrid w:val="0"/>
              <w:spacing w:before="40" w:after="40"/>
              <w:ind w:firstLine="0"/>
              <w:jc w:val="left"/>
            </w:pPr>
            <w:r>
              <w:t>调用父子关系完整，断线后事件可恢复</w:t>
            </w:r>
          </w:p>
        </w:tc>
      </w:tr>
    </w:tbl>
    <w:p w14:paraId="1684395F">
      <w:pPr>
        <w:pStyle w:val="3"/>
        <w:snapToGrid w:val="0"/>
        <w:spacing w:before="120"/>
        <w:rPr>
          <w:rFonts w:hint="default"/>
        </w:rPr>
      </w:pPr>
      <w:bookmarkStart w:id="9" w:name="_Toc242885430"/>
      <w:r>
        <w:t>2.4 运行约束与适用范围</w:t>
      </w:r>
      <w:bookmarkEnd w:id="9"/>
    </w:p>
    <w:p w14:paraId="6999A164">
      <w:pPr>
        <w:snapToGrid w:val="0"/>
      </w:pPr>
      <w:r>
        <w:t>完整的双电池安全方案必须具备两组电池参数、统一的功率测量边界、航线约束和有效初始状态。缺少关键参数时，可以继续开展有明确假设的研究试验，或仅报告电机侧能耗比较，但不能将局部试验包装成完整实船方案。</w:t>
      </w:r>
    </w:p>
    <w:p w14:paraId="45D155CA">
      <w:pPr>
        <w:snapToGrid w:val="0"/>
      </w:pPr>
      <w:r>
        <w:t>系统按字段区分历史观测、软件仿真和未来实船数据。仿真值附情景与假设标识；实测值附设备或文件来源、时间戳和质量标记。规划SOC下限、设备功率上限和通航限制不由语言模型自行降低。外部文件和工具返回的自由文本只作为资料处理，不能改变运行规则或获取额外执行权限。</w:t>
      </w:r>
    </w:p>
    <w:p w14:paraId="0AD505C5">
      <w:pPr>
        <w:snapToGrid w:val="0"/>
      </w:pPr>
      <w:r>
        <w:t>当前不包含已经验证的自动靠离泊、避碰控制或直接推进控制。途中补能只有在设施、停靠、时间和充电状态转移均得到验证后才能纳入可行性试算；首版三模式FDP首先解决放电供能问题。</w:t>
      </w:r>
    </w:p>
    <w:p w14:paraId="294B12CF">
      <w:pPr>
        <w:pStyle w:val="2"/>
        <w:snapToGrid w:val="0"/>
        <w:spacing w:before="120"/>
      </w:pPr>
      <w:bookmarkStart w:id="10" w:name="_Toc242885431"/>
      <w:r>
        <w:t>3 解决方案设计</w:t>
      </w:r>
      <w:bookmarkEnd w:id="10"/>
    </w:p>
    <w:p w14:paraId="401D6A8A">
      <w:pPr>
        <w:pStyle w:val="3"/>
        <w:snapToGrid w:val="0"/>
        <w:spacing w:before="120"/>
        <w:rPr>
          <w:rFonts w:hint="default"/>
        </w:rPr>
      </w:pPr>
      <w:bookmarkStart w:id="11" w:name="_Toc242885432"/>
      <w:r>
        <w:t>3.1 系统总体架构</w:t>
      </w:r>
      <w:bookmarkEnd w:id="11"/>
    </w:p>
    <w:p w14:paraId="438CF3B8">
      <w:pPr>
        <w:snapToGrid w:val="0"/>
      </w:pPr>
      <w:r>
        <w:t>系统由交互入口、智能体运行层、专业工具层和证据存储组成。入口接收文字，语音可通过标准语音识别服务转写后进入同一解析流程。运行层使用一个API大语言模型和LangGraph，承担任务理解、动作决策、协商和答复生成。工具层提供Tdata、Tseg、Tenergy、Tspeed和Tmanagement，分别处理数据、航段、功率预测、航速优化和双电池管理。</w:t>
      </w:r>
    </w:p>
    <w:p w14:paraId="116EAD8B">
      <w:pPr>
        <w:snapToGrid w:val="0"/>
      </w:pPr>
      <w:r>
        <w:t>五个工具是具有明确输入输出的程序服务，可实现为Python模块或独立服务，通过工具调用接口供智能体请求。它们不各自构成语言智能体。工具返回结构化数据和诊断，模型读取摘要后决定下一步，并最终撰写面向船员的自然语言方案。汇总程序只关联同一版本的结果、形成供校验和解释使用的方案对象，不替代模型写作。</w:t>
      </w:r>
    </w:p>
    <w:p w14:paraId="5E045CD9">
      <w:pPr>
        <w:keepNext/>
        <w:snapToGrid w:val="0"/>
        <w:ind w:firstLine="0"/>
        <w:jc w:val="center"/>
      </w:pPr>
      <w:r>
        <w:drawing>
          <wp:inline distT="0" distB="0" distL="0" distR="0">
            <wp:extent cx="5291455" cy="2683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68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E93D">
      <w:pPr>
        <w:pStyle w:val="6"/>
        <w:snapToGrid w:val="0"/>
        <w:jc w:val="center"/>
      </w:pPr>
      <w:r>
        <w:t>图3-1 系统总体架构</w:t>
      </w:r>
    </w:p>
    <w:p w14:paraId="6882C564">
      <w:pPr>
        <w:snapToGrid w:val="0"/>
      </w:pPr>
      <w:r>
        <w:t>大规模时序存放在结果工件中，状态和模型上下文保存摘要与引用。检查点负责运行恢复，追加式事件记录负责过程审查，工件存储负责完整数值结果。三者共同关联任务、请求修订、数据快照和方案版本，防止一次对话中混用不同情景的结果。</w:t>
      </w:r>
    </w:p>
    <w:p w14:paraId="7BDB6D4F">
      <w:pPr>
        <w:pStyle w:val="3"/>
        <w:snapToGrid w:val="0"/>
        <w:spacing w:before="120"/>
        <w:rPr>
          <w:rFonts w:hint="default"/>
        </w:rPr>
      </w:pPr>
      <w:bookmarkStart w:id="12" w:name="_Toc242885433"/>
      <w:r>
        <w:t>3.2 主智能体运行流程</w:t>
      </w:r>
      <w:bookmarkEnd w:id="12"/>
    </w:p>
    <w:p w14:paraId="2BFD63B1">
      <w:pPr>
        <w:pStyle w:val="4"/>
        <w:snapToGrid w:val="0"/>
        <w:spacing w:before="120"/>
        <w:rPr>
          <w:rFonts w:hint="default"/>
        </w:rPr>
      </w:pPr>
      <w:r>
        <w:t>3.2.1 任务理解与自动取数</w:t>
      </w:r>
    </w:p>
    <w:p w14:paraId="32E637AC">
      <w:pPr>
        <w:snapToGrid w:val="0"/>
      </w:pPr>
      <w:r>
        <w:t>解析节点调用已配置的API模型，要求返回固定结构的任务草稿，包括起终点、时间要求、停靠任务、载况、目标、原文依据和未确定项。每个字段同时保留船员原话和规范值。系统随后检查字段类型和范围，使用程序转换单位及相对时间，并将地名映射到航线实体。</w:t>
      </w:r>
    </w:p>
    <w:p w14:paraId="44F28811">
      <w:pPr>
        <w:snapToGrid w:val="0"/>
      </w:pPr>
      <w:r>
        <w:t>对于简称或错别字，优先查询有来源的别名库，再结合字形、拼音和航线位置检索候选。模型可以解释候选与上下文的关系；只有候选唯一且证据充分时才归一并提示。多个候选、航线冲突或时间含义不清时，由规则生成待澄清项，模型组织易于回答的问题。选项来自真实实体或有效试算，不能凭空编造港口、时间和电量。</w:t>
      </w:r>
    </w:p>
    <w:p w14:paraId="275AD210">
      <w:pPr>
        <w:snapToGrid w:val="0"/>
      </w:pPr>
      <w:r>
        <w:t>船舶状态通过Tdata读取。系统允许在目的地尚未澄清时读取已经确定的船舶信息，以减少等待；但不会在关键事实未知时发起完整优化。输入只有相对最长耗时而没有绝对出发时刻时，可以计算航行历时，日历形式的预计到达时间保持未知。</w:t>
      </w:r>
    </w:p>
    <w:p w14:paraId="62397A24">
      <w:pPr>
        <w:pStyle w:val="4"/>
        <w:snapToGrid w:val="0"/>
        <w:spacing w:before="120"/>
        <w:rPr>
          <w:rFonts w:hint="default"/>
        </w:rPr>
      </w:pPr>
      <w:r>
        <w:t>3.2.2 模型决策与图结构</w:t>
      </w:r>
    </w:p>
    <w:p w14:paraId="520F981C">
      <w:pPr>
        <w:snapToGrid w:val="0"/>
      </w:pPr>
      <w:r>
        <w:t>LangGraph用于组织有状态的执行和人工等待，其作用是把模型步骤与确定性程序步骤放入同一运行图[4]。本项目的核心循环为：整理当前事实与允许动作，调用模型提出下一动作，规则检查请求，执行工具，将结果和诊断交回模型。模型能够依据新证据改变后续动作，运行时则保证前置依赖和工程检查得到执行。</w:t>
      </w:r>
    </w:p>
    <w:p w14:paraId="3B4B4CA1">
      <w:pPr>
        <w:keepNext/>
        <w:snapToGrid w:val="0"/>
        <w:ind w:firstLine="0"/>
        <w:jc w:val="center"/>
      </w:pPr>
      <w:r>
        <w:drawing>
          <wp:inline distT="0" distB="0" distL="0" distR="0">
            <wp:extent cx="5291455" cy="4346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43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89E3">
      <w:pPr>
        <w:pStyle w:val="6"/>
        <w:snapToGrid w:val="0"/>
        <w:jc w:val="center"/>
      </w:pPr>
      <w:r>
        <w:t>图3-2 主智能体运行图</w:t>
      </w:r>
    </w:p>
    <w:p w14:paraId="4C01BBA8">
      <w:pPr>
        <w:snapToGrid w:val="0"/>
      </w:pPr>
      <w:r>
        <w:t>允许动作包括请求数据、请求分段、检查已知轨迹能耗、请求航速优化、请求双电池管理、发起调整试算、提出追问、展示试算选项、申请正式答复和明确结束任务。每次动作包含参数、所依据的请求修订与结果引用，以及面向用户的公开依据摘要。首版每轮接收一个工程动作；缺少前置结果、引用过期或预算不允许时，返回结构化拒绝，供模型修正。</w:t>
      </w:r>
    </w:p>
    <w:p w14:paraId="7988EEF9">
      <w:pPr>
        <w:snapToGrid w:val="0"/>
      </w:pPr>
      <w:r>
        <w:t>成功方案遵循Tdata、Tseg、Tspeed、Tmanagement的数值依赖，其中Tspeed在内部反复批量调用Tenergy。每个关键结果返回主智能体后，模型再请求允许的下一步。图同时限制决策轮数、重复无进展调用、工具重试与协商试算次数，达到预算时报告当前证据和未解决事项，不能持续空转。</w:t>
      </w:r>
    </w:p>
    <w:p w14:paraId="1544C996">
      <w:pPr>
        <w:pStyle w:val="4"/>
        <w:snapToGrid w:val="0"/>
        <w:spacing w:before="120"/>
        <w:rPr>
          <w:rFonts w:hint="default"/>
        </w:rPr>
      </w:pPr>
      <w:r>
        <w:t>3.2.3 状态与版本管理</w:t>
      </w:r>
    </w:p>
    <w:p w14:paraId="0AF62E2D">
      <w:pPr>
        <w:snapToGrid w:val="0"/>
      </w:pPr>
      <w:r>
        <w:t>共享状态记录原始输入、结构化任务、数据快照、航段引用、工具结果、诊断、人工待答事项、方案版本、已执行航程、正式答复与事件序号。候选方案、通过独立复核的方案和当前采用的方案分别保存。调整试算具有独立标识，不能以工具名称直接覆盖上一轮结果。</w:t>
      </w:r>
    </w:p>
    <w:p w14:paraId="21562E0B">
      <w:pPr>
        <w:snapToGrid w:val="0"/>
      </w:pPr>
      <w:r>
        <w:t>每次请求和返回均带任务标识、请求修订、数据快照、情景、调用标识及模型或配置版本。起终点、期限、环境或初始电池状态改变后，按依赖范围使下游结果失效。运行状态、工程结论和答复校验分开记录，例如任务可以正在等待船员，同时保留上轮搜索未解决的诊断，而不能用一个可行性布尔值表示整个过程。</w:t>
      </w:r>
    </w:p>
    <w:p w14:paraId="02313098">
      <w:pPr>
        <w:snapToGrid w:val="0"/>
      </w:pPr>
      <w:r>
        <w:t>需要船员选择时，通过中断保存现场，并生成稳定的待答事项和恢复标识。恢复前核对选择是否仍有效；同一恢复请求重复到达时只处理一次。运行恢复还需检查工具副作用和已完成调用，避免重复执行耗时试算或重复采用方案。</w:t>
      </w:r>
    </w:p>
    <w:p w14:paraId="3421ED78">
      <w:pPr>
        <w:pStyle w:val="4"/>
        <w:snapToGrid w:val="0"/>
        <w:spacing w:before="120"/>
        <w:rPr>
          <w:rFonts w:hint="default"/>
        </w:rPr>
      </w:pPr>
      <w:r>
        <w:t>3.2.4 不可行协商与异常处理</w:t>
      </w:r>
    </w:p>
    <w:p w14:paraId="149FDB8E">
      <w:pPr>
        <w:snapToGrid w:val="0"/>
      </w:pPr>
      <w:r>
        <w:t>不可行协商的类别由规则与工具诊断共同定义，模型负责结合上下文解释原因和组织问题。类别可随实际故障扩展，但新增类别必须对应明确的检测点、证据和处理动作。工具故障、搜索预算耗尽和工程不可行分别处理，不能统一称为电量不足。</w:t>
      </w:r>
    </w:p>
    <w:p w14:paraId="53B6A197">
      <w:pPr>
        <w:pStyle w:val="6"/>
        <w:keepNext/>
        <w:snapToGrid w:val="0"/>
        <w:jc w:val="center"/>
      </w:pPr>
      <w:r>
        <w:t>表3-1 主要诊断及处理方式</w:t>
      </w:r>
    </w:p>
    <w:tbl>
      <w:tblPr>
        <w:tblStyle w:val="1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14"/>
        <w:gridCol w:w="3231"/>
        <w:gridCol w:w="3458"/>
      </w:tblGrid>
      <w:tr w14:paraId="552F9F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E8EEF2"/>
            <w:vAlign w:val="center"/>
          </w:tcPr>
          <w:p w14:paraId="2061F0E1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环节与类别</w:t>
            </w:r>
          </w:p>
        </w:tc>
        <w:tc>
          <w:tcPr>
            <w:tcW w:w="3231" w:type="dxa"/>
            <w:shd w:val="clear" w:color="auto" w:fill="E8EEF2"/>
            <w:vAlign w:val="center"/>
          </w:tcPr>
          <w:p w14:paraId="6862A51A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判定依据</w:t>
            </w:r>
          </w:p>
        </w:tc>
        <w:tc>
          <w:tcPr>
            <w:tcW w:w="3458" w:type="dxa"/>
            <w:shd w:val="clear" w:color="auto" w:fill="E8EEF2"/>
            <w:vAlign w:val="center"/>
          </w:tcPr>
          <w:p w14:paraId="2B64CD95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后续处理</w:t>
            </w:r>
          </w:p>
        </w:tc>
      </w:tr>
      <w:tr w14:paraId="69D6F5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F0B9671">
            <w:pPr>
              <w:snapToGrid w:val="0"/>
              <w:spacing w:before="40" w:after="40"/>
              <w:ind w:firstLine="0"/>
              <w:jc w:val="left"/>
            </w:pPr>
            <w:r>
              <w:t>解析或取数缺项</w:t>
            </w:r>
          </w:p>
        </w:tc>
        <w:tc>
          <w:tcPr>
            <w:tcW w:w="3231" w:type="dxa"/>
            <w:vAlign w:val="center"/>
          </w:tcPr>
          <w:p w14:paraId="1A97344F">
            <w:pPr>
              <w:snapToGrid w:val="0"/>
              <w:spacing w:before="40" w:after="40"/>
              <w:ind w:firstLine="0"/>
              <w:jc w:val="left"/>
            </w:pPr>
            <w:r>
              <w:t>字段缺失、来源冲突、数据过期</w:t>
            </w:r>
          </w:p>
        </w:tc>
        <w:tc>
          <w:tcPr>
            <w:tcW w:w="3458" w:type="dxa"/>
            <w:vAlign w:val="center"/>
          </w:tcPr>
          <w:p w14:paraId="35BE8A93">
            <w:pPr>
              <w:snapToGrid w:val="0"/>
              <w:spacing w:before="40" w:after="40"/>
              <w:ind w:firstLine="0"/>
              <w:jc w:val="left"/>
            </w:pPr>
            <w:r>
              <w:t>补取状态或追问相关字段</w:t>
            </w:r>
          </w:p>
        </w:tc>
      </w:tr>
      <w:tr w14:paraId="768EEE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76820BC4">
            <w:pPr>
              <w:snapToGrid w:val="0"/>
              <w:spacing w:before="40" w:after="40"/>
              <w:ind w:firstLine="0"/>
              <w:jc w:val="left"/>
            </w:pPr>
            <w:r>
              <w:t>航段条件不完整</w:t>
            </w:r>
          </w:p>
        </w:tc>
        <w:tc>
          <w:tcPr>
            <w:tcW w:w="3231" w:type="dxa"/>
            <w:vAlign w:val="center"/>
          </w:tcPr>
          <w:p w14:paraId="760A4753">
            <w:pPr>
              <w:snapToGrid w:val="0"/>
              <w:spacing w:before="40" w:after="40"/>
              <w:ind w:firstLine="0"/>
              <w:jc w:val="left"/>
            </w:pPr>
            <w:r>
              <w:t>限速、通行窗口或连续性不明</w:t>
            </w:r>
          </w:p>
        </w:tc>
        <w:tc>
          <w:tcPr>
            <w:tcW w:w="3458" w:type="dxa"/>
            <w:vAlign w:val="center"/>
          </w:tcPr>
          <w:p w14:paraId="035F355D">
            <w:pPr>
              <w:snapToGrid w:val="0"/>
              <w:spacing w:before="40" w:after="40"/>
              <w:ind w:firstLine="0"/>
              <w:jc w:val="left"/>
            </w:pPr>
            <w:r>
              <w:t>核实航线事实，暂停相关计算</w:t>
            </w:r>
          </w:p>
        </w:tc>
      </w:tr>
      <w:tr w14:paraId="222F7E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4531EF0">
            <w:pPr>
              <w:snapToGrid w:val="0"/>
              <w:spacing w:before="40" w:after="40"/>
              <w:ind w:firstLine="0"/>
              <w:jc w:val="left"/>
            </w:pPr>
            <w:r>
              <w:t>预测超出适用域</w:t>
            </w:r>
          </w:p>
        </w:tc>
        <w:tc>
          <w:tcPr>
            <w:tcW w:w="3231" w:type="dxa"/>
            <w:vAlign w:val="center"/>
          </w:tcPr>
          <w:p w14:paraId="63D6D632">
            <w:pPr>
              <w:snapToGrid w:val="0"/>
              <w:spacing w:before="40" w:after="40"/>
              <w:ind w:firstLine="0"/>
              <w:jc w:val="left"/>
            </w:pPr>
            <w:r>
              <w:t>特征缺失、候选超出已验证范围</w:t>
            </w:r>
          </w:p>
        </w:tc>
        <w:tc>
          <w:tcPr>
            <w:tcW w:w="3458" w:type="dxa"/>
            <w:vAlign w:val="center"/>
          </w:tcPr>
          <w:p w14:paraId="43E4236A">
            <w:pPr>
              <w:snapToGrid w:val="0"/>
              <w:spacing w:before="40" w:after="40"/>
              <w:ind w:firstLine="0"/>
              <w:jc w:val="left"/>
            </w:pPr>
            <w:r>
              <w:t>限定搜索域或补充数据</w:t>
            </w:r>
          </w:p>
        </w:tc>
      </w:tr>
      <w:tr w14:paraId="0CDBD8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3239B17">
            <w:pPr>
              <w:snapToGrid w:val="0"/>
              <w:spacing w:before="40" w:after="40"/>
              <w:ind w:firstLine="0"/>
              <w:jc w:val="left"/>
            </w:pPr>
            <w:r>
              <w:t>航速搜索未解决</w:t>
            </w:r>
          </w:p>
        </w:tc>
        <w:tc>
          <w:tcPr>
            <w:tcW w:w="3231" w:type="dxa"/>
            <w:vAlign w:val="center"/>
          </w:tcPr>
          <w:p w14:paraId="580185EA">
            <w:pPr>
              <w:snapToGrid w:val="0"/>
              <w:spacing w:before="40" w:after="40"/>
              <w:ind w:firstLine="0"/>
              <w:jc w:val="left"/>
            </w:pPr>
            <w:r>
              <w:t>DE预算内未找到合格候选</w:t>
            </w:r>
          </w:p>
        </w:tc>
        <w:tc>
          <w:tcPr>
            <w:tcW w:w="3458" w:type="dxa"/>
            <w:vAlign w:val="center"/>
          </w:tcPr>
          <w:p w14:paraId="4D7B4390">
            <w:pPr>
              <w:snapToGrid w:val="0"/>
              <w:spacing w:before="40" w:after="40"/>
              <w:ind w:firstLine="0"/>
              <w:jc w:val="left"/>
            </w:pPr>
            <w:r>
              <w:t>有界重搜或试算调整期限</w:t>
            </w:r>
          </w:p>
        </w:tc>
      </w:tr>
      <w:tr w14:paraId="0008A4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90159FD">
            <w:pPr>
              <w:snapToGrid w:val="0"/>
              <w:spacing w:before="40" w:after="40"/>
              <w:ind w:firstLine="0"/>
              <w:jc w:val="left"/>
            </w:pPr>
            <w:r>
              <w:t>电池路径受限</w:t>
            </w:r>
          </w:p>
        </w:tc>
        <w:tc>
          <w:tcPr>
            <w:tcW w:w="3231" w:type="dxa"/>
            <w:vAlign w:val="center"/>
          </w:tcPr>
          <w:p w14:paraId="73E633B8">
            <w:pPr>
              <w:snapToGrid w:val="0"/>
              <w:spacing w:before="40" w:after="40"/>
              <w:ind w:firstLine="0"/>
              <w:jc w:val="left"/>
            </w:pPr>
            <w:r>
              <w:t>单组功率或SOC路径检查失败</w:t>
            </w:r>
          </w:p>
        </w:tc>
        <w:tc>
          <w:tcPr>
            <w:tcW w:w="3458" w:type="dxa"/>
            <w:vAlign w:val="center"/>
          </w:tcPr>
          <w:p w14:paraId="615B20DD">
            <w:pPr>
              <w:snapToGrid w:val="0"/>
              <w:spacing w:before="40" w:after="40"/>
              <w:ind w:firstLine="0"/>
              <w:jc w:val="left"/>
            </w:pPr>
            <w:r>
              <w:t>将限定范围反馈用于航速重搜</w:t>
            </w:r>
          </w:p>
        </w:tc>
      </w:tr>
      <w:tr w14:paraId="71A281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6984016">
            <w:pPr>
              <w:snapToGrid w:val="0"/>
              <w:spacing w:before="40" w:after="40"/>
              <w:ind w:firstLine="0"/>
              <w:jc w:val="left"/>
            </w:pPr>
            <w:r>
              <w:t>工具运行异常</w:t>
            </w:r>
          </w:p>
        </w:tc>
        <w:tc>
          <w:tcPr>
            <w:tcW w:w="3231" w:type="dxa"/>
            <w:vAlign w:val="center"/>
          </w:tcPr>
          <w:p w14:paraId="79DF7411">
            <w:pPr>
              <w:snapToGrid w:val="0"/>
              <w:spacing w:before="40" w:after="40"/>
              <w:ind w:firstLine="0"/>
              <w:jc w:val="left"/>
            </w:pPr>
            <w:r>
              <w:t>超时、模型文件或结果工件异常</w:t>
            </w:r>
          </w:p>
        </w:tc>
        <w:tc>
          <w:tcPr>
            <w:tcW w:w="3458" w:type="dxa"/>
            <w:vAlign w:val="center"/>
          </w:tcPr>
          <w:p w14:paraId="0C74A31F">
            <w:pPr>
              <w:snapToGrid w:val="0"/>
              <w:spacing w:before="40" w:after="40"/>
              <w:ind w:firstLine="0"/>
              <w:jc w:val="left"/>
            </w:pPr>
            <w:r>
              <w:t>有界重试，保留故障诊断</w:t>
            </w:r>
          </w:p>
        </w:tc>
      </w:tr>
      <w:tr w14:paraId="74F2D1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2602F22">
            <w:pPr>
              <w:snapToGrid w:val="0"/>
              <w:spacing w:before="40" w:after="40"/>
              <w:ind w:firstLine="0"/>
              <w:jc w:val="left"/>
            </w:pPr>
            <w:r>
              <w:t>正式答复不一致</w:t>
            </w:r>
          </w:p>
        </w:tc>
        <w:tc>
          <w:tcPr>
            <w:tcW w:w="3231" w:type="dxa"/>
            <w:vAlign w:val="center"/>
          </w:tcPr>
          <w:p w14:paraId="3EFCD589">
            <w:pPr>
              <w:snapToGrid w:val="0"/>
              <w:spacing w:before="40" w:after="40"/>
              <w:ind w:firstLine="0"/>
              <w:jc w:val="left"/>
            </w:pPr>
            <w:r>
              <w:t>数字、单位或版本与证据不符</w:t>
            </w:r>
          </w:p>
        </w:tc>
        <w:tc>
          <w:tcPr>
            <w:tcW w:w="3458" w:type="dxa"/>
            <w:vAlign w:val="center"/>
          </w:tcPr>
          <w:p w14:paraId="0498CCBB">
            <w:pPr>
              <w:snapToGrid w:val="0"/>
              <w:spacing w:before="40" w:after="40"/>
              <w:ind w:firstLine="0"/>
              <w:jc w:val="left"/>
            </w:pPr>
            <w:r>
              <w:t>模型修正一次，再失败则标明</w:t>
            </w:r>
          </w:p>
        </w:tc>
      </w:tr>
    </w:tbl>
    <w:p w14:paraId="226AD4E6">
      <w:pPr>
        <w:snapToGrid w:val="0"/>
      </w:pPr>
      <w:r>
        <w:t>船员能够协商的是任务期限、出发安排或已经实现的其他任务选项。系统先在独立试算中重算候选，再由模型说明取舍；用户确认后才进入正式修订。若充电扩展尚未验证，系统明确说明暂不支持补能试算，不以推测的充电条件承诺任务可行。</w:t>
      </w:r>
    </w:p>
    <w:p w14:paraId="77763087">
      <w:pPr>
        <w:snapToGrid w:val="0"/>
      </w:pPr>
      <w:r>
        <w:t>FDP在某离散网格上没有可行路径，只能说明该网格和状态转移模型下的结果。DE预算内未找到方案，也不构成数学上的无解证明。语言模型必须保留这些结论范围，不能把局部失败改写为绝对不可航行。</w:t>
      </w:r>
    </w:p>
    <w:p w14:paraId="0C3094FF">
      <w:pPr>
        <w:pStyle w:val="4"/>
        <w:snapToGrid w:val="0"/>
        <w:spacing w:before="120"/>
        <w:rPr>
          <w:rFonts w:hint="default"/>
        </w:rPr>
      </w:pPr>
      <w:r>
        <w:t>3.2.5 航中重规划</w:t>
      </w:r>
    </w:p>
    <w:p w14:paraId="3ED0A81E">
      <w:pPr>
        <w:snapToGrid w:val="0"/>
      </w:pPr>
      <w:r>
        <w:t>航中数据首先由图外监测服务接收，来源可以是历史回放、软件仿真，后续也可以是经过核验的船舶状态接口。监测服务比较当前位置、速度、两组SOC、环境与采用方案，形成带时间戳和证据的事件。用户变更任务、关键状态失效、约束更新以及偏差达到已配置条件时，触发重新检查。</w:t>
      </w:r>
    </w:p>
    <w:p w14:paraId="65CE6A8D">
      <w:pPr>
        <w:snapToGrid w:val="0"/>
      </w:pPr>
      <w:r>
        <w:t>重规划先固定已经执行的航程及其记录，以最新有效状态和剩余期限构造新请求，再调用分段、预测、优化和管理工具。防抖窗口、最小重算间隔、偏差阈值和最大耗时通过仿真确定，作为版本化配置保存，不在当前设计中冒充已经验证的实船参数。硬约束更新应立即触发风险提示，是否能给出新方案取决于完整计算结果。</w:t>
      </w:r>
    </w:p>
    <w:p w14:paraId="3ADA9364">
      <w:pPr>
        <w:snapToGrid w:val="0"/>
      </w:pPr>
      <w:r>
        <w:t>新计算与旧计算可以在时间上重叠，但采用新方案前必须比较请求修订和快照。过期结果只归档，不覆盖当前结果；未完成的新方案不能被显示为已经采用。重算期间保留当前方案及其有效状态，明确说明哪些条件已变化、哪些结论需要复核。</w:t>
      </w:r>
    </w:p>
    <w:p w14:paraId="6E5539F1">
      <w:pPr>
        <w:pStyle w:val="3"/>
        <w:snapToGrid w:val="0"/>
        <w:spacing w:before="120"/>
        <w:rPr>
          <w:rFonts w:hint="default"/>
        </w:rPr>
      </w:pPr>
      <w:bookmarkStart w:id="13" w:name="_Toc242885434"/>
      <w:r>
        <w:t>3.3 五个专业工具的构建</w:t>
      </w:r>
      <w:bookmarkEnd w:id="13"/>
    </w:p>
    <w:p w14:paraId="569CD1DA">
      <w:pPr>
        <w:pStyle w:val="4"/>
        <w:snapToGrid w:val="0"/>
        <w:spacing w:before="120"/>
        <w:rPr>
          <w:rFonts w:hint="default"/>
        </w:rPr>
      </w:pPr>
      <w:r>
        <w:t>3.3.1 数据获取工具Tdata</w:t>
      </w:r>
    </w:p>
    <w:p w14:paraId="592B8969">
      <w:pPr>
        <w:snapToGrid w:val="0"/>
      </w:pPr>
      <w:r>
        <w:t>Tdata统一读取船舶事实、当前状态、航线约束与研究情景，输出不可变的数据快照。每个采用值包含数值、单位、时间、测量位置、来源和质量标记；未知值保持为空，不用零值表示未知。实测与仿真可以在同一任务中使用，但必须逐字段标识，并在方案中说明影响结论的假设。</w:t>
      </w:r>
    </w:p>
    <w:p w14:paraId="76436C97">
      <w:pPr>
        <w:snapToGrid w:val="0"/>
      </w:pPr>
      <w:r>
        <w:t>清理流程先保留原始文件和行号，再统一时间格式、处理重复时间戳、检查速度与功率配对和异常间隔。对同一时间戳下无法区分的冲突值，使用可复现的聚合或剔除规则并记录标记；不推断未经证实的采集顺序。速度显式从节转换为千米每小时，使用1节等于1.852千米每小时的换算关系。</w:t>
      </w:r>
    </w:p>
    <w:p w14:paraId="13A9C8D5">
      <w:pPr>
        <w:snapToGrid w:val="0"/>
      </w:pPr>
      <w:r>
        <w:t>电池容量、初始SOC、规划下限、功率上限和效率分别提供给两组研究电池。参数可以来自核实资料，也可以来自具名仿真假设，但不能由工具默认将总容量平分或设定未经核实的健康状态。关键字段不足时返回具体路径及缺项原因，供主智能体决定补数或缩小研究范围。</w:t>
      </w:r>
    </w:p>
    <w:p w14:paraId="738A3D1C">
      <w:pPr>
        <w:pStyle w:val="4"/>
        <w:snapToGrid w:val="0"/>
        <w:spacing w:before="120"/>
        <w:rPr>
          <w:rFonts w:hint="default"/>
        </w:rPr>
      </w:pPr>
      <w:r>
        <w:t>3.3.2 航段划分工具Tseg</w:t>
      </w:r>
    </w:p>
    <w:p w14:paraId="1957620C">
      <w:pPr>
        <w:snapToGrid w:val="0"/>
      </w:pPr>
      <w:r>
        <w:t>Tseg以规范起终点、停靠任务、航线图和通航事实为输入，生成顺序稳定的航段。每段记录标识、起终节点、距离、速度范围、阶段类型、等待或时间窗口、来源及有效期。限速变化、船闸或通行约束形成必要断点，划分结果需通过全程连续性和距离检查。</w:t>
      </w:r>
    </w:p>
    <w:p w14:paraId="48591809">
      <w:pPr>
        <w:snapToGrid w:val="0"/>
      </w:pPr>
      <w:r>
        <w:t>等待必须落到时间轴上，不能仅作为最终总时长的附加常数而忽略等待期间的用电。港口或补能节点只有在真实任务与已确认条件满足时才激活，Tseg不依据固定SOC百分比自行决定停靠。航中调用使用当前位置和实际剩余节点顺序，避免把已完成航程重新纳入优化。</w:t>
      </w:r>
    </w:p>
    <w:p w14:paraId="1CFBFB85">
      <w:pPr>
        <w:pStyle w:val="4"/>
        <w:snapToGrid w:val="0"/>
        <w:spacing w:before="120"/>
        <w:rPr>
          <w:rFonts w:hint="default"/>
        </w:rPr>
      </w:pPr>
      <w:r>
        <w:t>3.3.3 功率与能耗预测工具Tenergy</w:t>
      </w:r>
    </w:p>
    <w:p w14:paraId="09ECE686">
      <w:pPr>
        <w:snapToGrid w:val="0"/>
      </w:pPr>
      <w:r>
        <w:t>Tenergy的正式模型为LSTM推进功率预测模型。输入是截至规划起点的有效历史序列，以及候选未来航速、加速度和可用环境情景；输出为逐时电机侧功率，单位为千瓦，再按时间区间积分得到千瓦时。该模型与负责交互的API大语言模型各有职责，预测接口不负责生成电池SOC或完整航行安全结论。</w:t>
      </w:r>
    </w:p>
    <w:p w14:paraId="605467E9">
      <w:pPr>
        <w:snapToGrid w:val="0"/>
      </w:pPr>
      <w:r>
        <w:t>现有数据能够支持LSTM原型及有限数据条件下的验证，尚不足以预先承诺跨航线、跨季节泛化。数据核验记录显示，Excel包含12,257个连续5秒采样点，其中正航速且正功率样本为7,037个；在相应清理口径下可形成6,635个长度17点的重叠窗口。两份CSV去重配对后分别有6,324和11,340个时间点[5]。重叠窗口不视为独立航次，也不能用于夸大测试样本独立性。</w:t>
      </w:r>
    </w:p>
    <w:p w14:paraId="21234F8E">
      <w:pPr>
        <w:keepNext/>
        <w:snapToGrid w:val="0"/>
        <w:ind w:firstLine="0"/>
        <w:jc w:val="center"/>
      </w:pPr>
      <w:r>
        <w:drawing>
          <wp:inline distT="0" distB="0" distL="0" distR="0">
            <wp:extent cx="5291455" cy="2456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45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C25E">
      <w:pPr>
        <w:pStyle w:val="6"/>
        <w:snapToGrid w:val="0"/>
        <w:jc w:val="center"/>
      </w:pPr>
      <w:r>
        <w:t>图3-3 LSTM预测工具的数据与计算流程</w:t>
      </w:r>
    </w:p>
    <w:p w14:paraId="0BC06A71">
      <w:pPr>
        <w:snapToGrid w:val="0"/>
      </w:pPr>
      <w:r>
        <w:t>模型先以可核对的共同字段构建主版本，优先使用航速、差分得到的加速度及确认有效的水深等变量。CSV缺少已确认的水流速度，风速单位仍需核实，因此不能把缺失的环境特征补零后直接套用完整特征模型。论文中的六输入设置可在字段完整的Excel上开展扩展实验，与跨来源主模型分开报告。</w:t>
      </w:r>
    </w:p>
    <w:p w14:paraId="6FC01FCE">
      <w:pPr>
        <w:snapToGrid w:val="0"/>
      </w:pPr>
      <w:r>
        <w:t>网络采用历史编码与已知未来条件相结合的序列预测结构。历史分支编码观测工况，未来分支输入候选速度轨迹及相应时空环境，输出各预测区间的功率。训练时不得把预测区间的真实功率、电流或其他未来观测作为可用条件。航程超出直接预测长度时，须明确分块滚动和状态续接方式，并单独评价长时误差累积。</w:t>
      </w:r>
    </w:p>
    <w:p w14:paraId="389108DD">
      <w:pPr>
        <w:snapToGrid w:val="0"/>
      </w:pPr>
      <w:r>
        <w:t>构建步骤为按来源和连续时间块切分数据、设置窗口隔离区、仅用训练集拟合归一化器、训练模型、选择验证集参数、冻结模型后测试。划分先于滑窗，隔离长度至少覆盖使用的窗口，避免相邻重叠样本同时进入训练与测试。保留简单功率回归和持续值预测作为对照，检验LSTM在当前数据上是否提供稳定收益。</w:t>
      </w:r>
    </w:p>
    <w:p w14:paraId="2F0DD6D6">
      <w:pPr>
        <w:snapToGrid w:val="0"/>
      </w:pPr>
      <w:r>
        <w:t>论文使用的双层LSTM及其训练设置可作为复现起点[2]，项目最终的窗口、隐层规模、预测长度和训练轮次由数据实验冻结。模型工件同时保存权重、特征顺序、归一化器、预处理版本和适用范围。负功率、停泊或缺失区间按经核实的物理定义处理，不自动按零推进能耗补齐。</w:t>
      </w:r>
    </w:p>
    <w:p w14:paraId="40F78D55">
      <w:pPr>
        <w:snapToGrid w:val="0"/>
      </w:pPr>
      <w:r>
        <w:t>工具提供单条预测与批量预测两个入口，候选按独立标识返回时序、汇总、有效覆盖率和异常标记。批量结果应与相同输入的逐条推理保持数值一致。缓存键同时包含轨迹、历史窗口、环境、模型和预处理版本，防止相同速度在不同情景下误用结果。</w:t>
      </w:r>
    </w:p>
    <w:p w14:paraId="73F5DB8E">
      <w:pPr>
        <w:pStyle w:val="4"/>
        <w:snapToGrid w:val="0"/>
        <w:spacing w:before="120"/>
        <w:rPr>
          <w:rFonts w:hint="default"/>
        </w:rPr>
      </w:pPr>
      <w:r>
        <w:t>3.3.4 航速优化工具Tspeed</w:t>
      </w:r>
    </w:p>
    <w:p w14:paraId="39F4C315">
      <w:pPr>
        <w:snapToGrid w:val="0"/>
      </w:pPr>
      <w:r>
        <w:t>Tspeed采用差分进化算法DE，以各航段目标速度或允许调整的速度参数组成决策向量。候选向量先展开为满足阶段顺序的连续速度轨迹，明确加减速、航行、等待和停靠区间，再批量调用Tenergy获取推进功率。主要优化目标为预测总能耗，可加入经过归一化的速度平滑项；到达期限、速度范围、距离、加减速和有依据的功率及电量边界作为硬约束。</w:t>
      </w:r>
    </w:p>
    <w:p w14:paraId="7DECD710">
      <w:pPr>
        <w:snapToGrid w:val="0"/>
      </w:pPr>
      <w:r>
        <w:t>DE对一个种群中的多组速度方案反复进行变异、交叉和选择，因此需要反复评价功率与能耗。批量调用LSTM可以复用模型加载与共享历史编码，减少逐候选调用开销。候选评价由Tspeed内部完成，API模型无需逐个选择速度，但批次、候选数、输入输出引用和耗时仍保留父子调用关系，供前端展开检查。</w:t>
      </w:r>
    </w:p>
    <w:p w14:paraId="02038A3C">
      <w:pPr>
        <w:snapToGrid w:val="0"/>
      </w:pPr>
      <w:r>
        <w:t>初始实现采用DE/rand/1/bin。论文的种群50、最大迭代500、变异系数0.5、交叉概率0.9可用作复现起点，1800秒滚动周期仅作为对照配置[2]；这些数值均不是已验证的项目最终参数。实验需同时考察多随机种子的结果稳定性、计算成本和可行方案率，不能只保留最好的一次运行。</w:t>
      </w:r>
    </w:p>
    <w:p w14:paraId="5CDAD85E">
      <w:pPr>
        <w:snapToGrid w:val="0"/>
      </w:pPr>
      <w:r>
        <w:t>最终入选轨迹须按共同核验精度重新调用预测和需求构建模块，并由独立程序检查航段连续性、距离积分、时间及功率等条件。工具记录随机种子、种群、代数、评价次数、目标分项和约束检查。DE是启发式求解器，输出在给定预算内找到的候选，不宣称获得全局最优解。</w:t>
      </w:r>
    </w:p>
    <w:p w14:paraId="52AB6D4F">
      <w:pPr>
        <w:keepNext/>
        <w:snapToGrid w:val="0"/>
        <w:ind w:firstLine="0"/>
        <w:jc w:val="center"/>
      </w:pPr>
      <w:r>
        <w:drawing>
          <wp:inline distT="0" distB="0" distL="0" distR="0">
            <wp:extent cx="5291455" cy="2872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8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5468">
      <w:pPr>
        <w:pStyle w:val="6"/>
        <w:snapToGrid w:val="0"/>
        <w:jc w:val="center"/>
      </w:pPr>
      <w:r>
        <w:t>图3-4 航速优化与双电池管理的计算衔接</w:t>
      </w:r>
    </w:p>
    <w:p w14:paraId="69EBD20D">
      <w:pPr>
        <w:snapToGrid w:val="0"/>
      </w:pPr>
      <w:r>
        <w:t>电机侧功率到电池母线需求只在一个共享适配器中转换。适配器按已确认参数或具名假设换算推进用电并加入辅助负载，输出共同需求时序。Tspeed的电池约束与Tmanagement读取同一份时序，避免各自重复计算效率或辅助用电。该适配器由Tspeed负责人实现，预测与管理负责人共同检查输入输出边界。</w:t>
      </w:r>
    </w:p>
    <w:p w14:paraId="16E62660">
      <w:pPr>
        <w:pStyle w:val="4"/>
        <w:snapToGrid w:val="0"/>
        <w:spacing w:before="120"/>
        <w:rPr>
          <w:rFonts w:hint="default"/>
        </w:rPr>
      </w:pPr>
      <w:r>
        <w:t>3.3.5 能量管理工具Tmanagement</w:t>
      </w:r>
    </w:p>
    <w:p w14:paraId="165AE8B3">
      <w:pPr>
        <w:snapToGrid w:val="0"/>
      </w:pPr>
      <w:r>
        <w:t>Tmanagement复现论文的前向动态规划FDP方法[2]，对两组研究电池进行全时域供能分配。输入包括逐时母线需求、两组独立电池参数、初始SOC、功率边界、规划SOC下限、损耗模型及离散配置。三种基本模式为1号电池单独供能、2号电池单独供能和两组共同供能，共同供能时在允许范围内选择功率分配。</w:t>
      </w:r>
    </w:p>
    <w:p w14:paraId="389DDADE">
      <w:pPr>
        <w:snapToGrid w:val="0"/>
      </w:pPr>
      <w:r>
        <w:t>状态由两组SOC和上一时步供能模式构成。算法从初始状态向前展开，在每一时步保留可达状态及累计代价，比较通往同一状态的候选路径，保存较优前驱，最后从合格终点回溯完整模式与功率序列。它不是每一步只选当前代价最小模式的贪心策略；上一时步模式必须进入状态，才能计入切换影响。</w:t>
      </w:r>
    </w:p>
    <w:p w14:paraId="1AE24733">
      <w:pPr>
        <w:snapToGrid w:val="0"/>
      </w:pPr>
      <w:r>
        <w:t>代价包含损耗或使用成本、模式切换、SOC差异及低负荷下双组运行惩罚。权重和损耗参数需有来源或实验设置记录。状态转移逐步检查母线需求平衡、各组允许功率、SOC变化和规划下限；能量积分使用一致时间单位，效率仅在约定测量边界计算一次。输出每时步的模式、两组功率、SOC、代价分项和约束结果，再汇总到航段。</w:t>
      </w:r>
    </w:p>
    <w:p w14:paraId="75D22D1E">
      <w:pPr>
        <w:snapToGrid w:val="0"/>
      </w:pPr>
      <w:r>
        <w:t>SOC离散粒度和时间步长决定计算量与近似误差，需要通过网格敏感性实验选定。任何状态裁剪或路径剪枝都要记录规则并验证对结果的影响。FDP先用2至4步的小规模问题与穷举结果比较，再逐步扩展航程；不能在未测算状态规模时承诺实时求解整段航程。</w:t>
      </w:r>
    </w:p>
    <w:p w14:paraId="1B19BD94">
      <w:pPr>
        <w:snapToGrid w:val="0"/>
      </w:pPr>
      <w:r>
        <w:t>若所选航速在FDP中失败，返回首个失败区间、触犯约束、两组SOC、需求功率、参数版本及失败范围。只有能证明对新候选同样成立的限制才转成硬约束；依赖此前SOC路径的失败，作为候选拒绝或下一轮复核依据。主图据此允许Tspeed有界重搜，仍无法解决时进入协商或范围明确的失败说明。</w:t>
      </w:r>
    </w:p>
    <w:p w14:paraId="458A9CF9">
      <w:pPr>
        <w:pStyle w:val="3"/>
        <w:snapToGrid w:val="0"/>
        <w:spacing w:before="120"/>
        <w:rPr>
          <w:rFonts w:hint="default"/>
        </w:rPr>
      </w:pPr>
      <w:bookmarkStart w:id="14" w:name="_Toc242885435"/>
      <w:r>
        <w:t>3.4 数据接口与独立校验</w:t>
      </w:r>
      <w:bookmarkEnd w:id="14"/>
    </w:p>
    <w:p w14:paraId="71B4DDDC">
      <w:pPr>
        <w:snapToGrid w:val="0"/>
      </w:pPr>
      <w:r>
        <w:t>五工具采用统一的调用信封，记录工具名、调用与父调用标识、输入哈希、请求修订、快照、情景、执行状态、工程结果、工件引用和模型配置版本。工具运行完成只说明本步骤结束，不自动代表完整方案可行。接口草案版本为research-tools/2.0-draft，字段冻结后再升级正式版本；现有演示接口不得直接冒充新版能力。</w:t>
      </w:r>
    </w:p>
    <w:p w14:paraId="42B04638">
      <w:pPr>
        <w:snapToGrid w:val="0"/>
      </w:pPr>
      <w:r>
        <w:t>时间序列采用带时长的区间表示，每点明确起始偏移秒数和持续秒数。内部距离用千米、速度用千米每小时、功率用千瓦、电量用千瓦时、SOC用0到1的比例。区间电量由功率乘持续秒数再除以3600得到。不同工具可以采用不同时间分辨率，但必须提供重采样和积分误差检查，最终候选在共同核验网格上复算。</w:t>
      </w:r>
    </w:p>
    <w:p w14:paraId="7F82B193">
      <w:pPr>
        <w:snapToGrid w:val="0"/>
      </w:pPr>
      <w:r>
        <w:t>方案汇总对象关联同版航段、速度轨迹、预测功率、母线需求和双电池轨迹。独立检查器重新计算距离、时间、功率平衡、电量积分与SOC，检查来源完整性和版本一致性；不直接采信工具自身的可行标志。只有航速、能量管理和独立复核都通过，才形成完整的已校验方案。</w:t>
      </w:r>
    </w:p>
    <w:p w14:paraId="53E34F6F">
      <w:pPr>
        <w:pStyle w:val="3"/>
        <w:snapToGrid w:val="0"/>
        <w:spacing w:before="120"/>
        <w:rPr>
          <w:rFonts w:hint="default"/>
        </w:rPr>
      </w:pPr>
      <w:bookmarkStart w:id="15" w:name="_Toc242885436"/>
      <w:r>
        <w:t>3.5 模型答复与过程展示</w:t>
      </w:r>
      <w:bookmarkEnd w:id="15"/>
    </w:p>
    <w:p w14:paraId="526B390E">
      <w:pPr>
        <w:snapToGrid w:val="0"/>
      </w:pPr>
      <w:r>
        <w:t>模型在获得同版结果及校验摘要后，生成完整自然语言答复，说明任务理解、建议航速、预计耗时和电量、双电池安排、主要约束及需要船员决定的事项。模型输出的第一手正文连同模型版本和生成时间原样留存；前端可以整理布局，但不能用固定模板生成正文后声称是模型原始方案。</w:t>
      </w:r>
    </w:p>
    <w:p w14:paraId="76789EDB">
      <w:pPr>
        <w:snapToGrid w:val="0"/>
      </w:pPr>
      <w:r>
        <w:t>生成时同步输出关键声明清单，将正文中的时间、电量、速度、SOC和可行性表述绑定到结果字段。规则核对数值、单位、舍入、适用范围和方案版本。首次失败时把具体差异交给模型修正一次；再次失败则保留原始输出与诊断，明确标记答复未通过，并另列已经核验的工具结果摘要。</w:t>
      </w:r>
    </w:p>
    <w:p w14:paraId="0C73306C">
      <w:pPr>
        <w:snapToGrid w:val="0"/>
      </w:pPr>
      <w:r>
        <w:t>界面以可展开时间线显示任务解析、公开依据、动作请求、工具开始与结束、结果摘要、校验和人工选择。DE内的LSTM调用按批次折叠，展开后可查询候选与工件。这里展示的是实际生成并存档的公开决策依据和动作记录，不伪造或宣称展示模型内部不可观测的完整思维过程。</w:t>
      </w:r>
    </w:p>
    <w:p w14:paraId="3A155243">
      <w:pPr>
        <w:snapToGrid w:val="0"/>
      </w:pPr>
      <w:r>
        <w:t>后端先将事件写入追加式记录，再通过SSE推送给前端。客户端使用事件序号续传，断线重连后补齐缺失事件。检查点用于恢复运行，事件记录用于审阅过程，二者不能相互替代。API不可用时仅对明确支持的句式提供规则解析或报告服务故障，不承诺完整离线智能体能力。</w:t>
      </w:r>
    </w:p>
    <w:p w14:paraId="5F01A290">
      <w:pPr>
        <w:pStyle w:val="3"/>
        <w:snapToGrid w:val="0"/>
        <w:spacing w:before="120"/>
        <w:rPr>
          <w:rFonts w:hint="default"/>
        </w:rPr>
      </w:pPr>
      <w:bookmarkStart w:id="16" w:name="_Toc242885437"/>
      <w:r>
        <w:t>3.6 部署与数据管理</w:t>
      </w:r>
      <w:bookmarkEnd w:id="16"/>
    </w:p>
    <w:p w14:paraId="5CC6606D">
      <w:pPr>
        <w:snapToGrid w:val="0"/>
      </w:pPr>
      <w:r>
        <w:t>研究原型采用浏览器前端、后端任务服务、模型API适配器、数值工具执行进程和存储层。模型服务配置可替换，调用记录保存实际模型标识；工具通过版本化接口接入，耗时优化任务与交互请求分离，支持取消和超时。部署配置明确运行依赖、计算资源和启动顺序，凭据由环境配置注入，不进入代码或日志。</w:t>
      </w:r>
    </w:p>
    <w:p w14:paraId="416E27F0">
      <w:pPr>
        <w:snapToGrid w:val="0"/>
      </w:pPr>
      <w:r>
        <w:t>发送给模型的上下文以任务、必要状态和工具摘要为主，原始航行文件与大规模时序保存在受控工件存储中。不同任务使用独立标识和访问范围，日志保留复核必需信息。未来实船接入前需完成设备协议、时间同步、数据授权和网络条件验证，沿用相同接口并逐字段标明实船来源。</w:t>
      </w:r>
    </w:p>
    <w:p w14:paraId="39FF0312">
      <w:pPr>
        <w:pStyle w:val="2"/>
        <w:snapToGrid w:val="0"/>
        <w:spacing w:before="120"/>
      </w:pPr>
      <w:bookmarkStart w:id="17" w:name="_Toc242885438"/>
      <w:r>
        <w:t>4 项目实施</w:t>
      </w:r>
      <w:bookmarkEnd w:id="17"/>
    </w:p>
    <w:p w14:paraId="07259E10">
      <w:pPr>
        <w:pStyle w:val="3"/>
        <w:snapToGrid w:val="0"/>
        <w:spacing w:before="120"/>
        <w:rPr>
          <w:rFonts w:hint="default"/>
        </w:rPr>
      </w:pPr>
      <w:bookmarkStart w:id="18" w:name="_Toc242885439"/>
      <w:r>
        <w:t>4.1 已有基础与建设顺序</w:t>
      </w:r>
      <w:bookmarkEnd w:id="18"/>
    </w:p>
    <w:p w14:paraId="492D7B18">
      <w:pPr>
        <w:snapToGrid w:val="0"/>
      </w:pPr>
      <w:r>
        <w:t>项目已形成研究对象资料、数据检查记录、论文方案稿、智能体图结构计划、三个数值工具任务书和五工具联调接口草案。现有软件演示可作为交互和流程回归的起点，但其中的合成功率模型、固定航速候选和合并电池状态不能作为LSTM、DE和双电池FDP已经完成的证据。</w:t>
      </w:r>
    </w:p>
    <w:p w14:paraId="70D812CB">
      <w:pPr>
        <w:snapToGrid w:val="0"/>
      </w:pPr>
      <w:r>
        <w:t>实施先固定数据、单位和接口，再并行开发三项数值工具，随后接入主智能体，最后开展全链路与交互验证。接口字段可以先行确定，模型精度、网格、预算和运行阈值必须由实验冻结。这样既便于组员独立开发，也能避免各工具自行假定不同的电池状态和功率口径。</w:t>
      </w:r>
    </w:p>
    <w:p w14:paraId="2C55F61A">
      <w:pPr>
        <w:pStyle w:val="6"/>
        <w:keepNext/>
        <w:snapToGrid w:val="0"/>
        <w:jc w:val="center"/>
      </w:pPr>
      <w:r>
        <w:t>表4-1 实施阶段与交付门槛</w:t>
      </w:r>
    </w:p>
    <w:tbl>
      <w:tblPr>
        <w:tblStyle w:val="1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14"/>
        <w:gridCol w:w="3231"/>
        <w:gridCol w:w="3458"/>
      </w:tblGrid>
      <w:tr w14:paraId="78E4DE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E8EEF2"/>
            <w:vAlign w:val="center"/>
          </w:tcPr>
          <w:p w14:paraId="78CEFCC3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w="3231" w:type="dxa"/>
            <w:shd w:val="clear" w:color="auto" w:fill="E8EEF2"/>
            <w:vAlign w:val="center"/>
          </w:tcPr>
          <w:p w14:paraId="37C3C352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主要工作</w:t>
            </w:r>
          </w:p>
        </w:tc>
        <w:tc>
          <w:tcPr>
            <w:tcW w:w="3458" w:type="dxa"/>
            <w:shd w:val="clear" w:color="auto" w:fill="E8EEF2"/>
            <w:vAlign w:val="center"/>
          </w:tcPr>
          <w:p w14:paraId="6C28EBA4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完成依据</w:t>
            </w:r>
          </w:p>
        </w:tc>
      </w:tr>
      <w:tr w14:paraId="36C5DC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7F26784C">
            <w:pPr>
              <w:snapToGrid w:val="0"/>
              <w:spacing w:before="40" w:after="40"/>
              <w:ind w:firstLine="0"/>
              <w:jc w:val="left"/>
            </w:pPr>
            <w:r>
              <w:t>数据与契约准备</w:t>
            </w:r>
          </w:p>
        </w:tc>
        <w:tc>
          <w:tcPr>
            <w:tcW w:w="3231" w:type="dxa"/>
            <w:vAlign w:val="center"/>
          </w:tcPr>
          <w:p w14:paraId="01E20003">
            <w:pPr>
              <w:snapToGrid w:val="0"/>
              <w:spacing w:before="40" w:after="40"/>
              <w:ind w:firstLine="0"/>
              <w:jc w:val="left"/>
            </w:pPr>
            <w:r>
              <w:t>清理记录、整理来源、定义双电池情景及机器可读接口</w:t>
            </w:r>
          </w:p>
        </w:tc>
        <w:tc>
          <w:tcPr>
            <w:tcW w:w="3458" w:type="dxa"/>
            <w:vAlign w:val="center"/>
          </w:tcPr>
          <w:p w14:paraId="56272511">
            <w:pPr>
              <w:snapToGrid w:val="0"/>
              <w:spacing w:before="40" w:after="40"/>
              <w:ind w:firstLine="0"/>
              <w:jc w:val="left"/>
            </w:pPr>
            <w:r>
              <w:t>数据清单、合法与非法样例、字段检查通过</w:t>
            </w:r>
          </w:p>
        </w:tc>
      </w:tr>
      <w:tr w14:paraId="340219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5FB9B2E9">
            <w:pPr>
              <w:snapToGrid w:val="0"/>
              <w:spacing w:before="40" w:after="40"/>
              <w:ind w:firstLine="0"/>
              <w:jc w:val="left"/>
            </w:pPr>
            <w:r>
              <w:t>工具独立构建</w:t>
            </w:r>
          </w:p>
        </w:tc>
        <w:tc>
          <w:tcPr>
            <w:tcW w:w="3231" w:type="dxa"/>
            <w:vAlign w:val="center"/>
          </w:tcPr>
          <w:p w14:paraId="721178AC">
            <w:pPr>
              <w:snapToGrid w:val="0"/>
              <w:spacing w:before="40" w:after="40"/>
              <w:ind w:firstLine="0"/>
              <w:jc w:val="left"/>
            </w:pPr>
            <w:r>
              <w:t>LSTM训练、DE轨迹与需求模块、FDP状态转移</w:t>
            </w:r>
          </w:p>
        </w:tc>
        <w:tc>
          <w:tcPr>
            <w:tcW w:w="3458" w:type="dxa"/>
            <w:vAlign w:val="center"/>
          </w:tcPr>
          <w:p w14:paraId="234F4B22">
            <w:pPr>
              <w:snapToGrid w:val="0"/>
              <w:spacing w:before="40" w:after="40"/>
              <w:ind w:firstLine="0"/>
              <w:jc w:val="left"/>
            </w:pPr>
            <w:r>
              <w:t>独立测试、模型工件、固定输入输出夹具</w:t>
            </w:r>
          </w:p>
        </w:tc>
      </w:tr>
      <w:tr w14:paraId="1FFF56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4F999F57">
            <w:pPr>
              <w:snapToGrid w:val="0"/>
              <w:spacing w:before="40" w:after="40"/>
              <w:ind w:firstLine="0"/>
              <w:jc w:val="left"/>
            </w:pPr>
            <w:r>
              <w:t>数值链路联调</w:t>
            </w:r>
          </w:p>
        </w:tc>
        <w:tc>
          <w:tcPr>
            <w:tcW w:w="3231" w:type="dxa"/>
            <w:vAlign w:val="center"/>
          </w:tcPr>
          <w:p w14:paraId="5382A3E5">
            <w:pPr>
              <w:snapToGrid w:val="0"/>
              <w:spacing w:before="40" w:after="40"/>
              <w:ind w:firstLine="0"/>
              <w:jc w:val="left"/>
            </w:pPr>
            <w:r>
              <w:t>统一时序、功率边界、反馈与复核</w:t>
            </w:r>
          </w:p>
        </w:tc>
        <w:tc>
          <w:tcPr>
            <w:tcW w:w="3458" w:type="dxa"/>
            <w:vAlign w:val="center"/>
          </w:tcPr>
          <w:p w14:paraId="55D6797B">
            <w:pPr>
              <w:snapToGrid w:val="0"/>
              <w:spacing w:before="40" w:after="40"/>
              <w:ind w:firstLine="0"/>
              <w:jc w:val="left"/>
            </w:pPr>
            <w:r>
              <w:t>成功、拒绝重搜、域外及缺参案例均可复现</w:t>
            </w:r>
          </w:p>
        </w:tc>
      </w:tr>
      <w:tr w14:paraId="734A64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2196E4EF">
            <w:pPr>
              <w:snapToGrid w:val="0"/>
              <w:spacing w:before="40" w:after="40"/>
              <w:ind w:firstLine="0"/>
              <w:jc w:val="left"/>
            </w:pPr>
            <w:r>
              <w:t>主智能体接入</w:t>
            </w:r>
          </w:p>
        </w:tc>
        <w:tc>
          <w:tcPr>
            <w:tcW w:w="3231" w:type="dxa"/>
            <w:vAlign w:val="center"/>
          </w:tcPr>
          <w:p w14:paraId="34D97539">
            <w:pPr>
              <w:snapToGrid w:val="0"/>
              <w:spacing w:before="40" w:after="40"/>
              <w:ind w:firstLine="0"/>
              <w:jc w:val="left"/>
            </w:pPr>
            <w:r>
              <w:t>解析、动作控制、人工等待、答复校验</w:t>
            </w:r>
          </w:p>
        </w:tc>
        <w:tc>
          <w:tcPr>
            <w:tcW w:w="3458" w:type="dxa"/>
            <w:vAlign w:val="center"/>
          </w:tcPr>
          <w:p w14:paraId="1572E1BA">
            <w:pPr>
              <w:snapToGrid w:val="0"/>
              <w:spacing w:before="40" w:after="40"/>
              <w:ind w:firstLine="0"/>
              <w:jc w:val="left"/>
            </w:pPr>
            <w:r>
              <w:t>真实调用可查询，暂停恢复与版本检查通过</w:t>
            </w:r>
          </w:p>
        </w:tc>
      </w:tr>
      <w:tr w14:paraId="1AA2C7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7F00B60">
            <w:pPr>
              <w:snapToGrid w:val="0"/>
              <w:spacing w:before="40" w:after="40"/>
              <w:ind w:firstLine="0"/>
              <w:jc w:val="left"/>
            </w:pPr>
            <w:r>
              <w:t>仿真与对照实验</w:t>
            </w:r>
          </w:p>
        </w:tc>
        <w:tc>
          <w:tcPr>
            <w:tcW w:w="3231" w:type="dxa"/>
            <w:vAlign w:val="center"/>
          </w:tcPr>
          <w:p w14:paraId="1EF11D25">
            <w:pPr>
              <w:snapToGrid w:val="0"/>
              <w:spacing w:before="40" w:after="40"/>
              <w:ind w:firstLine="0"/>
              <w:jc w:val="left"/>
            </w:pPr>
            <w:r>
              <w:t>历史回放、情景扰动、故障注入</w:t>
            </w:r>
          </w:p>
        </w:tc>
        <w:tc>
          <w:tcPr>
            <w:tcW w:w="3458" w:type="dxa"/>
            <w:vAlign w:val="center"/>
          </w:tcPr>
          <w:p w14:paraId="22F7E1EB">
            <w:pPr>
              <w:snapToGrid w:val="0"/>
              <w:spacing w:before="40" w:after="40"/>
              <w:ind w:firstLine="0"/>
              <w:jc w:val="left"/>
            </w:pPr>
            <w:r>
              <w:t>冻结实验配置、完整结果及失败分析</w:t>
            </w:r>
          </w:p>
        </w:tc>
      </w:tr>
      <w:tr w14:paraId="62EA2D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71BF8B71">
            <w:pPr>
              <w:snapToGrid w:val="0"/>
              <w:spacing w:before="40" w:after="40"/>
              <w:ind w:firstLine="0"/>
              <w:jc w:val="left"/>
            </w:pPr>
            <w:r>
              <w:t>交付整理</w:t>
            </w:r>
          </w:p>
        </w:tc>
        <w:tc>
          <w:tcPr>
            <w:tcW w:w="3231" w:type="dxa"/>
            <w:vAlign w:val="center"/>
          </w:tcPr>
          <w:p w14:paraId="5C55718C">
            <w:pPr>
              <w:snapToGrid w:val="0"/>
              <w:spacing w:before="40" w:after="40"/>
              <w:ind w:firstLine="0"/>
              <w:jc w:val="left"/>
            </w:pPr>
            <w:r>
              <w:t>演示场景、复现说明、引用与匿名检查</w:t>
            </w:r>
          </w:p>
        </w:tc>
        <w:tc>
          <w:tcPr>
            <w:tcW w:w="3458" w:type="dxa"/>
            <w:vAlign w:val="center"/>
          </w:tcPr>
          <w:p w14:paraId="54F1FFAB">
            <w:pPr>
              <w:snapToGrid w:val="0"/>
              <w:spacing w:before="40" w:after="40"/>
              <w:ind w:firstLine="0"/>
              <w:jc w:val="left"/>
            </w:pPr>
            <w:r>
              <w:t>文档和结果版本一致，演示不混用历史成果</w:t>
            </w:r>
          </w:p>
        </w:tc>
      </w:tr>
    </w:tbl>
    <w:p w14:paraId="4CF25DAE">
      <w:pPr>
        <w:pStyle w:val="3"/>
        <w:snapToGrid w:val="0"/>
        <w:spacing w:before="120"/>
        <w:rPr>
          <w:rFonts w:hint="default"/>
        </w:rPr>
      </w:pPr>
      <w:bookmarkStart w:id="19" w:name="_Toc242885440"/>
      <w:r>
        <w:t>4.2 开发分工与协作</w:t>
      </w:r>
      <w:bookmarkEnd w:id="19"/>
    </w:p>
    <w:p w14:paraId="0900CD35">
      <w:pPr>
        <w:snapToGrid w:val="0"/>
      </w:pPr>
      <w:r>
        <w:t>Tenergy负责人交付清理与切分流程、训练脚本、模型及归一化器、单条与批量推理接口，以及预测误差和适用域报告。Tspeed负责人交付轨迹展开、DE优化、共享需求构建器和最终候选复核接口，记录随机种子与预算。Tmanagement负责人交付两组电池模型、FDP求解、回溯工件与失败反馈，并核查需求边界和效率口径。</w:t>
      </w:r>
    </w:p>
    <w:p w14:paraId="7ECD1A6E">
      <w:pPr>
        <w:snapToGrid w:val="0"/>
      </w:pPr>
      <w:r>
        <w:t>主图与界面集成职责覆盖任务状态、工具注册、人工恢复、事件推送、答复校验和结果展示，可由现有成员兼任，不以额外人员到位为前提。各负责人按统一夹具进行联调：先验证固定输入是否得到可追溯输出，再比较算法性能。接口修改需同步机器可读定义、样例、任务书和主图适配器。</w:t>
      </w:r>
    </w:p>
    <w:p w14:paraId="1D7BE64C">
      <w:pPr>
        <w:snapToGrid w:val="0"/>
      </w:pPr>
      <w:r>
        <w:t>开发文件中，项目论文方案稿用于确认整体研究路线，Agent图结构计划用于实现节点与分支，五工具联调接口v2用于确定字段和失败语义，三个任务书用于落实算法、交付与验收。详细文件索引见第8.2节。比赛作品方案用于说明应用场景和完整实现路线，不替代程序接口定义。</w:t>
      </w:r>
    </w:p>
    <w:p w14:paraId="353EC0A9">
      <w:pPr>
        <w:pStyle w:val="3"/>
        <w:snapToGrid w:val="0"/>
        <w:spacing w:before="120"/>
        <w:rPr>
          <w:rFonts w:hint="default"/>
        </w:rPr>
      </w:pPr>
      <w:bookmarkStart w:id="20" w:name="_Toc242885441"/>
      <w:r>
        <w:t>4.3 软件仿真与历史回放</w:t>
      </w:r>
      <w:bookmarkEnd w:id="20"/>
    </w:p>
    <w:p w14:paraId="4371DF12">
      <w:pPr>
        <w:snapToGrid w:val="0"/>
      </w:pPr>
      <w:r>
        <w:t>历史回放按原始时间顺序提供位置、航速、功率和可核实环境，用于检查取数、解析后的计算入口及过程记录。历史记录是某一实际航速下的观测，不能直接作为任意新候选航速的真实功率标签。替代航速的比较应在明确模型假设的仿真中完成，并与预测误差分析共同解释。</w:t>
      </w:r>
    </w:p>
    <w:p w14:paraId="0287A0EA">
      <w:pPr>
        <w:snapToGrid w:val="0"/>
      </w:pPr>
      <w:r>
        <w:t>软件仿真器规划为独立状态服务，维护航程位置、时间、两组SOC、阶段和环境情景。它接收已采用的速度与供能计划，按独立实现的运动学和能量守恒关系推进状态，输出与实船适配器一致的数据结构。环境、等待、状态噪声和通信延迟由情景配置注入，随机过程保存种子，以便重放。</w:t>
      </w:r>
    </w:p>
    <w:p w14:paraId="2834EFA6">
      <w:pPr>
        <w:snapToGrid w:val="0"/>
      </w:pPr>
      <w:r>
        <w:t>仿真验证包括期限变化、等待延长、初始SOC偏差、功率边界降低、数据过期和模型服务中断。监测模块读取状态后产生事件，主图执行剩余航程重规划，再由仿真器检查采用后的结果。仿真参数和触发阈值当前仍需实验确定，所有情景均标记为研究假设。</w:t>
      </w:r>
    </w:p>
    <w:p w14:paraId="11DA8774">
      <w:pPr>
        <w:snapToGrid w:val="0"/>
      </w:pPr>
      <w:r>
        <w:t>为避免同一模型自证正确，校验程序独立于优化器实现，仿真可引入受控的功率偏差和损耗扰动，并使用留出的真实数据检验预测误差。若环境动力学仍基于同一LSTM，报告必须说明这种依赖，不能把闭环仿真结果直接外推为实船收益。</w:t>
      </w:r>
    </w:p>
    <w:p w14:paraId="078B36F3">
      <w:pPr>
        <w:pStyle w:val="3"/>
        <w:snapToGrid w:val="0"/>
        <w:spacing w:before="120"/>
        <w:rPr>
          <w:rFonts w:hint="default"/>
        </w:rPr>
      </w:pPr>
      <w:bookmarkStart w:id="21" w:name="_Toc242885442"/>
      <w:r>
        <w:t>4.4 复现与版本管理</w:t>
      </w:r>
      <w:bookmarkEnd w:id="21"/>
    </w:p>
    <w:p w14:paraId="02C7B889">
      <w:pPr>
        <w:snapToGrid w:val="0"/>
      </w:pPr>
      <w:r>
        <w:t>每次实验冻结数据清单及哈希、切分规则、模型权重、归一化器、工具版本、参数配置和随机种子。运行结果保存输入快照、调用树、时序工件、独立检查报告及模型原始答复。复现入口能够从相同配置重跑数值工具，也能够从已保存事件重放界面。</w:t>
      </w:r>
    </w:p>
    <w:p w14:paraId="42FF1259">
      <w:pPr>
        <w:snapToGrid w:val="0"/>
      </w:pPr>
      <w:r>
        <w:t>对外演示使用固定且公开说明的情景，现场新任务另存运行记录。旧演示接口通过显式兼容层接入；缺少逐时功率或独立双电池字段时返回不支持，不从分段均值逆推出伪造时序，也不把合并SOC拆成实测值。依赖版本和环境要求在实际运行验证后固定。</w:t>
      </w:r>
    </w:p>
    <w:p w14:paraId="4E6FAB1D">
      <w:pPr>
        <w:pStyle w:val="3"/>
        <w:snapToGrid w:val="0"/>
        <w:spacing w:before="120"/>
        <w:rPr>
          <w:rFonts w:hint="default"/>
        </w:rPr>
      </w:pPr>
      <w:bookmarkStart w:id="22" w:name="_Toc242885443"/>
      <w:r>
        <w:t>4.5 主要技术风险与应对</w:t>
      </w:r>
      <w:bookmarkEnd w:id="22"/>
    </w:p>
    <w:p w14:paraId="2D044CA8">
      <w:pPr>
        <w:snapToGrid w:val="0"/>
      </w:pPr>
      <w:r>
        <w:t>首要风险是数据覆盖不足。应通过来源隔离测试、适用域识别和补采计划控制结论范围，而不是增加模型复杂度掩盖缺少工况的问题。第二是DE与FDP组合的计算开销，需要记录预测批次、FDP调用次数和状态规模，在可行率与耗时之间选择预算。</w:t>
      </w:r>
    </w:p>
    <w:p w14:paraId="18FD89B2">
      <w:pPr>
        <w:snapToGrid w:val="0"/>
      </w:pPr>
      <w:r>
        <w:t>第三是流程恢复和多版本结果混用。采用不可变快照、稳定调用标识和过期结果拒绝规则，并用断线、重复恢复及任务修改测试验证。第四是模型答复与数值证据不一致，通过声明绑定和独立校验降低风险。上述机制的有效性均纳入测试，不能仅凭设计说明宣称已经解决。</w:t>
      </w:r>
    </w:p>
    <w:p w14:paraId="51984223">
      <w:pPr>
        <w:pStyle w:val="2"/>
        <w:snapToGrid w:val="0"/>
        <w:spacing w:before="120"/>
      </w:pPr>
      <w:bookmarkStart w:id="23" w:name="_Toc242885444"/>
      <w:r>
        <w:t>5 测试与验证</w:t>
      </w:r>
      <w:bookmarkEnd w:id="23"/>
    </w:p>
    <w:p w14:paraId="592E15B3">
      <w:pPr>
        <w:pStyle w:val="3"/>
        <w:snapToGrid w:val="0"/>
        <w:spacing w:before="120"/>
        <w:rPr>
          <w:rFonts w:hint="default"/>
        </w:rPr>
      </w:pPr>
      <w:bookmarkStart w:id="24" w:name="_Toc242885445"/>
      <w:r>
        <w:t>5.1 验证原则与对照设置</w:t>
      </w:r>
      <w:bookmarkEnd w:id="24"/>
    </w:p>
    <w:p w14:paraId="58035DD3">
      <w:pPr>
        <w:snapToGrid w:val="0"/>
      </w:pPr>
      <w:r>
        <w:t>验证分别回答三个问题：工具数值是否正确，智能体是否按规则完成任务，方案在给定数据和假设下是否带来可测量改善。三个层次分别报告，避免把接口通过率写成节能效果，或把仿真可行率写成实船安全保证。</w:t>
      </w:r>
    </w:p>
    <w:p w14:paraId="143353C7">
      <w:pPr>
        <w:snapToGrid w:val="0"/>
      </w:pPr>
      <w:r>
        <w:t>实验在冻结数据与配置后进行。训练、验证、测试按来源或连续时间块隔离，同一窗口及高度重叠片段不能跨集合。模型选择只使用训练和验证数据，测试集保留至最终评估。指标按来源、工况和时间跨度分别统计，同时报告失败、域外和缺数据比例。</w:t>
      </w:r>
    </w:p>
    <w:p w14:paraId="1021B0E5">
      <w:pPr>
        <w:pStyle w:val="6"/>
        <w:keepNext/>
        <w:snapToGrid w:val="0"/>
        <w:jc w:val="center"/>
      </w:pPr>
      <w:r>
        <w:t>表5-1 分层验证计划</w:t>
      </w:r>
    </w:p>
    <w:tbl>
      <w:tblPr>
        <w:tblStyle w:val="1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814"/>
        <w:gridCol w:w="3231"/>
        <w:gridCol w:w="3458"/>
      </w:tblGrid>
      <w:tr w14:paraId="3803E3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E8EEF2"/>
            <w:vAlign w:val="center"/>
          </w:tcPr>
          <w:p w14:paraId="778BEC1F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对象</w:t>
            </w:r>
          </w:p>
        </w:tc>
        <w:tc>
          <w:tcPr>
            <w:tcW w:w="3231" w:type="dxa"/>
            <w:shd w:val="clear" w:color="auto" w:fill="E8EEF2"/>
            <w:vAlign w:val="center"/>
          </w:tcPr>
          <w:p w14:paraId="4DEE6489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对照或检查方法</w:t>
            </w:r>
          </w:p>
        </w:tc>
        <w:tc>
          <w:tcPr>
            <w:tcW w:w="3458" w:type="dxa"/>
            <w:shd w:val="clear" w:color="auto" w:fill="E8EEF2"/>
            <w:vAlign w:val="center"/>
          </w:tcPr>
          <w:p w14:paraId="4D93BE99">
            <w:pPr>
              <w:snapToGrid w:val="0"/>
              <w:spacing w:before="40" w:after="40"/>
              <w:ind w:firstLine="0"/>
              <w:jc w:val="left"/>
            </w:pPr>
            <w:r>
              <w:rPr>
                <w:b/>
              </w:rPr>
              <w:t>主要记录</w:t>
            </w:r>
          </w:p>
        </w:tc>
      </w:tr>
      <w:tr w14:paraId="247103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0847F33E">
            <w:pPr>
              <w:snapToGrid w:val="0"/>
              <w:spacing w:before="40" w:after="40"/>
              <w:ind w:firstLine="0"/>
              <w:jc w:val="left"/>
            </w:pPr>
            <w:r>
              <w:t>LSTM预测</w:t>
            </w:r>
          </w:p>
        </w:tc>
        <w:tc>
          <w:tcPr>
            <w:tcW w:w="3231" w:type="dxa"/>
            <w:vAlign w:val="center"/>
          </w:tcPr>
          <w:p w14:paraId="4B4B3FFB">
            <w:pPr>
              <w:snapToGrid w:val="0"/>
              <w:spacing w:before="40" w:after="40"/>
              <w:ind w:firstLine="0"/>
              <w:jc w:val="left"/>
            </w:pPr>
            <w:r>
              <w:t>持续值、简单功率回归及留出来源测试</w:t>
            </w:r>
          </w:p>
        </w:tc>
        <w:tc>
          <w:tcPr>
            <w:tcW w:w="3458" w:type="dxa"/>
            <w:vAlign w:val="center"/>
          </w:tcPr>
          <w:p w14:paraId="20E24B57">
            <w:pPr>
              <w:snapToGrid w:val="0"/>
              <w:spacing w:before="40" w:after="40"/>
              <w:ind w:firstLine="0"/>
              <w:jc w:val="left"/>
            </w:pPr>
            <w:r>
              <w:t>功率MAE/RMSE、电量误差、域外比例</w:t>
            </w:r>
          </w:p>
        </w:tc>
      </w:tr>
      <w:tr w14:paraId="50CE7A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E949704">
            <w:pPr>
              <w:snapToGrid w:val="0"/>
              <w:spacing w:before="40" w:after="40"/>
              <w:ind w:firstLine="0"/>
              <w:jc w:val="left"/>
            </w:pPr>
            <w:r>
              <w:t>DE航速优化</w:t>
            </w:r>
          </w:p>
        </w:tc>
        <w:tc>
          <w:tcPr>
            <w:tcW w:w="3231" w:type="dxa"/>
            <w:vAlign w:val="center"/>
          </w:tcPr>
          <w:p w14:paraId="457245FA">
            <w:pPr>
              <w:snapToGrid w:val="0"/>
              <w:spacing w:before="40" w:after="40"/>
              <w:ind w:firstLine="0"/>
              <w:jc w:val="left"/>
            </w:pPr>
            <w:r>
              <w:t>规则航速、可行等速、多种子运行</w:t>
            </w:r>
          </w:p>
        </w:tc>
        <w:tc>
          <w:tcPr>
            <w:tcW w:w="3458" w:type="dxa"/>
            <w:vAlign w:val="center"/>
          </w:tcPr>
          <w:p w14:paraId="4BF35346">
            <w:pPr>
              <w:snapToGrid w:val="0"/>
              <w:spacing w:before="40" w:after="40"/>
              <w:ind w:firstLine="0"/>
              <w:jc w:val="left"/>
            </w:pPr>
            <w:r>
              <w:t>同约束能耗、可行率、评价次数与耗时</w:t>
            </w:r>
          </w:p>
        </w:tc>
      </w:tr>
      <w:tr w14:paraId="66914C6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C4D948F">
            <w:pPr>
              <w:snapToGrid w:val="0"/>
              <w:spacing w:before="40" w:after="40"/>
              <w:ind w:firstLine="0"/>
              <w:jc w:val="left"/>
            </w:pPr>
            <w:r>
              <w:t>FDP供能分配</w:t>
            </w:r>
          </w:p>
        </w:tc>
        <w:tc>
          <w:tcPr>
            <w:tcW w:w="3231" w:type="dxa"/>
            <w:vAlign w:val="center"/>
          </w:tcPr>
          <w:p w14:paraId="674904F8">
            <w:pPr>
              <w:snapToGrid w:val="0"/>
              <w:spacing w:before="40" w:after="40"/>
              <w:ind w:firstLine="0"/>
              <w:jc w:val="left"/>
            </w:pPr>
            <w:r>
              <w:t>短时穷举、规则状态机、网格敏感性</w:t>
            </w:r>
          </w:p>
        </w:tc>
        <w:tc>
          <w:tcPr>
            <w:tcW w:w="3458" w:type="dxa"/>
            <w:vAlign w:val="center"/>
          </w:tcPr>
          <w:p w14:paraId="775081D2">
            <w:pPr>
              <w:snapToGrid w:val="0"/>
              <w:spacing w:before="40" w:after="40"/>
              <w:ind w:firstLine="0"/>
              <w:jc w:val="left"/>
            </w:pPr>
            <w:r>
              <w:t>代价、功率平衡、SOC、切换与计算量</w:t>
            </w:r>
          </w:p>
        </w:tc>
      </w:tr>
      <w:tr w14:paraId="79B961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6F2DC43E">
            <w:pPr>
              <w:snapToGrid w:val="0"/>
              <w:spacing w:before="40" w:after="40"/>
              <w:ind w:firstLine="0"/>
              <w:jc w:val="left"/>
            </w:pPr>
            <w:r>
              <w:t>三工具联调</w:t>
            </w:r>
          </w:p>
        </w:tc>
        <w:tc>
          <w:tcPr>
            <w:tcW w:w="3231" w:type="dxa"/>
            <w:vAlign w:val="center"/>
          </w:tcPr>
          <w:p w14:paraId="49CE65C6">
            <w:pPr>
              <w:snapToGrid w:val="0"/>
              <w:spacing w:before="40" w:after="40"/>
              <w:ind w:firstLine="0"/>
              <w:jc w:val="left"/>
            </w:pPr>
            <w:r>
              <w:t>统一夹具与独立复算</w:t>
            </w:r>
          </w:p>
        </w:tc>
        <w:tc>
          <w:tcPr>
            <w:tcW w:w="3458" w:type="dxa"/>
            <w:vAlign w:val="center"/>
          </w:tcPr>
          <w:p w14:paraId="0E234276">
            <w:pPr>
              <w:snapToGrid w:val="0"/>
              <w:spacing w:before="40" w:after="40"/>
              <w:ind w:firstLine="0"/>
              <w:jc w:val="left"/>
            </w:pPr>
            <w:r>
              <w:t>单位、时序、版本、反馈适用域</w:t>
            </w:r>
          </w:p>
        </w:tc>
      </w:tr>
      <w:tr w14:paraId="1BAB84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57CD857E">
            <w:pPr>
              <w:snapToGrid w:val="0"/>
              <w:spacing w:before="40" w:after="40"/>
              <w:ind w:firstLine="0"/>
              <w:jc w:val="left"/>
            </w:pPr>
            <w:r>
              <w:t>主智能体</w:t>
            </w:r>
          </w:p>
        </w:tc>
        <w:tc>
          <w:tcPr>
            <w:tcW w:w="3231" w:type="dxa"/>
            <w:vAlign w:val="center"/>
          </w:tcPr>
          <w:p w14:paraId="02871529">
            <w:pPr>
              <w:snapToGrid w:val="0"/>
              <w:spacing w:before="40" w:after="40"/>
              <w:ind w:firstLine="0"/>
              <w:jc w:val="left"/>
            </w:pPr>
            <w:r>
              <w:t>固定任务集、人工复核与故障注入</w:t>
            </w:r>
          </w:p>
        </w:tc>
        <w:tc>
          <w:tcPr>
            <w:tcW w:w="3458" w:type="dxa"/>
            <w:vAlign w:val="center"/>
          </w:tcPr>
          <w:p w14:paraId="134365F8">
            <w:pPr>
              <w:snapToGrid w:val="0"/>
              <w:spacing w:before="40" w:after="40"/>
              <w:ind w:firstLine="0"/>
              <w:jc w:val="left"/>
            </w:pPr>
            <w:r>
              <w:t>字段正确率、违规动作、恢复与答复一致性</w:t>
            </w:r>
          </w:p>
        </w:tc>
      </w:tr>
      <w:tr w14:paraId="129593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1814" w:type="dxa"/>
            <w:vAlign w:val="center"/>
          </w:tcPr>
          <w:p w14:paraId="1E0DF0CA">
            <w:pPr>
              <w:snapToGrid w:val="0"/>
              <w:spacing w:before="40" w:after="40"/>
              <w:ind w:firstLine="0"/>
              <w:jc w:val="left"/>
            </w:pPr>
            <w:r>
              <w:t>航中闭环</w:t>
            </w:r>
          </w:p>
        </w:tc>
        <w:tc>
          <w:tcPr>
            <w:tcW w:w="3231" w:type="dxa"/>
            <w:vAlign w:val="center"/>
          </w:tcPr>
          <w:p w14:paraId="17DB263D">
            <w:pPr>
              <w:snapToGrid w:val="0"/>
              <w:spacing w:before="40" w:after="40"/>
              <w:ind w:firstLine="0"/>
              <w:jc w:val="left"/>
            </w:pPr>
            <w:r>
              <w:t>有无重规划的同情景比较</w:t>
            </w:r>
          </w:p>
        </w:tc>
        <w:tc>
          <w:tcPr>
            <w:tcW w:w="3458" w:type="dxa"/>
            <w:vAlign w:val="center"/>
          </w:tcPr>
          <w:p w14:paraId="4D56B61F">
            <w:pPr>
              <w:snapToGrid w:val="0"/>
              <w:spacing w:before="40" w:after="40"/>
              <w:ind w:firstLine="0"/>
              <w:jc w:val="left"/>
            </w:pPr>
            <w:r>
              <w:t>任务完成、约束违规、方案变化与延迟</w:t>
            </w:r>
          </w:p>
        </w:tc>
      </w:tr>
    </w:tbl>
    <w:p w14:paraId="0F45F0CE">
      <w:pPr>
        <w:pStyle w:val="3"/>
        <w:snapToGrid w:val="0"/>
        <w:spacing w:before="120"/>
        <w:rPr>
          <w:rFonts w:hint="default"/>
        </w:rPr>
      </w:pPr>
      <w:bookmarkStart w:id="25" w:name="_Toc242885446"/>
      <w:r>
        <w:t>5.2 数值工具验证</w:t>
      </w:r>
      <w:bookmarkEnd w:id="25"/>
    </w:p>
    <w:p w14:paraId="0933BC65">
      <w:pPr>
        <w:snapToGrid w:val="0"/>
      </w:pPr>
      <w:r>
        <w:t>Tenergy同时评价功率点误差和区间电量误差。MAE、RMSE分别保留千瓦单位，电量误差保留千瓦时；相对误差只在真实电量高于事先设定的有效阈值时统计，避免停泊或接近零值造成失真。补充不同速度段、加减速阶段和预测跨度的误差分布，检查模型是否仅在常见巡航段表现良好。</w:t>
      </w:r>
    </w:p>
    <w:p w14:paraId="20CF32F4">
      <w:pPr>
        <w:snapToGrid w:val="0"/>
      </w:pPr>
      <w:r>
        <w:t>预测专项测试覆盖单条与批量一致性、不同候选长度、时间缺口、特征缺失、缓存失效和超出训练域。长时滚动预测单独与短时预测比较，记录误差随航程增长的变化。只有测试结果支持时才使用校准后的误差裕量，不随意添加缺乏依据的安全百分比。</w:t>
      </w:r>
    </w:p>
    <w:p w14:paraId="47E28053">
      <w:pPr>
        <w:snapToGrid w:val="0"/>
      </w:pPr>
      <w:r>
        <w:t>Tspeed在相同初始状态、期限和约束下与可行基线比较。基线本身不满足期限或电池约束时，不能计算其相对于新方案的节能率。每个情景运行多个预先登记的随机种子，记录最好、典型和失败结果，以及能耗、到达误差、约束违规、预测调用量和耗时分布。</w:t>
      </w:r>
    </w:p>
    <w:p w14:paraId="5761C725">
      <w:pPr>
        <w:snapToGrid w:val="0"/>
      </w:pPr>
      <w:r>
        <w:t>Tmanagement先验证单步能量平衡和SOC更新，再用短时穷举检验FDP累计代价与回溯路径。长航程对照规则状态机，比较损耗或使用成本、切换次数、SOC差异和计算资源；同时改变SOC网格与时间步长，观察结果和可行性是否稳定。代价函数中的惩罚值与真实能耗分开报告，不把综合目标降低直接称作电量节省。</w:t>
      </w:r>
    </w:p>
    <w:p w14:paraId="5D21ABDC">
      <w:pPr>
        <w:pStyle w:val="3"/>
        <w:snapToGrid w:val="0"/>
        <w:spacing w:before="120"/>
        <w:rPr>
          <w:rFonts w:hint="default"/>
        </w:rPr>
      </w:pPr>
      <w:bookmarkStart w:id="26" w:name="_Toc242885447"/>
      <w:r>
        <w:t>5.3 智能体与接口验证</w:t>
      </w:r>
      <w:bookmarkEnd w:id="26"/>
    </w:p>
    <w:p w14:paraId="6FCAF375">
      <w:pPr>
        <w:snapToGrid w:val="0"/>
      </w:pPr>
      <w:r>
        <w:t>任务理解测试覆盖标准表达、口语省略、错别字、地名简称、相对时间、临时改口和互相冲突的要求。人工标注规范字段及原文依据，检查模型是否正确提取、是否在歧义时追问，以及是否产生不存在的地点或工程参数。连续对话需检查新信息只更新相关字段。</w:t>
      </w:r>
    </w:p>
    <w:p w14:paraId="57EAB5DB">
      <w:pPr>
        <w:snapToGrid w:val="0"/>
      </w:pPr>
      <w:r>
        <w:t>调用测试覆盖无前置结果请求优化、引用旧快照、重复无进展动作、工具超时和损坏工件。验收关注非法动作是否被拒绝、拒绝原因是否反馈给模型、真实调用是否完整存档。联调固定覆盖完整成功、FDP拒绝后重搜、预测域外和缺少功率转换依据四类案例。</w:t>
      </w:r>
    </w:p>
    <w:p w14:paraId="624F7131">
      <w:pPr>
        <w:snapToGrid w:val="0"/>
      </w:pPr>
      <w:r>
        <w:t>人工等待与恢复测试覆盖取消、重复提交、旧选项过期和进程中断；事件测试覆盖推送断线、重连补发及界面刷新。检查点恢复后不得重复采用方案，前端状态必须能对应后台节点。最终答复测试以工具工件为真值，逐项核对关键数值、舍入、单位、引用和工程声明，并验证修正失败后的明确提示。</w:t>
      </w:r>
    </w:p>
    <w:p w14:paraId="1CB64E74">
      <w:pPr>
        <w:pStyle w:val="3"/>
        <w:snapToGrid w:val="0"/>
        <w:spacing w:before="120"/>
        <w:rPr>
          <w:rFonts w:hint="default"/>
        </w:rPr>
      </w:pPr>
      <w:bookmarkStart w:id="27" w:name="_Toc242885448"/>
      <w:r>
        <w:t>5.4 场景实验与消融分析</w:t>
      </w:r>
      <w:bookmarkEnd w:id="27"/>
    </w:p>
    <w:p w14:paraId="18EC6FF7">
      <w:pPr>
        <w:snapToGrid w:val="0"/>
      </w:pPr>
      <w:r>
        <w:t>场景实验从同一任务基准生成期限收紧、等待延长、初始状态变化和预测偏差等扰动。对每个情景分别运行原计划、具备监测但不重算的流程和完整重规划流程，比较剩余任务完成、约束违反、耗时及调整幅度。使用相同外部扰动和种子，保证差异来自处理方法。</w:t>
      </w:r>
    </w:p>
    <w:p w14:paraId="41901692">
      <w:pPr>
        <w:snapToGrid w:val="0"/>
      </w:pPr>
      <w:r>
        <w:t>消融实验分别去除FDP反馈、自然语言协商和答复数值校验，观察可行方案率、额外轮次和错误外显情况。去除功能的版本仅在受控试验中使用。实验同时统计失败类型，判断性能瓶颈来自预测误差、优化预算、数据缺项还是交互过程，避免把所有失败归因于模型能力。</w:t>
      </w:r>
    </w:p>
    <w:p w14:paraId="4FBEAF96">
      <w:pPr>
        <w:snapToGrid w:val="0"/>
      </w:pPr>
      <w:r>
        <w:t>用户试用先采用情景任务与操作观察，记录船员或具备相关背景的测试者完成任务所需时间、追问次数、对方案的理解和对过程记录的使用情况。参与人数、任务数量及统计结果以实际记录为准，当前不填入未经开展的满意度或识别准确率。</w:t>
      </w:r>
    </w:p>
    <w:p w14:paraId="6162F172">
      <w:pPr>
        <w:pStyle w:val="3"/>
        <w:snapToGrid w:val="0"/>
        <w:spacing w:before="120"/>
        <w:rPr>
          <w:rFonts w:hint="default"/>
        </w:rPr>
      </w:pPr>
      <w:bookmarkStart w:id="28" w:name="_Toc242885449"/>
      <w:r>
        <w:t>5.5 现有证据与结果报告</w:t>
      </w:r>
      <w:bookmarkEnd w:id="28"/>
    </w:p>
    <w:p w14:paraId="2BD58818">
      <w:pPr>
        <w:snapToGrid w:val="0"/>
      </w:pPr>
      <w:r>
        <w:t>仓库保留的D5冻结材料记录了40个早期软件演示案例，其中32例被旧演示规则判断为可行，8例因其SOC检查失败[6]。这一材料用于确认旧流程具有可复查的测试入口和结果记录。其功率来自合成关系，采用固定速度候选及合并电池状态，因此不能证明新LSTM、DE或双电池FDP的效果，也不能作为实船节能试验。</w:t>
      </w:r>
    </w:p>
    <w:p w14:paraId="39D2C6DA">
      <w:pPr>
        <w:snapToGrid w:val="0"/>
      </w:pPr>
      <w:r>
        <w:t>正式研究系统尚需完成工具实现、联调和本章实验。每份新报告应明确软件版本、数据来源、假设、样本数、基线、指标定义和失败案例，并附可重跑配置。凡是没有测得的效果保持为验证计划；图表中区分真实观测、模型预测与仿真轨迹，不以示意曲线替代实验结果。</w:t>
      </w:r>
    </w:p>
    <w:p w14:paraId="662373A2">
      <w:pPr>
        <w:snapToGrid w:val="0"/>
      </w:pPr>
      <w:r>
        <w:t>附带的“系统前端演示视频”长约66秒，抽帧可见模拟验证台、环境参数输入、前端任务提交、方案展示及台架执行画面；“船端部署测试视频”长约30秒，可见驾驶台设备、操作与航行场景[10]。视频作为前期功能展示和现场测试的影像资料归档。新算法的预测误差、能耗改善和双电池约束符合性，仍需以绑定软件版本、任务输入和时序日志的实验记录验证。</w:t>
      </w:r>
    </w:p>
    <w:p w14:paraId="7917F0E7">
      <w:pPr>
        <w:pStyle w:val="2"/>
        <w:snapToGrid w:val="0"/>
        <w:spacing w:before="120"/>
      </w:pPr>
      <w:bookmarkStart w:id="29" w:name="_Toc242885450"/>
      <w:r>
        <w:t>6 应用效果与成果</w:t>
      </w:r>
      <w:bookmarkEnd w:id="29"/>
    </w:p>
    <w:p w14:paraId="2681D311">
      <w:pPr>
        <w:pStyle w:val="3"/>
        <w:snapToGrid w:val="0"/>
        <w:spacing w:before="120"/>
        <w:rPr>
          <w:rFonts w:hint="default"/>
        </w:rPr>
      </w:pPr>
      <w:bookmarkStart w:id="30" w:name="_Toc242885451"/>
      <w:r>
        <w:t>6.1 已形成的项目成果</w:t>
      </w:r>
      <w:bookmarkEnd w:id="30"/>
    </w:p>
    <w:p w14:paraId="5D8B0479">
      <w:pPr>
        <w:snapToGrid w:val="0"/>
      </w:pPr>
      <w:r>
        <w:t>现阶段成果主要是研究资料与工程设计资产：船舶调研和历史航行数据已纳入核验，项目路线已明确到主智能体职责和五工具分工，三项数值工具已形成任务书，图结构及联调接口给出了输入输出、失败语义和验证要求。这些成果为分工开发和后续实验提供依据，不能替代算法完成度和性能证据。</w:t>
      </w:r>
    </w:p>
    <w:p w14:paraId="393772DE">
      <w:pPr>
        <w:snapToGrid w:val="0"/>
      </w:pPr>
      <w:r>
        <w:t>前期工作已积累软件演示、模拟验证台演示及船端现场测试影像，并保存工程代码资料包。现有附件还提供了四项相关发明专利的流程通知、三项课题组软件著作权登记证书和一份盖章合作意向书[7-10]。这些材料分别支撑前期研究积累、软件研发基础和合作条件；新版系统的独立双电池状态、LSTM批量预测、DE求解、FDP回溯与主智能体动作循环仍按第四章逐项实现和验收。</w:t>
      </w:r>
    </w:p>
    <w:p w14:paraId="1F3E917B">
      <w:pPr>
        <w:snapToGrid w:val="0"/>
      </w:pPr>
      <w:r>
        <w:t>四项专利材料中，两项为申请受理通知，一项为申请公布通知，一项为进入实质审查阶段通知，当前所提供材料均不是授权证书。三项软件著作权分别对应船舶航速优化系统、船舶能效与运维智能监测系统和船舶能效在线监测系统，属于所依托课题组的既有成果。本文不将这些早期软件登记解释为当前LangGraph研究系统已取得登记，专利名称与通知阶段见第8.4节。</w:t>
      </w:r>
    </w:p>
    <w:p w14:paraId="3E5FE590">
      <w:pPr>
        <w:snapToGrid w:val="0"/>
      </w:pPr>
      <w:r>
        <w:t>2026年7月18日的合作意向书提出船舶状态数据接入、模块联调、船端部署和试验支持等合作方向[9]，为后续验证提供合作基础。该意向书形成于旧版方案阶段，本文只引用其中的合作意向与场景条件，当前模型、工具和编排路线以第三章为准；合作意向不作为已经完成实船节能验收或形成运营收益的证据。</w:t>
      </w:r>
    </w:p>
    <w:p w14:paraId="7FF6A2E5">
      <w:pPr>
        <w:pStyle w:val="3"/>
        <w:snapToGrid w:val="0"/>
        <w:spacing w:before="120"/>
        <w:rPr>
          <w:rFonts w:hint="default"/>
        </w:rPr>
      </w:pPr>
      <w:bookmarkStart w:id="31" w:name="_Toc242885452"/>
      <w:r>
        <w:t>6.2 预期应用价值及评价方式</w:t>
      </w:r>
      <w:bookmarkEnd w:id="31"/>
    </w:p>
    <w:p w14:paraId="33D42660">
      <w:pPr>
        <w:snapToGrid w:val="0"/>
      </w:pPr>
      <w:r>
        <w:t>对船员，系统预期减少反复查表和重复填报，使到达要求、航速安排和电量约束能够在同一任务中讨论。其价值通过任务完成时间、字段补充次数、误解与误操作记录评价。对运营与研究人员，系统预期提供同条件方案比较、失败原因追溯和模型版本复核，价值通过复算成功率与问题定位成本评价。</w:t>
      </w:r>
    </w:p>
    <w:p w14:paraId="6CD0FC07">
      <w:pPr>
        <w:snapToGrid w:val="0"/>
      </w:pPr>
      <w:r>
        <w:t>节能价值需要在同一航程、同一任务约束及可比外部条件下评价，不能只比较不同航次的总电量。历史数据支持预测检验，软件仿真支持受控比较，实际运营收益仍需在取得接入与试验条件后验证。经济收益还需实际电价、运行频次和运维成本，环境收益需相应排放因子，现阶段不做无来源金额或减排量承诺。</w:t>
      </w:r>
    </w:p>
    <w:p w14:paraId="28617981">
      <w:pPr>
        <w:pStyle w:val="3"/>
        <w:snapToGrid w:val="0"/>
        <w:spacing w:before="120"/>
        <w:rPr>
          <w:rFonts w:hint="default"/>
        </w:rPr>
      </w:pPr>
      <w:bookmarkStart w:id="32" w:name="_Toc242885453"/>
      <w:r>
        <w:t>6.3 推广条件与实施路径</w:t>
      </w:r>
      <w:bookmarkEnd w:id="32"/>
    </w:p>
    <w:p w14:paraId="3E7EFF23">
      <w:pPr>
        <w:snapToGrid w:val="0"/>
      </w:pPr>
      <w:r>
        <w:t>首阶段围绕豫交投001资料建立可复现研究系统，确保任务、工具和证据闭环成立。第二阶段扩展数据覆盖和软件仿真情景，检验不同载况、等待条件及状态误差。后续具备实船接口条件时，先开展只读取数据的并行验证，将建议与实际运行记录比较，再评估使用范围。</w:t>
      </w:r>
    </w:p>
    <w:p w14:paraId="290EC12D">
      <w:pPr>
        <w:snapToGrid w:val="0"/>
      </w:pPr>
      <w:r>
        <w:t>推广到其他船舶时，需要重新核实航线事实、功率边界、电池参数和数据字段，并验证或重建预测模型。智能体接口和过程管理可以复用，数值模型和安全参数不能未经验证直接搬用。系统价值取决于数据质量、算法适用性和船员使用流程共同成立。</w:t>
      </w:r>
    </w:p>
    <w:p w14:paraId="36159E8F">
      <w:pPr>
        <w:pStyle w:val="2"/>
        <w:snapToGrid w:val="0"/>
        <w:spacing w:before="120"/>
      </w:pPr>
      <w:bookmarkStart w:id="33" w:name="_Toc242885454"/>
      <w:r>
        <w:t>7 总结与展望</w:t>
      </w:r>
      <w:bookmarkEnd w:id="33"/>
    </w:p>
    <w:p w14:paraId="7670AB2A">
      <w:pPr>
        <w:pStyle w:val="3"/>
        <w:snapToGrid w:val="0"/>
        <w:spacing w:before="120"/>
        <w:rPr>
          <w:rFonts w:hint="default"/>
        </w:rPr>
      </w:pPr>
      <w:bookmarkStart w:id="34" w:name="_Toc242885455"/>
      <w:r>
        <w:t>7.1 项目总结</w:t>
      </w:r>
      <w:bookmarkEnd w:id="34"/>
    </w:p>
    <w:p w14:paraId="5B635494">
      <w:pPr>
        <w:snapToGrid w:val="0"/>
      </w:pPr>
      <w:r>
        <w:t>智行合一围绕内河电动船舶任务规划，提出由API大语言模型、LangGraph运行图和五工具组成的研究系统。模型负责理解任务、请求动作、解释取舍和生成第一手方案；专业工具负责数据与数值计算；规则负责前置条件、版本和工程结果校验；船员负责存在任务取舍的确认。</w:t>
      </w:r>
    </w:p>
    <w:p w14:paraId="0CB0A861">
      <w:pPr>
        <w:snapToGrid w:val="0"/>
      </w:pPr>
      <w:r>
        <w:t>当前方案已经明确预测、航速和双电池管理的技术路线，以及追问、异常协商、航中重规划和过程展示的实现关系。下一阶段的核心工作是按统一接口完成LSTM、DE、FDP及主图集成，使用独立数据、共同数值口径和可复现情景检验其有效性。</w:t>
      </w:r>
    </w:p>
    <w:p w14:paraId="70385951">
      <w:pPr>
        <w:pStyle w:val="3"/>
        <w:snapToGrid w:val="0"/>
        <w:spacing w:before="120"/>
        <w:rPr>
          <w:rFonts w:hint="default"/>
        </w:rPr>
      </w:pPr>
      <w:bookmarkStart w:id="35" w:name="_Toc242885456"/>
      <w:r>
        <w:t>7.2 局限与后续研究</w:t>
      </w:r>
      <w:bookmarkEnd w:id="35"/>
    </w:p>
    <w:p w14:paraId="3CC76E97">
      <w:pPr>
        <w:snapToGrid w:val="0"/>
      </w:pPr>
      <w:r>
        <w:t>现有数据来源和工况覆盖有限，部分环境字段、测量边界与电池状态尚需补充核实。预测模型的跨航次泛化、DE与FDP联合计算的实时性，以及软件仿真与实际航行之间的差异，都需要实验回答。系统不能将语言表达的完整性等同于工程结论的可靠性。</w:t>
      </w:r>
    </w:p>
    <w:p w14:paraId="49EA5B90">
      <w:pPr>
        <w:snapToGrid w:val="0"/>
      </w:pPr>
      <w:r>
        <w:t>后续研究优先补足影响完整方案的关键参数和工况数据，开展长时预测、状态网格与反馈策略实验，并通过情景试用改进提示和过程展示。充电扩展、更多优化目标及实船接口按独立功能验收后逐步纳入。成果表述始终随证据更新，使项目从设计、实现到验证保持一致。</w:t>
      </w:r>
    </w:p>
    <w:p w14:paraId="3EC792CE">
      <w:pPr>
        <w:pStyle w:val="2"/>
        <w:snapToGrid w:val="0"/>
        <w:spacing w:before="120"/>
      </w:pPr>
      <w:bookmarkStart w:id="36" w:name="_Toc242885457"/>
      <w:r>
        <w:t>8 附录</w:t>
      </w:r>
      <w:bookmarkEnd w:id="36"/>
    </w:p>
    <w:p w14:paraId="0957CD78">
      <w:pPr>
        <w:pStyle w:val="3"/>
        <w:snapToGrid w:val="0"/>
        <w:spacing w:before="120"/>
        <w:rPr>
          <w:rFonts w:hint="default"/>
        </w:rPr>
      </w:pPr>
      <w:bookmarkStart w:id="37" w:name="_Toc242885458"/>
      <w:r>
        <w:t>8.1 参考文献与资料</w:t>
      </w:r>
      <w:bookmarkEnd w:id="37"/>
    </w:p>
    <w:p w14:paraId="087225E6">
      <w:pPr>
        <w:snapToGrid w:val="0"/>
        <w:ind w:firstLine="0"/>
        <w:jc w:val="left"/>
      </w:pPr>
      <w:r>
        <w:t>[1] 交通运输部等. 智能航运2030行动计划[EB/OL]. 交海发〔2026〕15号, 2026. https://xxgk.mot.gov.cn/jigou/haishi/202603/t20260330_4202678.html（访问日期：2026-10-14）.</w:t>
      </w:r>
    </w:p>
    <w:p w14:paraId="1E24AFF7">
      <w:pPr>
        <w:snapToGrid w:val="0"/>
        <w:ind w:firstLine="0"/>
        <w:jc w:val="left"/>
      </w:pPr>
      <w:r>
        <w:t>[2] 刘汉有. 内河船舶航速与能量管理协同优化方法与试验研究[D]. 2026. 项目提供的学位论文稿，文件版本0324. 本文引用其数值工具方法，未引用其试验结果作为本项目成果.</w:t>
      </w:r>
    </w:p>
    <w:p w14:paraId="007F4E2E">
      <w:pPr>
        <w:snapToGrid w:val="0"/>
        <w:ind w:firstLine="0"/>
        <w:jc w:val="left"/>
      </w:pPr>
      <w:r>
        <w:t>[3] 项目调研资料. 豫交投001纯电动船调研报告[Z]. 2025-08-01. 项目内部资料.</w:t>
      </w:r>
    </w:p>
    <w:p w14:paraId="2EE6FE13">
      <w:pPr>
        <w:snapToGrid w:val="0"/>
        <w:ind w:firstLine="0"/>
        <w:jc w:val="left"/>
      </w:pPr>
      <w:r>
        <w:t>[4] LangChain. LangGraph overview[EB/OL]. https://docs.langchain.com/oss/python/langgraph/overview（访问日期：2026-10-14）.</w:t>
      </w:r>
    </w:p>
    <w:p w14:paraId="6EADDDB1">
      <w:pPr>
        <w:snapToGrid w:val="0"/>
        <w:ind w:firstLine="0"/>
        <w:jc w:val="left"/>
      </w:pPr>
      <w:r>
        <w:t>[5] 项目研究资料. 历史航行数据核验记录及Tenergy任务书[Z]. 当前项目版本. 数据统计采用文件清理记录口径，来源之间不视为同一航次.</w:t>
      </w:r>
    </w:p>
    <w:p w14:paraId="1F1EBCE3">
      <w:pPr>
        <w:snapToGrid w:val="0"/>
        <w:ind w:firstLine="0"/>
        <w:jc w:val="left"/>
      </w:pPr>
      <w:r>
        <w:t>[6] 项目验证资料. D5测试与验证冻结证据[Z]. 仓库归档版本. 仅用于早期软件演示基线.</w:t>
      </w:r>
    </w:p>
    <w:p w14:paraId="794109C8">
      <w:pPr>
        <w:snapToGrid w:val="0"/>
        <w:ind w:firstLine="0"/>
        <w:jc w:val="left"/>
      </w:pPr>
      <w:r>
        <w:t>[7] 项目前期相关成果. 四项发明专利流程通知[Z]. 所提供通知日期分别为2026-03-27、2026-06-18、2026-07-24和2026-09-04. 具体名称与阶段见第8.4节.</w:t>
      </w:r>
    </w:p>
    <w:p w14:paraId="4F213C22">
      <w:pPr>
        <w:snapToGrid w:val="0"/>
        <w:ind w:firstLine="0"/>
        <w:jc w:val="left"/>
      </w:pPr>
      <w:r>
        <w:t>[8] 依托课题组相关成果. 船舶航速优化系统V1.0、船舶能效与运维智能监测系统V1.0、船舶能效在线监测系统V1.0软件著作权登记证书[Z]. 2022、2025.</w:t>
      </w:r>
    </w:p>
    <w:p w14:paraId="490CD591">
      <w:pPr>
        <w:snapToGrid w:val="0"/>
        <w:ind w:firstLine="0"/>
        <w:jc w:val="left"/>
      </w:pPr>
      <w:r>
        <w:t>[9] 项目合作资料. 智行合一大语言模型驱动的船舶能效优化智能体合作意向书[Z]. 2026-07-18.</w:t>
      </w:r>
    </w:p>
    <w:p w14:paraId="0C6A0720">
      <w:pPr>
        <w:snapToGrid w:val="0"/>
        <w:ind w:firstLine="0"/>
        <w:jc w:val="left"/>
      </w:pPr>
      <w:r>
        <w:t>[10] 项目前期工程资料. 系统前端演示视频、船端部署测试视频及工程代码资料包[Z]. 代码包归档标识20260925. 视频拍摄日期及对应提交版本未在文件中明确.</w:t>
      </w:r>
    </w:p>
    <w:p w14:paraId="5AA01C3B">
      <w:pPr>
        <w:pStyle w:val="3"/>
        <w:snapToGrid w:val="0"/>
        <w:spacing w:before="120"/>
        <w:rPr>
          <w:rFonts w:hint="default"/>
        </w:rPr>
      </w:pPr>
      <w:bookmarkStart w:id="38" w:name="_Toc242885459"/>
      <w:r>
        <w:t>8.2 项目文档与交付索引</w:t>
      </w:r>
      <w:bookmarkEnd w:id="38"/>
    </w:p>
    <w:p w14:paraId="4B67F9D2">
      <w:pPr>
        <w:snapToGrid w:val="0"/>
      </w:pPr>
      <w:r>
        <w:t>项目论文方案稿.md用于定义完整研究路线与工程边界；Agent图结构计划.md用于定义主图节点、状态、路由、人工等待与异常出口；五工具联调接口_v2.md用于定义调用信封、时序单位、两组电池、功率边界和版本关联。三个数值工具的详细实现及验收分别见工具任务书目录中的Tenergy、Tspeed和Tmanagement任务书。</w:t>
      </w:r>
    </w:p>
    <w:p w14:paraId="6EE7C6D3">
      <w:pPr>
        <w:snapToGrid w:val="0"/>
      </w:pPr>
      <w:r>
        <w:t>开发交付包括机器可读接口、合法与非法样例、模型及预处理工件、工具运行入口、固定联调夹具、独立检查报告和复现配置。事件与结果工件应按任务和方案版本关联，能够从自然语言答复追溯到具体调用和原始来源。正文中的图3-1至图3-4均为本项目目标系统设计示意，不代表已经完成的部署或实测结果。</w:t>
      </w:r>
    </w:p>
    <w:p w14:paraId="4CC38F2D">
      <w:pPr>
        <w:pStyle w:val="3"/>
        <w:snapToGrid w:val="0"/>
        <w:spacing w:before="120"/>
        <w:rPr>
          <w:rFonts w:hint="default"/>
        </w:rPr>
      </w:pPr>
      <w:bookmarkStart w:id="39" w:name="_Toc242885460"/>
      <w:r>
        <w:t>8.3 名词与结果口径</w:t>
      </w:r>
      <w:bookmarkEnd w:id="39"/>
    </w:p>
    <w:p w14:paraId="05589B60">
      <w:pPr>
        <w:snapToGrid w:val="0"/>
      </w:pPr>
      <w:r>
        <w:t>SOC表示荷电状态，接口内部取值为0至1，面向用户可显示为百分数。电机侧功率指Tenergy预测的推进功率边界；母线需求指经共享转换模块处理并合并辅助负载后的供能需求。两者必须明确区分，不能直接混算效率或与不同边界的设备限值比较。</w:t>
      </w:r>
    </w:p>
    <w:p w14:paraId="334D662D">
      <w:pPr>
        <w:snapToGrid w:val="0"/>
      </w:pPr>
      <w:r>
        <w:t>可行候选指搜索阶段找到的候选轨迹；已校验方案指航速、双电池管理及独立检查均通过的同版结果；采用方案指经选择进入当前执行参考的版本。上述状态均受数据来源、研究假设、模型适用范围和约束配置限制。模型答复另有校验状态，正文通过与否不改变已存档的工具结果。</w:t>
      </w:r>
    </w:p>
    <w:p w14:paraId="3B559DF2">
      <w:pPr>
        <w:pStyle w:val="3"/>
        <w:snapToGrid w:val="0"/>
        <w:spacing w:before="120"/>
        <w:rPr>
          <w:rFonts w:hint="default"/>
        </w:rPr>
      </w:pPr>
      <w:bookmarkStart w:id="40" w:name="_Toc242885461"/>
      <w:r>
        <w:t>8.4 前期成果与附加材料索引</w:t>
      </w:r>
      <w:bookmarkEnd w:id="40"/>
    </w:p>
    <w:p w14:paraId="5E991F55">
      <w:pPr>
        <w:snapToGrid w:val="0"/>
      </w:pPr>
      <w:r>
        <w:t>附加材料按项目相关前期成果、课题组支撑成果和历史工程资料分别归档。表8-1仅陈述所提供通知的名称、阶段与日期，不推定其后的法律状态。原始证书及通知另行保存，本匿名作品方案不嵌入带学校、申请人、发明人及联系方式的扫描件。</w:t>
      </w:r>
    </w:p>
    <w:p w14:paraId="3353F897">
      <w:pPr>
        <w:pStyle w:val="6"/>
        <w:keepNext/>
        <w:snapToGrid w:val="0"/>
        <w:jc w:val="center"/>
      </w:pPr>
      <w:r>
        <w:t>表8-1 前期相关专利材料核验</w:t>
      </w:r>
    </w:p>
    <w:tbl>
      <w:tblPr>
        <w:tblStyle w:val="15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535"/>
        <w:gridCol w:w="1984"/>
        <w:gridCol w:w="1984"/>
      </w:tblGrid>
      <w:tr w14:paraId="423CB1F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  <w:tblHeader/>
        </w:trPr>
        <w:tc>
          <w:tcPr>
            <w:tcW w:w="4535" w:type="dxa"/>
            <w:shd w:val="clear" w:color="auto" w:fill="E8EEF2"/>
            <w:vAlign w:val="center"/>
          </w:tcPr>
          <w:p w14:paraId="3774843C">
            <w:pPr>
              <w:spacing w:before="40" w:after="40"/>
              <w:ind w:firstLine="0"/>
              <w:jc w:val="left"/>
            </w:pPr>
            <w:r>
              <w:rPr>
                <w:b/>
              </w:rPr>
              <w:t>专利名称</w:t>
            </w:r>
          </w:p>
        </w:tc>
        <w:tc>
          <w:tcPr>
            <w:tcW w:w="1984" w:type="dxa"/>
            <w:shd w:val="clear" w:color="auto" w:fill="E8EEF2"/>
            <w:vAlign w:val="center"/>
          </w:tcPr>
          <w:p w14:paraId="0C01C14D">
            <w:pPr>
              <w:spacing w:before="40" w:after="40"/>
              <w:ind w:firstLine="0"/>
              <w:jc w:val="left"/>
            </w:pPr>
            <w:r>
              <w:rPr>
                <w:b/>
              </w:rPr>
              <w:t>材料所示阶段</w:t>
            </w:r>
          </w:p>
        </w:tc>
        <w:tc>
          <w:tcPr>
            <w:tcW w:w="1984" w:type="dxa"/>
            <w:shd w:val="clear" w:color="auto" w:fill="E8EEF2"/>
            <w:vAlign w:val="center"/>
          </w:tcPr>
          <w:p w14:paraId="3A614FBC">
            <w:pPr>
              <w:spacing w:before="40" w:after="40"/>
              <w:ind w:firstLine="0"/>
              <w:jc w:val="left"/>
            </w:pPr>
            <w:r>
              <w:rPr>
                <w:b/>
              </w:rPr>
              <w:t>通知日期</w:t>
            </w:r>
          </w:p>
        </w:tc>
      </w:tr>
      <w:tr w14:paraId="23F3C5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4535" w:type="dxa"/>
            <w:vAlign w:val="center"/>
          </w:tcPr>
          <w:p w14:paraId="2D8351CE">
            <w:pPr>
              <w:spacing w:before="40" w:after="40"/>
              <w:ind w:firstLine="0"/>
              <w:jc w:val="left"/>
            </w:pPr>
            <w:r>
              <w:t>基于端到端多任务学习的船舶航速自适应优化方法及系统</w:t>
            </w:r>
          </w:p>
        </w:tc>
        <w:tc>
          <w:tcPr>
            <w:tcW w:w="1984" w:type="dxa"/>
            <w:vAlign w:val="center"/>
          </w:tcPr>
          <w:p w14:paraId="21E60ADA">
            <w:pPr>
              <w:spacing w:before="40" w:after="40"/>
              <w:ind w:firstLine="0"/>
              <w:jc w:val="left"/>
            </w:pPr>
            <w:r>
              <w:t>进入实质审查阶段</w:t>
            </w:r>
          </w:p>
        </w:tc>
        <w:tc>
          <w:tcPr>
            <w:tcW w:w="1984" w:type="dxa"/>
            <w:vAlign w:val="center"/>
          </w:tcPr>
          <w:p w14:paraId="113B1DD2">
            <w:pPr>
              <w:spacing w:before="40" w:after="40"/>
              <w:ind w:firstLine="0"/>
              <w:jc w:val="left"/>
            </w:pPr>
            <w:r>
              <w:t>2026-09-04</w:t>
            </w:r>
          </w:p>
        </w:tc>
      </w:tr>
      <w:tr w14:paraId="49C58E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4535" w:type="dxa"/>
            <w:vAlign w:val="center"/>
          </w:tcPr>
          <w:p w14:paraId="59F9F763">
            <w:pPr>
              <w:spacing w:before="40" w:after="40"/>
              <w:ind w:firstLine="0"/>
              <w:jc w:val="left"/>
            </w:pPr>
            <w:r>
              <w:t>机理约束的船舶能效数据异常检测智能体构建方法</w:t>
            </w:r>
          </w:p>
        </w:tc>
        <w:tc>
          <w:tcPr>
            <w:tcW w:w="1984" w:type="dxa"/>
            <w:vAlign w:val="center"/>
          </w:tcPr>
          <w:p w14:paraId="65947DD5">
            <w:pPr>
              <w:spacing w:before="40" w:after="40"/>
              <w:ind w:firstLine="0"/>
              <w:jc w:val="left"/>
            </w:pPr>
            <w:r>
              <w:t>申请受理</w:t>
            </w:r>
          </w:p>
        </w:tc>
        <w:tc>
          <w:tcPr>
            <w:tcW w:w="1984" w:type="dxa"/>
            <w:vAlign w:val="center"/>
          </w:tcPr>
          <w:p w14:paraId="0CAC51AA">
            <w:pPr>
              <w:spacing w:before="40" w:after="40"/>
              <w:ind w:firstLine="0"/>
              <w:jc w:val="left"/>
            </w:pPr>
            <w:r>
              <w:t>2026-06-18</w:t>
            </w:r>
          </w:p>
        </w:tc>
      </w:tr>
      <w:tr w14:paraId="71B57D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4535" w:type="dxa"/>
            <w:vAlign w:val="center"/>
          </w:tcPr>
          <w:p w14:paraId="3B05D520">
            <w:pPr>
              <w:spacing w:before="40" w:after="40"/>
              <w:ind w:firstLine="0"/>
              <w:jc w:val="left"/>
            </w:pPr>
            <w:r>
              <w:t>基于自学习算法的船舶航速智能动态优化方法、系统、设备及介质</w:t>
            </w:r>
          </w:p>
        </w:tc>
        <w:tc>
          <w:tcPr>
            <w:tcW w:w="1984" w:type="dxa"/>
            <w:vAlign w:val="center"/>
          </w:tcPr>
          <w:p w14:paraId="69CE129A">
            <w:pPr>
              <w:spacing w:before="40" w:after="40"/>
              <w:ind w:firstLine="0"/>
              <w:jc w:val="left"/>
            </w:pPr>
            <w:r>
              <w:t>申请公布</w:t>
            </w:r>
          </w:p>
        </w:tc>
        <w:tc>
          <w:tcPr>
            <w:tcW w:w="1984" w:type="dxa"/>
            <w:vAlign w:val="center"/>
          </w:tcPr>
          <w:p w14:paraId="21AC7FF4">
            <w:pPr>
              <w:spacing w:before="40" w:after="40"/>
              <w:ind w:firstLine="0"/>
              <w:jc w:val="left"/>
            </w:pPr>
            <w:r>
              <w:t>2026-03-27</w:t>
            </w:r>
          </w:p>
        </w:tc>
      </w:tr>
      <w:tr w14:paraId="55B3C6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cantSplit/>
        </w:trPr>
        <w:tc>
          <w:tcPr>
            <w:tcW w:w="4535" w:type="dxa"/>
            <w:vAlign w:val="center"/>
          </w:tcPr>
          <w:p w14:paraId="5AA014C5">
            <w:pPr>
              <w:spacing w:before="40" w:after="40"/>
              <w:ind w:firstLine="0"/>
              <w:jc w:val="left"/>
            </w:pPr>
            <w:r>
              <w:t>基于大语言模型的船舶航速智能优化方法及系统</w:t>
            </w:r>
          </w:p>
        </w:tc>
        <w:tc>
          <w:tcPr>
            <w:tcW w:w="1984" w:type="dxa"/>
            <w:vAlign w:val="center"/>
          </w:tcPr>
          <w:p w14:paraId="4A49C0C7">
            <w:pPr>
              <w:spacing w:before="40" w:after="40"/>
              <w:ind w:firstLine="0"/>
              <w:jc w:val="left"/>
            </w:pPr>
            <w:r>
              <w:t>申请受理</w:t>
            </w:r>
          </w:p>
        </w:tc>
        <w:tc>
          <w:tcPr>
            <w:tcW w:w="1984" w:type="dxa"/>
            <w:vAlign w:val="center"/>
          </w:tcPr>
          <w:p w14:paraId="0A756BC3">
            <w:pPr>
              <w:spacing w:before="40" w:after="40"/>
              <w:ind w:firstLine="0"/>
              <w:jc w:val="left"/>
            </w:pPr>
            <w:r>
              <w:t>2026-07-24</w:t>
            </w:r>
          </w:p>
        </w:tc>
      </w:tr>
    </w:tbl>
    <w:p w14:paraId="6CD97C1D">
      <w:pPr>
        <w:snapToGrid w:val="0"/>
      </w:pPr>
      <w:r>
        <w:t>课题组支撑材料还包括船舶航速优化综述、燃料电池与电池混合动力能量管理、分层分布式MPC和动态工况油耗预测验证等四篇论文的首页。它们说明相关研究积累，可供背景与实验方法学习；本文的双电池工具仍采用第3.3.5节确定的FDP，不因补充材料而改用其他技术路线。</w:t>
      </w:r>
    </w:p>
    <w:p w14:paraId="6E7B573F">
      <w:pPr>
        <w:snapToGrid w:val="0"/>
      </w:pPr>
      <w:r>
        <w:t>工程资料包“智行合一-工程代码资料-20260925.zip”保留早期源码、配置和测试入口，其说明将运行结果标为软件演示，并使用固定候选航速等旧实现。两段视频与该资料包分别保留原文件，复核时需补充相应软件版本和运行日志，不能仅凭相近的界面外观认定视频与某次代码提交完全对应。</w:t>
      </w:r>
    </w:p>
    <w:p w14:paraId="0CCF0FB0">
      <w:pPr>
        <w:snapToGrid w:val="0"/>
      </w:pPr>
      <w:r>
        <w:t>项目申报材料与科技查新材料现有副本均为单页封面。申报封面可作为前期研究组织资料，尚不足以证明国家级立项；查新封面可证明相应报告资料的存在，尚不足以引用具体查新结论。正式补充成果证明时，应使用完整的立项通知或查新结论页，并核对其与当前项目范围的关系。</w:t>
      </w:r>
    </w:p>
    <w:sectPr>
      <w:headerReference r:id="rId9" w:type="default"/>
      <w:footerReference r:id="rId10" w:type="default"/>
      <w:pgSz w:w="11906" w:h="16838"/>
      <w:pgMar w:top="1417" w:right="1701" w:bottom="1417" w:left="1701" w:header="850" w:footer="850" w:gutter="0"/>
      <w:pgNumType w:start="1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B2357">
    <w:pPr>
      <w:snapToGrid w:val="0"/>
      <w:ind w:firstLine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56A96">
    <w:pPr>
      <w:pStyle w:val="8"/>
      <w:ind w:firstLine="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I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F39C6">
    <w:pPr>
      <w:pStyle w:val="8"/>
      <w:ind w:firstLine="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2BBBD1">
    <w:pPr>
      <w:pBdr>
        <w:bottom w:val="single" w:color="auto" w:sz="4" w:space="0"/>
      </w:pBdr>
      <w:tabs>
        <w:tab w:val="center" w:pos="4153"/>
        <w:tab w:val="right" w:pos="8306"/>
      </w:tabs>
      <w:ind w:firstLine="0"/>
      <w:jc w:val="left"/>
    </w:pPr>
    <w:r>
      <w:rPr>
        <w:rFonts w:hint="eastAsia"/>
      </w:rPr>
      <w:drawing>
        <wp:inline distT="0" distB="0" distL="114300" distR="114300">
          <wp:extent cx="401955" cy="190500"/>
          <wp:effectExtent l="0" t="0" r="4445" b="0"/>
          <wp:docPr id="18" name="图片 3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2026第八届全球校园人工智能算法精英大赛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81E68">
    <w:pPr>
      <w:tabs>
        <w:tab w:val="center" w:pos="4153"/>
        <w:tab w:val="right" w:pos="8306"/>
      </w:tabs>
      <w:ind w:firstLine="0"/>
      <w:jc w:val="left"/>
    </w:pPr>
    <w:r>
      <w:rPr>
        <w:rFonts w:hint="eastAsia"/>
      </w:rPr>
      <w:drawing>
        <wp:inline distT="0" distB="0" distL="114300" distR="114300">
          <wp:extent cx="401955" cy="190500"/>
          <wp:effectExtent l="0" t="0" r="4445" b="0"/>
          <wp:docPr id="16" name="图片 2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2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2026第八届全球校园人工智能算法精英大赛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A6325">
    <w:pPr>
      <w:pBdr>
        <w:bottom w:val="single" w:color="auto" w:sz="4" w:space="0"/>
      </w:pBdr>
      <w:tabs>
        <w:tab w:val="center" w:pos="4153"/>
        <w:tab w:val="right" w:pos="8306"/>
      </w:tabs>
      <w:ind w:firstLine="0"/>
      <w:jc w:val="left"/>
    </w:pPr>
    <w:r>
      <w:rPr>
        <w:rFonts w:hint="eastAsia"/>
      </w:rPr>
      <w:drawing>
        <wp:inline distT="0" distB="0" distL="114300" distR="114300">
          <wp:extent cx="401955" cy="190500"/>
          <wp:effectExtent l="0" t="0" r="4445" b="0"/>
          <wp:docPr id="6" name="图片 1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2026第八届全球校园人工智能算法精英大赛</w:t>
    </w:r>
  </w:p>
  <w:p w14:paraId="4F1A55FC">
    <w:pPr>
      <w:pStyle w:val="9"/>
      <w:ind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3F27D">
    <w:pPr>
      <w:pBdr>
        <w:bottom w:val="single" w:color="auto" w:sz="4" w:space="0"/>
      </w:pBdr>
      <w:tabs>
        <w:tab w:val="center" w:pos="4153"/>
        <w:tab w:val="right" w:pos="8306"/>
      </w:tabs>
      <w:ind w:firstLine="0"/>
      <w:jc w:val="left"/>
    </w:pPr>
    <w:r>
      <w:rPr>
        <w:rFonts w:hint="eastAsia"/>
      </w:rPr>
      <w:drawing>
        <wp:inline distT="0" distB="0" distL="114300" distR="114300">
          <wp:extent cx="401955" cy="190500"/>
          <wp:effectExtent l="0" t="0" r="4445" b="0"/>
          <wp:docPr id="1747412399" name="图片 1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7412399" name="图片 1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2026第八届全球校园人工智能算法精英大赛</w:t>
    </w:r>
  </w:p>
  <w:p w14:paraId="33EA4F85">
    <w:pPr>
      <w:pStyle w:val="9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removePersonalInformation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CB8"/>
    <w:rsid w:val="0000189A"/>
    <w:rsid w:val="001338CE"/>
    <w:rsid w:val="00250EF2"/>
    <w:rsid w:val="00292FC5"/>
    <w:rsid w:val="002D52AF"/>
    <w:rsid w:val="00331235"/>
    <w:rsid w:val="003C28DE"/>
    <w:rsid w:val="003F5886"/>
    <w:rsid w:val="0048281D"/>
    <w:rsid w:val="00516F75"/>
    <w:rsid w:val="005E7F72"/>
    <w:rsid w:val="00863F54"/>
    <w:rsid w:val="009301F6"/>
    <w:rsid w:val="00964A22"/>
    <w:rsid w:val="009F628B"/>
    <w:rsid w:val="00A34580"/>
    <w:rsid w:val="00A84A13"/>
    <w:rsid w:val="00AF1302"/>
    <w:rsid w:val="00B159DF"/>
    <w:rsid w:val="00B9110A"/>
    <w:rsid w:val="00B975F8"/>
    <w:rsid w:val="00BC6CB8"/>
    <w:rsid w:val="00D275BB"/>
    <w:rsid w:val="00DE1BE7"/>
    <w:rsid w:val="00F03495"/>
    <w:rsid w:val="00F22064"/>
    <w:rsid w:val="00FC02AA"/>
    <w:rsid w:val="011D1C88"/>
    <w:rsid w:val="012E1D7E"/>
    <w:rsid w:val="01913CB9"/>
    <w:rsid w:val="019329D2"/>
    <w:rsid w:val="01B146CA"/>
    <w:rsid w:val="01CD5911"/>
    <w:rsid w:val="01CF16DA"/>
    <w:rsid w:val="01E94C0E"/>
    <w:rsid w:val="01EA2131"/>
    <w:rsid w:val="02305A04"/>
    <w:rsid w:val="02497934"/>
    <w:rsid w:val="024B0FCA"/>
    <w:rsid w:val="024E43D4"/>
    <w:rsid w:val="026D53A6"/>
    <w:rsid w:val="02981D52"/>
    <w:rsid w:val="02A80A82"/>
    <w:rsid w:val="02AF690D"/>
    <w:rsid w:val="030F4492"/>
    <w:rsid w:val="033D0125"/>
    <w:rsid w:val="03892DCC"/>
    <w:rsid w:val="03BB2728"/>
    <w:rsid w:val="03EA5E52"/>
    <w:rsid w:val="03F97C93"/>
    <w:rsid w:val="043C2D23"/>
    <w:rsid w:val="044B6418"/>
    <w:rsid w:val="045F303F"/>
    <w:rsid w:val="04AA4233"/>
    <w:rsid w:val="04B24EC3"/>
    <w:rsid w:val="04B46A7D"/>
    <w:rsid w:val="050B0AB3"/>
    <w:rsid w:val="05810178"/>
    <w:rsid w:val="058A73C7"/>
    <w:rsid w:val="05983B0C"/>
    <w:rsid w:val="059B4B1C"/>
    <w:rsid w:val="05BA09A2"/>
    <w:rsid w:val="05DE7F94"/>
    <w:rsid w:val="05FA7176"/>
    <w:rsid w:val="06007623"/>
    <w:rsid w:val="062E2CC9"/>
    <w:rsid w:val="06515869"/>
    <w:rsid w:val="06984B35"/>
    <w:rsid w:val="06B66892"/>
    <w:rsid w:val="06CB509E"/>
    <w:rsid w:val="06EB312B"/>
    <w:rsid w:val="070C2F12"/>
    <w:rsid w:val="0726771F"/>
    <w:rsid w:val="073D3F2F"/>
    <w:rsid w:val="075E2523"/>
    <w:rsid w:val="078F5C25"/>
    <w:rsid w:val="07DB2A57"/>
    <w:rsid w:val="07EC6F62"/>
    <w:rsid w:val="080E345D"/>
    <w:rsid w:val="08471E20"/>
    <w:rsid w:val="08583A3F"/>
    <w:rsid w:val="0867366F"/>
    <w:rsid w:val="08766BA9"/>
    <w:rsid w:val="0901547A"/>
    <w:rsid w:val="091145A3"/>
    <w:rsid w:val="0926557B"/>
    <w:rsid w:val="0970184A"/>
    <w:rsid w:val="098F079E"/>
    <w:rsid w:val="09931762"/>
    <w:rsid w:val="09A17C56"/>
    <w:rsid w:val="09AF0A32"/>
    <w:rsid w:val="09BF208D"/>
    <w:rsid w:val="09C9404D"/>
    <w:rsid w:val="09D5345C"/>
    <w:rsid w:val="0A051A16"/>
    <w:rsid w:val="0A0C5C06"/>
    <w:rsid w:val="0A8B4C59"/>
    <w:rsid w:val="0AB9662C"/>
    <w:rsid w:val="0AF22D2F"/>
    <w:rsid w:val="0B0D6DE1"/>
    <w:rsid w:val="0B333027"/>
    <w:rsid w:val="0B5030C8"/>
    <w:rsid w:val="0B50371D"/>
    <w:rsid w:val="0BD46791"/>
    <w:rsid w:val="0BF30C8F"/>
    <w:rsid w:val="0C0A243F"/>
    <w:rsid w:val="0C3C2AB9"/>
    <w:rsid w:val="0C4960D4"/>
    <w:rsid w:val="0C781676"/>
    <w:rsid w:val="0CB00E68"/>
    <w:rsid w:val="0CDD502D"/>
    <w:rsid w:val="0D6B2B13"/>
    <w:rsid w:val="0D6C3DE5"/>
    <w:rsid w:val="0D8A20F3"/>
    <w:rsid w:val="0D8B2166"/>
    <w:rsid w:val="0D9116CE"/>
    <w:rsid w:val="0DAD6D4C"/>
    <w:rsid w:val="0DD46267"/>
    <w:rsid w:val="0DD63043"/>
    <w:rsid w:val="0DE1094B"/>
    <w:rsid w:val="0DE21292"/>
    <w:rsid w:val="0DE24658"/>
    <w:rsid w:val="0DFE11D3"/>
    <w:rsid w:val="0E355A5F"/>
    <w:rsid w:val="0E40157B"/>
    <w:rsid w:val="0E53500F"/>
    <w:rsid w:val="0E5369F5"/>
    <w:rsid w:val="0E5D2F4C"/>
    <w:rsid w:val="0E6B26B6"/>
    <w:rsid w:val="0E9D7CB7"/>
    <w:rsid w:val="0EC15643"/>
    <w:rsid w:val="0ED00784"/>
    <w:rsid w:val="0EEA4CCE"/>
    <w:rsid w:val="0EF303E9"/>
    <w:rsid w:val="0F0202AB"/>
    <w:rsid w:val="0F5B34BA"/>
    <w:rsid w:val="0F84395A"/>
    <w:rsid w:val="0FA82570"/>
    <w:rsid w:val="0FAC0AC3"/>
    <w:rsid w:val="0FE467C4"/>
    <w:rsid w:val="1012756E"/>
    <w:rsid w:val="10411D51"/>
    <w:rsid w:val="10515172"/>
    <w:rsid w:val="10851840"/>
    <w:rsid w:val="10EA355A"/>
    <w:rsid w:val="11081B91"/>
    <w:rsid w:val="110E3E23"/>
    <w:rsid w:val="110E42F0"/>
    <w:rsid w:val="1126252E"/>
    <w:rsid w:val="11A92EC9"/>
    <w:rsid w:val="11E00DDF"/>
    <w:rsid w:val="120E3EBB"/>
    <w:rsid w:val="12352A26"/>
    <w:rsid w:val="12974ADF"/>
    <w:rsid w:val="12A06406"/>
    <w:rsid w:val="12A12A75"/>
    <w:rsid w:val="12AB350E"/>
    <w:rsid w:val="12B02CB8"/>
    <w:rsid w:val="130265BC"/>
    <w:rsid w:val="130F4FE6"/>
    <w:rsid w:val="135C7F4F"/>
    <w:rsid w:val="13D03791"/>
    <w:rsid w:val="13D46A77"/>
    <w:rsid w:val="13F25EC4"/>
    <w:rsid w:val="13FD12E9"/>
    <w:rsid w:val="1444710A"/>
    <w:rsid w:val="148F7029"/>
    <w:rsid w:val="149D00E3"/>
    <w:rsid w:val="14A95AB7"/>
    <w:rsid w:val="14D81917"/>
    <w:rsid w:val="153765DA"/>
    <w:rsid w:val="15532609"/>
    <w:rsid w:val="156A0E93"/>
    <w:rsid w:val="15743E42"/>
    <w:rsid w:val="15AD616A"/>
    <w:rsid w:val="15B64082"/>
    <w:rsid w:val="15BD60A9"/>
    <w:rsid w:val="16260CA4"/>
    <w:rsid w:val="1633430E"/>
    <w:rsid w:val="164877AF"/>
    <w:rsid w:val="1684629D"/>
    <w:rsid w:val="168E58AF"/>
    <w:rsid w:val="16DD7E7C"/>
    <w:rsid w:val="17066ADD"/>
    <w:rsid w:val="17242980"/>
    <w:rsid w:val="172D3193"/>
    <w:rsid w:val="1747204D"/>
    <w:rsid w:val="1748494E"/>
    <w:rsid w:val="174A36DB"/>
    <w:rsid w:val="178A7CAA"/>
    <w:rsid w:val="17A62E5D"/>
    <w:rsid w:val="19201045"/>
    <w:rsid w:val="193C4FA0"/>
    <w:rsid w:val="19553A9D"/>
    <w:rsid w:val="19702350"/>
    <w:rsid w:val="19BE5FBE"/>
    <w:rsid w:val="19E31364"/>
    <w:rsid w:val="19F84BAB"/>
    <w:rsid w:val="1A0C6AF7"/>
    <w:rsid w:val="1A19303F"/>
    <w:rsid w:val="1A42779C"/>
    <w:rsid w:val="1A5C0DCD"/>
    <w:rsid w:val="1A7136F5"/>
    <w:rsid w:val="1A7E3062"/>
    <w:rsid w:val="1AE2232B"/>
    <w:rsid w:val="1AE86432"/>
    <w:rsid w:val="1AFC2ED4"/>
    <w:rsid w:val="1AFC3683"/>
    <w:rsid w:val="1B483F7B"/>
    <w:rsid w:val="1B56146E"/>
    <w:rsid w:val="1B682141"/>
    <w:rsid w:val="1BF21146"/>
    <w:rsid w:val="1BFA034E"/>
    <w:rsid w:val="1C0700DF"/>
    <w:rsid w:val="1C1D306B"/>
    <w:rsid w:val="1C1D5692"/>
    <w:rsid w:val="1C205F15"/>
    <w:rsid w:val="1C43143D"/>
    <w:rsid w:val="1C627E7C"/>
    <w:rsid w:val="1CA218C3"/>
    <w:rsid w:val="1CD26EAE"/>
    <w:rsid w:val="1D0104CD"/>
    <w:rsid w:val="1D416CB4"/>
    <w:rsid w:val="1D5303E2"/>
    <w:rsid w:val="1D5C43F4"/>
    <w:rsid w:val="1D626128"/>
    <w:rsid w:val="1D953077"/>
    <w:rsid w:val="1DF0665E"/>
    <w:rsid w:val="1E022DAA"/>
    <w:rsid w:val="1E4A5D6E"/>
    <w:rsid w:val="1E76570A"/>
    <w:rsid w:val="1E85149C"/>
    <w:rsid w:val="1E9217B7"/>
    <w:rsid w:val="1E92207D"/>
    <w:rsid w:val="1ED16D1D"/>
    <w:rsid w:val="1EEA0AED"/>
    <w:rsid w:val="1F1D3483"/>
    <w:rsid w:val="1F240D25"/>
    <w:rsid w:val="1FB80432"/>
    <w:rsid w:val="1FF42D40"/>
    <w:rsid w:val="20045D93"/>
    <w:rsid w:val="201E6DFF"/>
    <w:rsid w:val="203B6E8F"/>
    <w:rsid w:val="20574252"/>
    <w:rsid w:val="20FE40EF"/>
    <w:rsid w:val="211E0F0D"/>
    <w:rsid w:val="21405125"/>
    <w:rsid w:val="214B4867"/>
    <w:rsid w:val="215E325E"/>
    <w:rsid w:val="216E5AC0"/>
    <w:rsid w:val="21A213D7"/>
    <w:rsid w:val="21D332D2"/>
    <w:rsid w:val="21E35093"/>
    <w:rsid w:val="22106840"/>
    <w:rsid w:val="221D6DC2"/>
    <w:rsid w:val="22CB5324"/>
    <w:rsid w:val="22CD065A"/>
    <w:rsid w:val="22F4634C"/>
    <w:rsid w:val="23256CB7"/>
    <w:rsid w:val="2399369D"/>
    <w:rsid w:val="23C32F98"/>
    <w:rsid w:val="23DF3CC5"/>
    <w:rsid w:val="23E2606F"/>
    <w:rsid w:val="23ED7ED3"/>
    <w:rsid w:val="240409BA"/>
    <w:rsid w:val="240E70EF"/>
    <w:rsid w:val="24247B5C"/>
    <w:rsid w:val="24392B0D"/>
    <w:rsid w:val="244A291D"/>
    <w:rsid w:val="248C1955"/>
    <w:rsid w:val="249A209C"/>
    <w:rsid w:val="24A87D56"/>
    <w:rsid w:val="24F23999"/>
    <w:rsid w:val="24F536AF"/>
    <w:rsid w:val="24FA33BA"/>
    <w:rsid w:val="25253985"/>
    <w:rsid w:val="25832019"/>
    <w:rsid w:val="25B7376D"/>
    <w:rsid w:val="25D565A0"/>
    <w:rsid w:val="25DB502E"/>
    <w:rsid w:val="25F80DA5"/>
    <w:rsid w:val="265728E7"/>
    <w:rsid w:val="265C7310"/>
    <w:rsid w:val="26957737"/>
    <w:rsid w:val="269A17E1"/>
    <w:rsid w:val="26AC213A"/>
    <w:rsid w:val="27100BAD"/>
    <w:rsid w:val="2733415B"/>
    <w:rsid w:val="273B7A3B"/>
    <w:rsid w:val="276D7D75"/>
    <w:rsid w:val="27800A53"/>
    <w:rsid w:val="279C5427"/>
    <w:rsid w:val="28004562"/>
    <w:rsid w:val="28231668"/>
    <w:rsid w:val="2827226D"/>
    <w:rsid w:val="285443B9"/>
    <w:rsid w:val="285F4B0C"/>
    <w:rsid w:val="28842616"/>
    <w:rsid w:val="289355EF"/>
    <w:rsid w:val="289360AA"/>
    <w:rsid w:val="28A0231E"/>
    <w:rsid w:val="28A52A4B"/>
    <w:rsid w:val="28DD1D9B"/>
    <w:rsid w:val="28E14F1E"/>
    <w:rsid w:val="28F159FD"/>
    <w:rsid w:val="291F738B"/>
    <w:rsid w:val="29487D8B"/>
    <w:rsid w:val="294C103D"/>
    <w:rsid w:val="29703508"/>
    <w:rsid w:val="29AC4C15"/>
    <w:rsid w:val="29C40D94"/>
    <w:rsid w:val="2A1439E1"/>
    <w:rsid w:val="2A446D64"/>
    <w:rsid w:val="2A4A36B6"/>
    <w:rsid w:val="2AA16D68"/>
    <w:rsid w:val="2AC47001"/>
    <w:rsid w:val="2AC744E6"/>
    <w:rsid w:val="2ACD6F90"/>
    <w:rsid w:val="2AF5758F"/>
    <w:rsid w:val="2B7C43CA"/>
    <w:rsid w:val="2B8354F2"/>
    <w:rsid w:val="2BED77E9"/>
    <w:rsid w:val="2C245E51"/>
    <w:rsid w:val="2C2E09A7"/>
    <w:rsid w:val="2C6303E3"/>
    <w:rsid w:val="2C634B60"/>
    <w:rsid w:val="2C9F2793"/>
    <w:rsid w:val="2CA53E3F"/>
    <w:rsid w:val="2CC43900"/>
    <w:rsid w:val="2D2C2444"/>
    <w:rsid w:val="2D2E4048"/>
    <w:rsid w:val="2D3677C6"/>
    <w:rsid w:val="2D42091B"/>
    <w:rsid w:val="2D4319BB"/>
    <w:rsid w:val="2D4509B2"/>
    <w:rsid w:val="2D590A8D"/>
    <w:rsid w:val="2D7F4602"/>
    <w:rsid w:val="2DAB1B97"/>
    <w:rsid w:val="2DAC6EBE"/>
    <w:rsid w:val="2DDB2F08"/>
    <w:rsid w:val="2E983DBE"/>
    <w:rsid w:val="2EB75DC0"/>
    <w:rsid w:val="2ECC3CD5"/>
    <w:rsid w:val="2EE8322E"/>
    <w:rsid w:val="2F0B6A34"/>
    <w:rsid w:val="2F0D6469"/>
    <w:rsid w:val="2F123144"/>
    <w:rsid w:val="2F1C4D59"/>
    <w:rsid w:val="2F305F8A"/>
    <w:rsid w:val="2F3B1D8A"/>
    <w:rsid w:val="2F3B658B"/>
    <w:rsid w:val="2F5C2645"/>
    <w:rsid w:val="2F7E0D50"/>
    <w:rsid w:val="2FC868A9"/>
    <w:rsid w:val="2FCD5946"/>
    <w:rsid w:val="2FD830A8"/>
    <w:rsid w:val="2FDB3E92"/>
    <w:rsid w:val="306D183C"/>
    <w:rsid w:val="309D67EB"/>
    <w:rsid w:val="30B9476B"/>
    <w:rsid w:val="30D82AB0"/>
    <w:rsid w:val="30D964BF"/>
    <w:rsid w:val="30EF7855"/>
    <w:rsid w:val="30F80F0D"/>
    <w:rsid w:val="31A37380"/>
    <w:rsid w:val="31E32991"/>
    <w:rsid w:val="31E433B4"/>
    <w:rsid w:val="32005FF7"/>
    <w:rsid w:val="323E5D53"/>
    <w:rsid w:val="32425237"/>
    <w:rsid w:val="324F55F3"/>
    <w:rsid w:val="32A970D8"/>
    <w:rsid w:val="32B227EC"/>
    <w:rsid w:val="33264A29"/>
    <w:rsid w:val="33503314"/>
    <w:rsid w:val="336B25B7"/>
    <w:rsid w:val="337066A2"/>
    <w:rsid w:val="337201F6"/>
    <w:rsid w:val="33A30715"/>
    <w:rsid w:val="33B248B0"/>
    <w:rsid w:val="34066C35"/>
    <w:rsid w:val="34626615"/>
    <w:rsid w:val="3492138F"/>
    <w:rsid w:val="349725A9"/>
    <w:rsid w:val="349C377A"/>
    <w:rsid w:val="34A51AF9"/>
    <w:rsid w:val="34AE6BFF"/>
    <w:rsid w:val="34CD7DD4"/>
    <w:rsid w:val="34F571F2"/>
    <w:rsid w:val="34F62570"/>
    <w:rsid w:val="353307A8"/>
    <w:rsid w:val="35606D98"/>
    <w:rsid w:val="35656826"/>
    <w:rsid w:val="359607F3"/>
    <w:rsid w:val="35A77DEC"/>
    <w:rsid w:val="35D41F5E"/>
    <w:rsid w:val="36393C06"/>
    <w:rsid w:val="36413175"/>
    <w:rsid w:val="3657397F"/>
    <w:rsid w:val="3682557A"/>
    <w:rsid w:val="36882D07"/>
    <w:rsid w:val="36F446F4"/>
    <w:rsid w:val="37166616"/>
    <w:rsid w:val="37203B76"/>
    <w:rsid w:val="37221228"/>
    <w:rsid w:val="374E2B08"/>
    <w:rsid w:val="375907F6"/>
    <w:rsid w:val="376163AC"/>
    <w:rsid w:val="377240E4"/>
    <w:rsid w:val="377B7EDC"/>
    <w:rsid w:val="37904CE2"/>
    <w:rsid w:val="37BE3612"/>
    <w:rsid w:val="38472903"/>
    <w:rsid w:val="38606463"/>
    <w:rsid w:val="38C47613"/>
    <w:rsid w:val="38DC1ED6"/>
    <w:rsid w:val="38E54D64"/>
    <w:rsid w:val="38E71D8F"/>
    <w:rsid w:val="38E914AA"/>
    <w:rsid w:val="38EE7F12"/>
    <w:rsid w:val="393F635E"/>
    <w:rsid w:val="39462ABC"/>
    <w:rsid w:val="39916D94"/>
    <w:rsid w:val="39A82FD8"/>
    <w:rsid w:val="39B763AE"/>
    <w:rsid w:val="39C173D5"/>
    <w:rsid w:val="39F56B41"/>
    <w:rsid w:val="3A070569"/>
    <w:rsid w:val="3A184C65"/>
    <w:rsid w:val="3A221D1C"/>
    <w:rsid w:val="3A516692"/>
    <w:rsid w:val="3A9931F9"/>
    <w:rsid w:val="3AA251BB"/>
    <w:rsid w:val="3AD153F6"/>
    <w:rsid w:val="3AE574A6"/>
    <w:rsid w:val="3AF62D39"/>
    <w:rsid w:val="3B17000E"/>
    <w:rsid w:val="3B6A7F86"/>
    <w:rsid w:val="3B7E4A28"/>
    <w:rsid w:val="3B9023B6"/>
    <w:rsid w:val="3BE85E77"/>
    <w:rsid w:val="3C0A47E2"/>
    <w:rsid w:val="3C0A7495"/>
    <w:rsid w:val="3C3D4EB5"/>
    <w:rsid w:val="3C45321E"/>
    <w:rsid w:val="3C58684F"/>
    <w:rsid w:val="3C7500F5"/>
    <w:rsid w:val="3C7A0C19"/>
    <w:rsid w:val="3C7F204D"/>
    <w:rsid w:val="3CA20DDC"/>
    <w:rsid w:val="3CC7680E"/>
    <w:rsid w:val="3CD039CD"/>
    <w:rsid w:val="3CDB2766"/>
    <w:rsid w:val="3CEF24AB"/>
    <w:rsid w:val="3D1215F7"/>
    <w:rsid w:val="3D5F73FD"/>
    <w:rsid w:val="3D741660"/>
    <w:rsid w:val="3DBA1DD5"/>
    <w:rsid w:val="3DC0019B"/>
    <w:rsid w:val="3DE01BFA"/>
    <w:rsid w:val="3DF257B2"/>
    <w:rsid w:val="3E703BD6"/>
    <w:rsid w:val="3E752DDF"/>
    <w:rsid w:val="3E7D1B12"/>
    <w:rsid w:val="3E8E0F00"/>
    <w:rsid w:val="3EAE198B"/>
    <w:rsid w:val="3ED37568"/>
    <w:rsid w:val="3EF141B2"/>
    <w:rsid w:val="3EF63EBC"/>
    <w:rsid w:val="3F485313"/>
    <w:rsid w:val="3F6C0C0E"/>
    <w:rsid w:val="3FD074F4"/>
    <w:rsid w:val="3FE03F00"/>
    <w:rsid w:val="3FFA44EC"/>
    <w:rsid w:val="40337EDF"/>
    <w:rsid w:val="40692863"/>
    <w:rsid w:val="406F6A92"/>
    <w:rsid w:val="40915918"/>
    <w:rsid w:val="40A35F85"/>
    <w:rsid w:val="40CC5EDF"/>
    <w:rsid w:val="40D1603A"/>
    <w:rsid w:val="40EC1096"/>
    <w:rsid w:val="415F3F89"/>
    <w:rsid w:val="416E7C67"/>
    <w:rsid w:val="41A448BE"/>
    <w:rsid w:val="41B403DB"/>
    <w:rsid w:val="41E14722"/>
    <w:rsid w:val="420E239E"/>
    <w:rsid w:val="420E7F0F"/>
    <w:rsid w:val="424B72AE"/>
    <w:rsid w:val="42EF55F4"/>
    <w:rsid w:val="430270F8"/>
    <w:rsid w:val="43087A08"/>
    <w:rsid w:val="431C0C27"/>
    <w:rsid w:val="4340580E"/>
    <w:rsid w:val="43533378"/>
    <w:rsid w:val="438E2CAB"/>
    <w:rsid w:val="439755FA"/>
    <w:rsid w:val="43AB6634"/>
    <w:rsid w:val="43AB798F"/>
    <w:rsid w:val="442B6FD9"/>
    <w:rsid w:val="445636D6"/>
    <w:rsid w:val="446870D0"/>
    <w:rsid w:val="44711559"/>
    <w:rsid w:val="448F2D07"/>
    <w:rsid w:val="44C95D4D"/>
    <w:rsid w:val="45476FB4"/>
    <w:rsid w:val="456C4033"/>
    <w:rsid w:val="45725278"/>
    <w:rsid w:val="45BD3779"/>
    <w:rsid w:val="45BD443C"/>
    <w:rsid w:val="46282E28"/>
    <w:rsid w:val="46CF687D"/>
    <w:rsid w:val="46D00713"/>
    <w:rsid w:val="46F21730"/>
    <w:rsid w:val="46FB137F"/>
    <w:rsid w:val="47443414"/>
    <w:rsid w:val="474F17A4"/>
    <w:rsid w:val="476E14BB"/>
    <w:rsid w:val="476E56BE"/>
    <w:rsid w:val="478A34FC"/>
    <w:rsid w:val="478D7C2E"/>
    <w:rsid w:val="47A16E12"/>
    <w:rsid w:val="47F75DFD"/>
    <w:rsid w:val="48137778"/>
    <w:rsid w:val="483F6EFA"/>
    <w:rsid w:val="489C030B"/>
    <w:rsid w:val="48A265A3"/>
    <w:rsid w:val="48AC41F9"/>
    <w:rsid w:val="48CA2438"/>
    <w:rsid w:val="491366E6"/>
    <w:rsid w:val="49852879"/>
    <w:rsid w:val="49AB59AC"/>
    <w:rsid w:val="49B71D80"/>
    <w:rsid w:val="49C53294"/>
    <w:rsid w:val="4A0939B4"/>
    <w:rsid w:val="4A0E090A"/>
    <w:rsid w:val="4A58501D"/>
    <w:rsid w:val="4A6667A6"/>
    <w:rsid w:val="4A6E1620"/>
    <w:rsid w:val="4AB511D0"/>
    <w:rsid w:val="4B1D294C"/>
    <w:rsid w:val="4B1F591B"/>
    <w:rsid w:val="4B3726A8"/>
    <w:rsid w:val="4BA637A9"/>
    <w:rsid w:val="4BD06193"/>
    <w:rsid w:val="4BEB0A1B"/>
    <w:rsid w:val="4BFB6FBE"/>
    <w:rsid w:val="4C294AB3"/>
    <w:rsid w:val="4C3D1A83"/>
    <w:rsid w:val="4C575B4B"/>
    <w:rsid w:val="4C5C2889"/>
    <w:rsid w:val="4C5F726F"/>
    <w:rsid w:val="4C6858B5"/>
    <w:rsid w:val="4C736EC9"/>
    <w:rsid w:val="4C960E1C"/>
    <w:rsid w:val="4CB76E6A"/>
    <w:rsid w:val="4CC17D34"/>
    <w:rsid w:val="4D023A66"/>
    <w:rsid w:val="4D140ECD"/>
    <w:rsid w:val="4D4A6024"/>
    <w:rsid w:val="4D526B76"/>
    <w:rsid w:val="4D682880"/>
    <w:rsid w:val="4D8B1D7C"/>
    <w:rsid w:val="4DAB6EDB"/>
    <w:rsid w:val="4DC173C4"/>
    <w:rsid w:val="4DE54BBF"/>
    <w:rsid w:val="4DF146DD"/>
    <w:rsid w:val="4E16053E"/>
    <w:rsid w:val="4E250842"/>
    <w:rsid w:val="4E446BEC"/>
    <w:rsid w:val="4E7D2F52"/>
    <w:rsid w:val="4E985137"/>
    <w:rsid w:val="4E9F0C87"/>
    <w:rsid w:val="4EE74D90"/>
    <w:rsid w:val="4F43529A"/>
    <w:rsid w:val="4F525894"/>
    <w:rsid w:val="4F6678FF"/>
    <w:rsid w:val="4F7E3B05"/>
    <w:rsid w:val="4F90786D"/>
    <w:rsid w:val="501B72A6"/>
    <w:rsid w:val="502D7730"/>
    <w:rsid w:val="502F4C40"/>
    <w:rsid w:val="504273BB"/>
    <w:rsid w:val="50480A1D"/>
    <w:rsid w:val="50504A55"/>
    <w:rsid w:val="505A4A62"/>
    <w:rsid w:val="507F7220"/>
    <w:rsid w:val="508451DC"/>
    <w:rsid w:val="509251CF"/>
    <w:rsid w:val="50AF5D81"/>
    <w:rsid w:val="50BD1283"/>
    <w:rsid w:val="50EB5C56"/>
    <w:rsid w:val="51052624"/>
    <w:rsid w:val="512A365A"/>
    <w:rsid w:val="514A0B15"/>
    <w:rsid w:val="51501AF7"/>
    <w:rsid w:val="515650AB"/>
    <w:rsid w:val="51804844"/>
    <w:rsid w:val="518335CA"/>
    <w:rsid w:val="51E333FD"/>
    <w:rsid w:val="520E2B94"/>
    <w:rsid w:val="521F0CE5"/>
    <w:rsid w:val="52550B5C"/>
    <w:rsid w:val="52AA68B0"/>
    <w:rsid w:val="52EB0768"/>
    <w:rsid w:val="52F700E5"/>
    <w:rsid w:val="52FD5035"/>
    <w:rsid w:val="52FE3F05"/>
    <w:rsid w:val="53242CF6"/>
    <w:rsid w:val="533E1EAC"/>
    <w:rsid w:val="53481FE6"/>
    <w:rsid w:val="535350EA"/>
    <w:rsid w:val="535D02E8"/>
    <w:rsid w:val="53692AEA"/>
    <w:rsid w:val="536D2087"/>
    <w:rsid w:val="5375174B"/>
    <w:rsid w:val="53A35B51"/>
    <w:rsid w:val="53D67BC3"/>
    <w:rsid w:val="54613836"/>
    <w:rsid w:val="54614638"/>
    <w:rsid w:val="547A3E4D"/>
    <w:rsid w:val="54B6568B"/>
    <w:rsid w:val="550223C7"/>
    <w:rsid w:val="5555739E"/>
    <w:rsid w:val="556028E8"/>
    <w:rsid w:val="556E22D4"/>
    <w:rsid w:val="55BA7B4C"/>
    <w:rsid w:val="55BF269E"/>
    <w:rsid w:val="55CE6CAA"/>
    <w:rsid w:val="55E7347A"/>
    <w:rsid w:val="55FA2C6E"/>
    <w:rsid w:val="56375055"/>
    <w:rsid w:val="56C02A96"/>
    <w:rsid w:val="56FB2042"/>
    <w:rsid w:val="57014B11"/>
    <w:rsid w:val="57146818"/>
    <w:rsid w:val="57194E75"/>
    <w:rsid w:val="57303F87"/>
    <w:rsid w:val="57362A2C"/>
    <w:rsid w:val="57A624DB"/>
    <w:rsid w:val="57F14ED1"/>
    <w:rsid w:val="584C4139"/>
    <w:rsid w:val="58807673"/>
    <w:rsid w:val="58A4149E"/>
    <w:rsid w:val="58A77915"/>
    <w:rsid w:val="58EB2E9D"/>
    <w:rsid w:val="58ED4252"/>
    <w:rsid w:val="59194667"/>
    <w:rsid w:val="593D72D5"/>
    <w:rsid w:val="59442D7B"/>
    <w:rsid w:val="594B37F1"/>
    <w:rsid w:val="599C7113"/>
    <w:rsid w:val="59A53FC9"/>
    <w:rsid w:val="59B03888"/>
    <w:rsid w:val="59F22FFE"/>
    <w:rsid w:val="5A0D2948"/>
    <w:rsid w:val="5A142119"/>
    <w:rsid w:val="5A3550D5"/>
    <w:rsid w:val="5A4412E8"/>
    <w:rsid w:val="5A8F2E0A"/>
    <w:rsid w:val="5AE73005"/>
    <w:rsid w:val="5B1313DF"/>
    <w:rsid w:val="5B22385E"/>
    <w:rsid w:val="5B88343B"/>
    <w:rsid w:val="5B955C1B"/>
    <w:rsid w:val="5BAE5B11"/>
    <w:rsid w:val="5BB95D06"/>
    <w:rsid w:val="5BBC1C5F"/>
    <w:rsid w:val="5C025303"/>
    <w:rsid w:val="5C261BFE"/>
    <w:rsid w:val="5C273547"/>
    <w:rsid w:val="5CC613FD"/>
    <w:rsid w:val="5CC8534F"/>
    <w:rsid w:val="5CCE050A"/>
    <w:rsid w:val="5CCE57E1"/>
    <w:rsid w:val="5CE0146E"/>
    <w:rsid w:val="5CF1718A"/>
    <w:rsid w:val="5D386A5C"/>
    <w:rsid w:val="5D9724E6"/>
    <w:rsid w:val="5E2C368E"/>
    <w:rsid w:val="5E84014A"/>
    <w:rsid w:val="5EE93E95"/>
    <w:rsid w:val="5F017546"/>
    <w:rsid w:val="5F043B9A"/>
    <w:rsid w:val="5F095896"/>
    <w:rsid w:val="5F301C37"/>
    <w:rsid w:val="5F4A6C55"/>
    <w:rsid w:val="5F4B7EE3"/>
    <w:rsid w:val="5F6A078D"/>
    <w:rsid w:val="5F8374C3"/>
    <w:rsid w:val="601069A0"/>
    <w:rsid w:val="603C46F3"/>
    <w:rsid w:val="60A85FA1"/>
    <w:rsid w:val="60C43180"/>
    <w:rsid w:val="61123C9F"/>
    <w:rsid w:val="612A5035"/>
    <w:rsid w:val="616019DE"/>
    <w:rsid w:val="61831EE9"/>
    <w:rsid w:val="618E03CF"/>
    <w:rsid w:val="61A429C0"/>
    <w:rsid w:val="61BA4B64"/>
    <w:rsid w:val="61F30584"/>
    <w:rsid w:val="620C04EA"/>
    <w:rsid w:val="621326DC"/>
    <w:rsid w:val="62310026"/>
    <w:rsid w:val="623426DB"/>
    <w:rsid w:val="62410803"/>
    <w:rsid w:val="62745BF7"/>
    <w:rsid w:val="629B1C54"/>
    <w:rsid w:val="62F0715F"/>
    <w:rsid w:val="63080089"/>
    <w:rsid w:val="63597E24"/>
    <w:rsid w:val="6373359C"/>
    <w:rsid w:val="637D29BC"/>
    <w:rsid w:val="638D663E"/>
    <w:rsid w:val="638F59E4"/>
    <w:rsid w:val="63A80ADF"/>
    <w:rsid w:val="63AB79BE"/>
    <w:rsid w:val="641B6CFA"/>
    <w:rsid w:val="643F2304"/>
    <w:rsid w:val="648B1196"/>
    <w:rsid w:val="64A62FAD"/>
    <w:rsid w:val="64B435C8"/>
    <w:rsid w:val="64CE267E"/>
    <w:rsid w:val="64F71AB3"/>
    <w:rsid w:val="65073E19"/>
    <w:rsid w:val="650D6C14"/>
    <w:rsid w:val="65407929"/>
    <w:rsid w:val="65532EEC"/>
    <w:rsid w:val="6557029F"/>
    <w:rsid w:val="658F0953"/>
    <w:rsid w:val="65F04260"/>
    <w:rsid w:val="66054B8F"/>
    <w:rsid w:val="660A4ABD"/>
    <w:rsid w:val="66143184"/>
    <w:rsid w:val="664E50BC"/>
    <w:rsid w:val="66531D6F"/>
    <w:rsid w:val="667D7174"/>
    <w:rsid w:val="6680153D"/>
    <w:rsid w:val="668D04BB"/>
    <w:rsid w:val="66903DD3"/>
    <w:rsid w:val="669055AA"/>
    <w:rsid w:val="66A25372"/>
    <w:rsid w:val="66C76F9C"/>
    <w:rsid w:val="66D13F35"/>
    <w:rsid w:val="66D366D7"/>
    <w:rsid w:val="66F20023"/>
    <w:rsid w:val="66F64231"/>
    <w:rsid w:val="66F64DF0"/>
    <w:rsid w:val="6712234E"/>
    <w:rsid w:val="67320AA5"/>
    <w:rsid w:val="674A351B"/>
    <w:rsid w:val="674E7798"/>
    <w:rsid w:val="678A1A6C"/>
    <w:rsid w:val="67B26D20"/>
    <w:rsid w:val="67C04E7F"/>
    <w:rsid w:val="67DD7DB6"/>
    <w:rsid w:val="680A383B"/>
    <w:rsid w:val="68FE6043"/>
    <w:rsid w:val="6902505D"/>
    <w:rsid w:val="696D0B26"/>
    <w:rsid w:val="69955974"/>
    <w:rsid w:val="69A10D8D"/>
    <w:rsid w:val="69DB1CD7"/>
    <w:rsid w:val="69DC79B5"/>
    <w:rsid w:val="6A0546FF"/>
    <w:rsid w:val="6A0F73D8"/>
    <w:rsid w:val="6A7833B8"/>
    <w:rsid w:val="6A885221"/>
    <w:rsid w:val="6AC128B3"/>
    <w:rsid w:val="6ACA6640"/>
    <w:rsid w:val="6AD312D0"/>
    <w:rsid w:val="6ADD0B5E"/>
    <w:rsid w:val="6AFB3C45"/>
    <w:rsid w:val="6B68554D"/>
    <w:rsid w:val="6B9A0059"/>
    <w:rsid w:val="6BBD4800"/>
    <w:rsid w:val="6BC0571F"/>
    <w:rsid w:val="6BE33C8F"/>
    <w:rsid w:val="6BE64FD6"/>
    <w:rsid w:val="6C165231"/>
    <w:rsid w:val="6C1F3C39"/>
    <w:rsid w:val="6C5B7246"/>
    <w:rsid w:val="6C89397A"/>
    <w:rsid w:val="6C9200DF"/>
    <w:rsid w:val="6CAF6D12"/>
    <w:rsid w:val="6CDF712A"/>
    <w:rsid w:val="6D042472"/>
    <w:rsid w:val="6D0B3EBA"/>
    <w:rsid w:val="6D3E6ACC"/>
    <w:rsid w:val="6D4C7937"/>
    <w:rsid w:val="6D5B1D24"/>
    <w:rsid w:val="6D627806"/>
    <w:rsid w:val="6D6E405D"/>
    <w:rsid w:val="6D7A3958"/>
    <w:rsid w:val="6D8668BF"/>
    <w:rsid w:val="6E273F5B"/>
    <w:rsid w:val="6E674D4B"/>
    <w:rsid w:val="6E7973B3"/>
    <w:rsid w:val="6E824807"/>
    <w:rsid w:val="6E9F4E0D"/>
    <w:rsid w:val="6EA72AC0"/>
    <w:rsid w:val="6EC6456A"/>
    <w:rsid w:val="6EDB5132"/>
    <w:rsid w:val="6F771D08"/>
    <w:rsid w:val="6FA2313B"/>
    <w:rsid w:val="6FA772E3"/>
    <w:rsid w:val="6FA85431"/>
    <w:rsid w:val="6FD256EB"/>
    <w:rsid w:val="6FD341E3"/>
    <w:rsid w:val="6FDF78FF"/>
    <w:rsid w:val="6FE0340A"/>
    <w:rsid w:val="6FF70753"/>
    <w:rsid w:val="7001594E"/>
    <w:rsid w:val="705047D3"/>
    <w:rsid w:val="706978FC"/>
    <w:rsid w:val="707F1A9F"/>
    <w:rsid w:val="709B4361"/>
    <w:rsid w:val="70BF2484"/>
    <w:rsid w:val="70C96594"/>
    <w:rsid w:val="70D775CB"/>
    <w:rsid w:val="70E7131E"/>
    <w:rsid w:val="70EF0119"/>
    <w:rsid w:val="711A437A"/>
    <w:rsid w:val="71566E42"/>
    <w:rsid w:val="715673E9"/>
    <w:rsid w:val="717645B6"/>
    <w:rsid w:val="71784236"/>
    <w:rsid w:val="71A80522"/>
    <w:rsid w:val="71F31C95"/>
    <w:rsid w:val="72A01422"/>
    <w:rsid w:val="73025106"/>
    <w:rsid w:val="7317686F"/>
    <w:rsid w:val="733C6AD6"/>
    <w:rsid w:val="736E3270"/>
    <w:rsid w:val="7398711B"/>
    <w:rsid w:val="73A66B2A"/>
    <w:rsid w:val="73D35A4C"/>
    <w:rsid w:val="74194662"/>
    <w:rsid w:val="741E6C86"/>
    <w:rsid w:val="742C7C66"/>
    <w:rsid w:val="743106C6"/>
    <w:rsid w:val="744C2A60"/>
    <w:rsid w:val="7491354E"/>
    <w:rsid w:val="74FB2F81"/>
    <w:rsid w:val="754D6829"/>
    <w:rsid w:val="755E4966"/>
    <w:rsid w:val="75874D60"/>
    <w:rsid w:val="75E34653"/>
    <w:rsid w:val="760246AA"/>
    <w:rsid w:val="76275A03"/>
    <w:rsid w:val="766A2009"/>
    <w:rsid w:val="76865443"/>
    <w:rsid w:val="769B35A3"/>
    <w:rsid w:val="76B92B53"/>
    <w:rsid w:val="76D44A02"/>
    <w:rsid w:val="76F344E7"/>
    <w:rsid w:val="76FC5BC6"/>
    <w:rsid w:val="76FF6B4B"/>
    <w:rsid w:val="77250238"/>
    <w:rsid w:val="773D17AA"/>
    <w:rsid w:val="774677D5"/>
    <w:rsid w:val="77496C0F"/>
    <w:rsid w:val="776D12CB"/>
    <w:rsid w:val="778A0538"/>
    <w:rsid w:val="77D53CE3"/>
    <w:rsid w:val="77E70B3A"/>
    <w:rsid w:val="78283BA0"/>
    <w:rsid w:val="786050D9"/>
    <w:rsid w:val="7877697C"/>
    <w:rsid w:val="788567F8"/>
    <w:rsid w:val="78A13CF9"/>
    <w:rsid w:val="78A3591C"/>
    <w:rsid w:val="78B845E2"/>
    <w:rsid w:val="78BB2831"/>
    <w:rsid w:val="78BC6AA1"/>
    <w:rsid w:val="79032A98"/>
    <w:rsid w:val="79033161"/>
    <w:rsid w:val="79346574"/>
    <w:rsid w:val="79346F3D"/>
    <w:rsid w:val="793C6523"/>
    <w:rsid w:val="795B0419"/>
    <w:rsid w:val="795E2CD5"/>
    <w:rsid w:val="79797DE9"/>
    <w:rsid w:val="79B63A8F"/>
    <w:rsid w:val="79BA59A4"/>
    <w:rsid w:val="79CE1283"/>
    <w:rsid w:val="7A1A144A"/>
    <w:rsid w:val="7A1E081D"/>
    <w:rsid w:val="7A390F38"/>
    <w:rsid w:val="7A7D7EBE"/>
    <w:rsid w:val="7AAC05DE"/>
    <w:rsid w:val="7AFF4689"/>
    <w:rsid w:val="7B274CC1"/>
    <w:rsid w:val="7B2E5971"/>
    <w:rsid w:val="7B7B492E"/>
    <w:rsid w:val="7B870239"/>
    <w:rsid w:val="7B926136"/>
    <w:rsid w:val="7C070787"/>
    <w:rsid w:val="7C4D62CB"/>
    <w:rsid w:val="7C5F1EB7"/>
    <w:rsid w:val="7C5F566E"/>
    <w:rsid w:val="7C5F74F0"/>
    <w:rsid w:val="7C690A7E"/>
    <w:rsid w:val="7C9E6B26"/>
    <w:rsid w:val="7CD42548"/>
    <w:rsid w:val="7CD9190C"/>
    <w:rsid w:val="7CE17DF9"/>
    <w:rsid w:val="7D397F90"/>
    <w:rsid w:val="7D5256CA"/>
    <w:rsid w:val="7D7921C6"/>
    <w:rsid w:val="7D7F0374"/>
    <w:rsid w:val="7D991DBD"/>
    <w:rsid w:val="7D99569A"/>
    <w:rsid w:val="7DBD4C18"/>
    <w:rsid w:val="7DEA3607"/>
    <w:rsid w:val="7E29102E"/>
    <w:rsid w:val="7E541651"/>
    <w:rsid w:val="7EA146AC"/>
    <w:rsid w:val="7EB541A3"/>
    <w:rsid w:val="7EC550FA"/>
    <w:rsid w:val="7F121106"/>
    <w:rsid w:val="7F1E3F4E"/>
    <w:rsid w:val="7F387468"/>
    <w:rsid w:val="7F4A6AF1"/>
    <w:rsid w:val="7F4C5289"/>
    <w:rsid w:val="7F5411F3"/>
    <w:rsid w:val="7F5F2E08"/>
    <w:rsid w:val="7F625F8B"/>
    <w:rsid w:val="7F71054D"/>
    <w:rsid w:val="7F7F333C"/>
    <w:rsid w:val="7F97765B"/>
    <w:rsid w:val="7FA95AF2"/>
    <w:rsid w:val="7FD1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/>
      <w:ind w:firstLine="480"/>
      <w:jc w:val="both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autoSpaceDE w:val="0"/>
      <w:autoSpaceDN w:val="0"/>
      <w:spacing w:before="160" w:beforeLines="50" w:after="120" w:afterLines="50"/>
      <w:ind w:firstLine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60" w:beforeLines="50" w:after="120" w:afterLines="50"/>
      <w:ind w:firstLine="0"/>
      <w:jc w:val="left"/>
      <w:outlineLvl w:val="1"/>
    </w:pPr>
    <w:rPr>
      <w:rFonts w:hint="eastAsia"/>
      <w:b/>
      <w:bCs/>
      <w:kern w:val="0"/>
      <w:sz w:val="28"/>
      <w:szCs w:val="3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60" w:beforeLines="50" w:after="120" w:afterLines="50"/>
      <w:ind w:firstLine="0"/>
      <w:jc w:val="left"/>
      <w:outlineLvl w:val="2"/>
    </w:pPr>
    <w:rPr>
      <w:rFonts w:hint="eastAsia"/>
      <w:b/>
      <w:bCs/>
      <w:kern w:val="0"/>
      <w:szCs w:val="27"/>
    </w:rPr>
  </w:style>
  <w:style w:type="paragraph" w:styleId="5">
    <w:name w:val="heading 4"/>
    <w:basedOn w:val="1"/>
    <w:semiHidden/>
    <w:unhideWhenUsed/>
    <w:qFormat/>
    <w:uiPriority w:val="0"/>
    <w:pPr>
      <w:spacing w:beforeAutospacing="1" w:after="0" w:afterAutospacing="1"/>
      <w:jc w:val="left"/>
      <w:outlineLvl w:val="3"/>
    </w:pPr>
    <w:rPr>
      <w:rFonts w:hint="eastAsia" w:ascii="宋体" w:hAnsi="宋体"/>
      <w:b/>
      <w:bCs/>
      <w:kern w:val="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pPr>
      <w:spacing w:before="160" w:after="120"/>
      <w:ind w:firstLine="0"/>
    </w:pPr>
  </w:style>
  <w:style w:type="paragraph" w:styleId="7">
    <w:name w:val="Body Text"/>
    <w:basedOn w:val="1"/>
    <w:qFormat/>
    <w:uiPriority w:val="1"/>
    <w:rPr>
      <w:rFonts w:eastAsia="仿宋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qFormat/>
    <w:uiPriority w:val="39"/>
    <w:pPr>
      <w:spacing w:after="0"/>
      <w:ind w:firstLine="0"/>
    </w:pPr>
    <w:rPr>
      <w:rFonts w:ascii="宋体" w:hAnsi="宋体"/>
    </w:rPr>
  </w:style>
  <w:style w:type="paragraph" w:styleId="11">
    <w:name w:val="toc 2"/>
    <w:basedOn w:val="1"/>
    <w:next w:val="1"/>
    <w:qFormat/>
    <w:uiPriority w:val="39"/>
    <w:pPr>
      <w:spacing w:after="0"/>
      <w:ind w:left="420" w:firstLine="0"/>
    </w:pPr>
    <w:rPr>
      <w:rFonts w:ascii="宋体" w:hAnsi="宋体"/>
    </w:r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</w:rPr>
  </w:style>
  <w:style w:type="paragraph" w:styleId="13">
    <w:name w:val="Normal (Web)"/>
    <w:basedOn w:val="1"/>
    <w:qFormat/>
    <w:uiPriority w:val="0"/>
    <w:pPr>
      <w:spacing w:beforeAutospacing="1" w:after="0" w:afterAutospacing="1"/>
      <w:jc w:val="left"/>
    </w:pPr>
    <w:rPr>
      <w:kern w:val="0"/>
    </w:rPr>
  </w:style>
  <w:style w:type="paragraph" w:styleId="14">
    <w:name w:val="Title"/>
    <w:basedOn w:val="1"/>
    <w:next w:val="1"/>
    <w:qFormat/>
    <w:uiPriority w:val="10"/>
    <w:pPr>
      <w:spacing w:before="160" w:after="120"/>
      <w:ind w:firstLine="0"/>
      <w:jc w:val="center"/>
    </w:pPr>
    <w:rPr>
      <w:b/>
      <w:bCs/>
      <w:sz w:val="44"/>
      <w:szCs w:val="32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Emphasis"/>
    <w:basedOn w:val="17"/>
    <w:qFormat/>
    <w:uiPriority w:val="0"/>
    <w:rPr>
      <w:i/>
    </w:rPr>
  </w:style>
  <w:style w:type="character" w:styleId="20">
    <w:name w:val="Hyperlink"/>
    <w:basedOn w:val="17"/>
    <w:qFormat/>
    <w:uiPriority w:val="99"/>
    <w:rPr>
      <w:color w:val="0000FF"/>
      <w:u w:val="single"/>
    </w:rPr>
  </w:style>
  <w:style w:type="character" w:styleId="21">
    <w:name w:val="HTML Code"/>
    <w:basedOn w:val="17"/>
    <w:qFormat/>
    <w:uiPriority w:val="0"/>
    <w:rPr>
      <w:rFonts w:ascii="Courier New" w:hAnsi="Courier New"/>
      <w:sz w:val="20"/>
    </w:rPr>
  </w:style>
  <w:style w:type="character" w:customStyle="1" w:styleId="22">
    <w:name w:val="15"/>
    <w:basedOn w:val="17"/>
    <w:qFormat/>
    <w:uiPriority w:val="0"/>
    <w:rPr>
      <w:rFonts w:hint="default" w:ascii="Times New Roman" w:hAnsi="Times New Roman" w:cs="Times New Roman"/>
      <w:b/>
    </w:rPr>
  </w:style>
  <w:style w:type="character" w:customStyle="1" w:styleId="23">
    <w:name w:val="10"/>
    <w:basedOn w:val="17"/>
    <w:qFormat/>
    <w:uiPriority w:val="0"/>
    <w:rPr>
      <w:rFonts w:hint="default" w:ascii="Times New Roman" w:hAnsi="Times New Roman" w:cs="Times New Roman"/>
    </w:rPr>
  </w:style>
  <w:style w:type="paragraph" w:customStyle="1" w:styleId="24">
    <w:name w:val="列表段落1"/>
    <w:basedOn w:val="1"/>
    <w:qFormat/>
    <w:uiPriority w:val="0"/>
    <w:pPr>
      <w:adjustRightInd w:val="0"/>
      <w:snapToGrid w:val="0"/>
      <w:spacing w:after="0"/>
      <w:ind w:firstLine="420" w:firstLineChars="200"/>
    </w:pPr>
  </w:style>
  <w:style w:type="character" w:customStyle="1" w:styleId="25">
    <w:name w:val="标题 1 字符"/>
    <w:link w:val="2"/>
    <w:qFormat/>
    <w:uiPriority w:val="0"/>
    <w:rPr>
      <w:rFonts w:eastAsia="宋体" w:asciiTheme="minorHAnsi" w:hAnsiTheme="minorHAnsi"/>
      <w:b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2.xml"/><Relationship Id="rId7" Type="http://schemas.openxmlformats.org/officeDocument/2006/relationships/header" Target="header3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74</Words>
  <Characters>84</Characters>
  <Lines>488</Lines>
  <Paragraphs>395</Paragraphs>
  <TotalTime>104</TotalTime>
  <ScaleCrop>false</ScaleCrop>
  <LinksUpToDate>false</LinksUpToDate>
  <CharactersWithSpaces>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2026-05-23T09:43:00Z</dcterms:created>
  <dcterms:modified xsi:type="dcterms:W3CDTF">2026-10-14T07:55:57Z</dcterms:modified>
  <dc:subject>AI+场景创新作品方案</dc:subject>
  <dc:title>智行合一 船舶能效优化智能体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eyJoZGlkIjoiMmRmYWQ3YTQ3ZTU4ZmJhMTZkYTZkOTc1MTA4MTMzYTQiLCJ1c2VySWQiOiIxNjIxNjI4OTMxIn0=</vt:lpwstr>
  </property>
  <property fmtid="{D5CDD505-2E9C-101B-9397-08002B2CF9AE}" pid="4" name="ICV">
    <vt:lpwstr>6755C3A521574745B96554B66E69DAB6_13</vt:lpwstr>
  </property>
</Properties>
</file>