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Times New Roman" w:cs="Times New Roman" w:eastAsia="Times New Roman" w:hAnsi="Times New Roman"/>
          <w:b/>
          <w:bCs/>
          <w:color w:val="2F2F2F"/>
          <w:sz w:val="32"/>
          <w:szCs w:val="32"/>
        </w:rPr>
        <w:t xml:space="preserve">MAS 202 — Statistics for Business Decisions</w:t>
      </w:r>
    </w:p>
    <w:p>
      <w:pPr>
        <w:spacing w:after="40"/>
        <w:jc w:val="center"/>
      </w:pPr>
      <w:r>
        <w:rPr>
          <w:rFonts w:ascii="Times New Roman" w:cs="Times New Roman" w:eastAsia="Times New Roman" w:hAnsi="Times New Roman"/>
          <w:color w:val="8B0000"/>
          <w:sz w:val="26"/>
          <w:szCs w:val="26"/>
        </w:rPr>
        <w:t xml:space="preserve">Stage 2: Research Question and Analysis Plan</w:t>
      </w:r>
    </w:p>
    <w:p>
      <w:pPr>
        <w:pBdr>
          <w:bottom w:val="single" w:color="8B0000" w:sz="8" w:space="1"/>
        </w:pBdr>
        <w:spacing w:after="280"/>
        <w:jc w:val="center"/>
      </w:pPr>
      <w:r>
        <w:rPr>
          <w:rFonts w:ascii="Times New Roman" w:cs="Times New Roman" w:eastAsia="Times New Roman" w:hAnsi="Times New Roman"/>
          <w:color w:val="2F2F2F"/>
          <w:sz w:val="24"/>
          <w:szCs w:val="24"/>
        </w:rPr>
        <w:t xml:space="preserve">Wine Quality Dataset  |  Group 10  |  Brandon Franks</w:t>
      </w:r>
    </w:p>
    <w:p>
      <w:pPr>
        <w:shd w:fill="8B0000" w:val="clear"/>
        <w:spacing w:before="280" w:after="140"/>
        <w:ind w:left="120" w:right="120"/>
      </w:pPr>
      <w:r>
        <w:rPr>
          <w:rFonts w:ascii="Times New Roman" w:cs="Times New Roman" w:eastAsia="Times New Roman" w:hAnsi="Times New Roman"/>
          <w:b/>
          <w:bCs/>
          <w:color w:val="FFFFFF"/>
          <w:sz w:val="26"/>
          <w:szCs w:val="26"/>
        </w:rPr>
        <w:t xml:space="preserve">1.  Working Project Title</w:t>
      </w:r>
    </w:p>
    <w:p>
      <w:pPr>
        <w:spacing w:after="120"/>
      </w:pPr>
      <w:r>
        <w:rPr>
          <w:rFonts w:ascii="Times New Roman" w:cs="Times New Roman" w:eastAsia="Times New Roman" w:hAnsi="Times New Roman"/>
          <w:b w:val="false"/>
          <w:bCs w:val="false"/>
          <w:color w:val="2F2F2F"/>
          <w:sz w:val="24"/>
          <w:szCs w:val="24"/>
        </w:rPr>
        <w:t xml:space="preserve">Physicochemical Predictors of Wine Quality: A Statistical Analysis of Vinho Verde Red and White Wines</w:t>
      </w:r>
    </w:p>
    <w:p>
      <w:pPr>
        <w:shd w:fill="8B0000" w:val="clear"/>
        <w:spacing w:before="280" w:after="140"/>
        <w:ind w:left="120" w:right="120"/>
      </w:pPr>
      <w:r>
        <w:rPr>
          <w:rFonts w:ascii="Times New Roman" w:cs="Times New Roman" w:eastAsia="Times New Roman" w:hAnsi="Times New Roman"/>
          <w:b/>
          <w:bCs/>
          <w:color w:val="FFFFFF"/>
          <w:sz w:val="26"/>
          <w:szCs w:val="26"/>
        </w:rPr>
        <w:t xml:space="preserve">2.  Statistical Research Question</w:t>
      </w:r>
    </w:p>
    <w:p>
      <w:pPr>
        <w:spacing w:after="120"/>
      </w:pPr>
      <w:r>
        <w:rPr>
          <w:rFonts w:ascii="Times New Roman" w:cs="Times New Roman" w:eastAsia="Times New Roman" w:hAnsi="Times New Roman"/>
          <w:color w:val="2F2F2F"/>
          <w:sz w:val="24"/>
          <w:szCs w:val="24"/>
        </w:rPr>
        <w:t xml:space="preserve">Is the mean alcohol content of </w:t>
      </w:r>
      <w:r>
        <w:rPr>
          <w:rFonts w:ascii="Times New Roman" w:cs="Times New Roman" w:eastAsia="Times New Roman" w:hAnsi="Times New Roman"/>
          <w:color w:val="2F2F2F"/>
          <w:sz w:val="24"/>
          <w:szCs w:val="24"/>
        </w:rPr>
        <w:t xml:space="preserve">high-quality</w:t>
      </w:r>
      <w:r>
        <w:rPr>
          <w:rFonts w:ascii="Times New Roman" w:cs="Times New Roman" w:eastAsia="Times New Roman" w:hAnsi="Times New Roman"/>
          <w:color w:val="2F2F2F"/>
          <w:sz w:val="24"/>
          <w:szCs w:val="24"/>
        </w:rPr>
        <w:t xml:space="preserve"> red wines (quality ≥ 7) significantly greater than the mean alcohol content of </w:t>
      </w:r>
      <w:r>
        <w:rPr>
          <w:rFonts w:ascii="Times New Roman" w:cs="Times New Roman" w:eastAsia="Times New Roman" w:hAnsi="Times New Roman"/>
          <w:color w:val="2F2F2F"/>
          <w:sz w:val="24"/>
          <w:szCs w:val="24"/>
        </w:rPr>
        <w:t xml:space="preserve">low-to-average-quality</w:t>
      </w:r>
      <w:r>
        <w:rPr>
          <w:rFonts w:ascii="Times New Roman" w:cs="Times New Roman" w:eastAsia="Times New Roman" w:hAnsi="Times New Roman"/>
          <w:color w:val="2F2F2F"/>
          <w:sz w:val="24"/>
          <w:szCs w:val="24"/>
        </w:rPr>
        <w:t xml:space="preserve"> red wines (quality ≤ 5)?</w:t>
      </w:r>
    </w:p>
    <w:p>
      <w:pPr>
        <w:spacing w:after="120"/>
      </w:pPr>
      <w:r>
        <w:rPr>
          <w:rFonts w:ascii="Times New Roman" w:cs="Times New Roman" w:eastAsia="Times New Roman" w:hAnsi="Times New Roman"/>
          <w:b w:val="false"/>
          <w:bCs w:val="false"/>
          <w:color w:val="2F2F2F"/>
          <w:sz w:val="24"/>
          <w:szCs w:val="24"/>
        </w:rPr>
        <w:t xml:space="preserve">This question is specific, measurable, and directly answerable through inferential statistics. Alcohol content is the strongest physicochemical predictor of quality identified in prior research on this dataset, making it a well-motivated focus for two-sample inference.</w:t>
      </w:r>
    </w:p>
    <w:p>
      <w:pPr>
        <w:shd w:fill="8B0000" w:val="clear"/>
        <w:spacing w:before="280" w:after="140"/>
        <w:ind w:left="120" w:right="120"/>
      </w:pPr>
      <w:r>
        <w:rPr>
          <w:rFonts w:ascii="Times New Roman" w:cs="Times New Roman" w:eastAsia="Times New Roman" w:hAnsi="Times New Roman"/>
          <w:b/>
          <w:bCs/>
          <w:color w:val="FFFFFF"/>
          <w:sz w:val="26"/>
          <w:szCs w:val="26"/>
        </w:rPr>
        <w:t xml:space="preserve">3.  Population and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07070" w:sz="1"/>
              <w:left w:val="single" w:color="C07070" w:sz="1"/>
              <w:bottom w:val="single" w:color="C07070" w:sz="1"/>
              <w:right w:val="single" w:color="C07070" w:sz="1"/>
            </w:tcBorders>
            <w:shd w:fill="F5E0E0" w:val="clear"/>
            <w:tcMar>
              <w:top w:type="dxa" w:w="80"/>
              <w:left w:type="dxa" w:w="120"/>
              <w:bottom w:type="dxa" w:w="80"/>
              <w:right w:type="dxa" w:w="120"/>
            </w:tcMar>
          </w:tcPr>
          <w:p>
            <w:r>
              <w:rPr>
                <w:rFonts w:ascii="Times New Roman" w:cs="Times New Roman" w:eastAsia="Times New Roman" w:hAnsi="Times New Roman"/>
                <w:b/>
                <w:bCs/>
                <w:color w:val="6B0000"/>
                <w:sz w:val="24"/>
                <w:szCs w:val="24"/>
              </w:rPr>
              <w:t xml:space="preserve">Population</w:t>
            </w:r>
          </w:p>
        </w:tc>
        <w:tc>
          <w:tcPr>
            <w:tcW w:type="dxa" w:w="686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All Vinho Verde red wines produced in the Minho region of northwest Portugal and submitted for official quality certification.</w:t>
            </w:r>
          </w:p>
        </w:tc>
      </w:tr>
      <w:tr>
        <w:tc>
          <w:tcPr>
            <w:tcW w:type="dxa" w:w="2500"/>
            <w:tcBorders>
              <w:top w:val="single" w:color="C07070" w:sz="1"/>
              <w:left w:val="single" w:color="C07070" w:sz="1"/>
              <w:bottom w:val="single" w:color="C07070" w:sz="1"/>
              <w:right w:val="single" w:color="C07070" w:sz="1"/>
            </w:tcBorders>
            <w:shd w:fill="F5E0E0" w:val="clear"/>
            <w:tcMar>
              <w:top w:type="dxa" w:w="80"/>
              <w:left w:type="dxa" w:w="120"/>
              <w:bottom w:type="dxa" w:w="80"/>
              <w:right w:type="dxa" w:w="120"/>
            </w:tcMar>
          </w:tcPr>
          <w:p>
            <w:r>
              <w:rPr>
                <w:rFonts w:ascii="Times New Roman" w:cs="Times New Roman" w:eastAsia="Times New Roman" w:hAnsi="Times New Roman"/>
                <w:b/>
                <w:bCs/>
                <w:color w:val="6B0000"/>
                <w:sz w:val="24"/>
                <w:szCs w:val="24"/>
              </w:rPr>
              <w:t xml:space="preserve">Sample</w:t>
            </w:r>
          </w:p>
        </w:tc>
        <w:tc>
          <w:tcPr>
            <w:tcW w:type="dxa" w:w="686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1,599 red wine samples collected by the CVRVV between May 2004 and February 2007, each with certified physicochemical measurements and sensory quality scores.</w:t>
            </w:r>
          </w:p>
        </w:tc>
      </w:tr>
      <w:tr>
        <w:tc>
          <w:tcPr>
            <w:tcW w:type="dxa" w:w="2500"/>
            <w:tcBorders>
              <w:top w:val="single" w:color="C07070" w:sz="1"/>
              <w:left w:val="single" w:color="C07070" w:sz="1"/>
              <w:bottom w:val="single" w:color="C07070" w:sz="1"/>
              <w:right w:val="single" w:color="C07070" w:sz="1"/>
            </w:tcBorders>
            <w:shd w:fill="F5E0E0" w:val="clear"/>
            <w:tcMar>
              <w:top w:type="dxa" w:w="80"/>
              <w:left w:type="dxa" w:w="120"/>
              <w:bottom w:type="dxa" w:w="80"/>
              <w:right w:type="dxa" w:w="120"/>
            </w:tcMar>
          </w:tcPr>
          <w:p>
            <w:r>
              <w:rPr>
                <w:rFonts w:ascii="Times New Roman" w:cs="Times New Roman" w:eastAsia="Times New Roman" w:hAnsi="Times New Roman"/>
                <w:b/>
                <w:bCs/>
                <w:color w:val="6B0000"/>
                <w:sz w:val="24"/>
                <w:szCs w:val="24"/>
              </w:rPr>
              <w:t xml:space="preserve">Note on Scope</w:t>
            </w:r>
          </w:p>
        </w:tc>
        <w:tc>
          <w:tcPr>
            <w:tcW w:type="dxa" w:w="686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The white wine dataset (4,898 samples) may be incorporated in a later stage for comparison, but the primary inference focuses on red wine.</w:t>
            </w:r>
          </w:p>
        </w:tc>
      </w:tr>
    </w:tbl>
    <w:p>
      <w:pPr>
        <w:spacing w:after="200"/>
      </w:pPr>
    </w:p>
    <w:p>
      <w:pPr>
        <w:shd w:fill="8B0000" w:val="clear"/>
        <w:spacing w:before="280" w:after="140"/>
        <w:ind w:left="120" w:right="120"/>
      </w:pPr>
      <w:r>
        <w:rPr>
          <w:rFonts w:ascii="Times New Roman" w:cs="Times New Roman" w:eastAsia="Times New Roman" w:hAnsi="Times New Roman"/>
          <w:b/>
          <w:bCs/>
          <w:color w:val="FFFFFF"/>
          <w:sz w:val="26"/>
          <w:szCs w:val="26"/>
        </w:rPr>
        <w:t xml:space="preserve">4.  Key Variables</w:t>
      </w:r>
    </w:p>
    <w:p>
      <w:pPr>
        <w:spacing w:after="120"/>
      </w:pPr>
      <w:r>
        <w:rPr>
          <w:rFonts w:ascii="Times New Roman" w:cs="Times New Roman" w:eastAsia="Times New Roman" w:hAnsi="Times New Roman"/>
          <w:b w:val="false"/>
          <w:bCs w:val="false"/>
          <w:color w:val="2F2F2F"/>
          <w:sz w:val="24"/>
          <w:szCs w:val="24"/>
        </w:rPr>
        <w:t xml:space="preserve">The analysis will center on the following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c>
          <w:tcPr>
            <w:tcW w:type="dxa" w:w="2000"/>
            <w:tcBorders>
              <w:top w:val="single" w:color="C07070" w:sz="1"/>
              <w:left w:val="single" w:color="C07070" w:sz="1"/>
              <w:bottom w:val="single" w:color="C07070" w:sz="1"/>
              <w:right w:val="single" w:color="C07070" w:sz="1"/>
            </w:tcBorders>
            <w:shd w:fill="8B0000"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Variable</w:t>
            </w:r>
          </w:p>
        </w:tc>
        <w:tc>
          <w:tcPr>
            <w:tcW w:type="dxa" w:w="1900"/>
            <w:tcBorders>
              <w:top w:val="single" w:color="C07070" w:sz="1"/>
              <w:left w:val="single" w:color="C07070" w:sz="1"/>
              <w:bottom w:val="single" w:color="C07070" w:sz="1"/>
              <w:right w:val="single" w:color="C07070" w:sz="1"/>
            </w:tcBorders>
            <w:shd w:fill="8B0000"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Role</w:t>
            </w:r>
          </w:p>
        </w:tc>
        <w:tc>
          <w:tcPr>
            <w:tcW w:type="dxa" w:w="5460"/>
            <w:tcBorders>
              <w:top w:val="single" w:color="C07070" w:sz="1"/>
              <w:left w:val="single" w:color="C07070" w:sz="1"/>
              <w:bottom w:val="single" w:color="C07070" w:sz="1"/>
              <w:right w:val="single" w:color="C07070" w:sz="1"/>
            </w:tcBorders>
            <w:shd w:fill="8B0000"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Description</w:t>
            </w:r>
          </w:p>
        </w:tc>
      </w:tr>
      <w:tr>
        <w:tc>
          <w:tcPr>
            <w:tcW w:type="dxa" w:w="2000"/>
            <w:tcBorders>
              <w:top w:val="single" w:color="C07070" w:sz="1"/>
              <w:left w:val="single" w:color="C07070" w:sz="1"/>
              <w:bottom w:val="single" w:color="C07070" w:sz="1"/>
              <w:right w:val="single" w:color="C07070" w:sz="1"/>
            </w:tcBorders>
            <w:shd w:fill="F5E0E0"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alcohol</w:t>
            </w:r>
          </w:p>
        </w:tc>
        <w:tc>
          <w:tcPr>
            <w:tcW w:type="dxa" w:w="190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Response (continuous)</w:t>
            </w:r>
          </w:p>
        </w:tc>
        <w:tc>
          <w:tcPr>
            <w:tcW w:type="dxa" w:w="546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 alcohol by volume (ratio scale). Red mean: 10.42%. High-quality group mean: 11.52%. Low-quality group mean: 9.93%.</w:t>
            </w:r>
          </w:p>
        </w:tc>
      </w:tr>
      <w:tr>
        <w:tc>
          <w:tcPr>
            <w:tcW w:type="dxa" w:w="2000"/>
            <w:tcBorders>
              <w:top w:val="single" w:color="C07070" w:sz="1"/>
              <w:left w:val="single" w:color="C07070" w:sz="1"/>
              <w:bottom w:val="single" w:color="C07070" w:sz="1"/>
              <w:right w:val="single" w:color="C07070" w:sz="1"/>
            </w:tcBorders>
            <w:shd w:fill="F5E0E0"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quality</w:t>
            </w:r>
          </w:p>
        </w:tc>
        <w:tc>
          <w:tcPr>
            <w:tcW w:type="dxa" w:w="190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Grouping variable</w:t>
            </w:r>
          </w:p>
        </w:tc>
        <w:tc>
          <w:tcPr>
            <w:tcW w:type="dxa" w:w="546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Ordinal score 0–10 from trained sensory panel (blind tasting, median of ≥ 3 assessors). Groups: high quality (≥ 7, n = 217) and low-to-average quality (≤ 5, n = 744).</w:t>
            </w:r>
          </w:p>
        </w:tc>
      </w:tr>
    </w:tbl>
    <w:p>
      <w:pPr>
        <w:spacing w:after="140"/>
      </w:pPr>
    </w:p>
    <w:p>
      <w:pPr>
        <w:spacing w:after="120"/>
      </w:pPr>
      <w:r>
        <w:rPr>
          <w:rFonts w:ascii="Times New Roman" w:cs="Times New Roman" w:eastAsia="Times New Roman" w:hAnsi="Times New Roman"/>
          <w:b w:val="false"/>
          <w:bCs w:val="false"/>
          <w:color w:val="2F2F2F"/>
          <w:sz w:val="24"/>
          <w:szCs w:val="24"/>
        </w:rPr>
        <w:t xml:space="preserve">Secondary variables for later stages include volatile acidity, sulphates, and residual sugar — all documented as quality-related in the source literature.</w:t>
      </w:r>
    </w:p>
    <w:p>
      <w:pPr>
        <w:shd w:fill="8B0000" w:val="clear"/>
        <w:spacing w:before="280" w:after="140"/>
        <w:ind w:left="120" w:right="120"/>
      </w:pPr>
      <w:r>
        <w:rPr>
          <w:rFonts w:ascii="Times New Roman" w:cs="Times New Roman" w:eastAsia="Times New Roman" w:hAnsi="Times New Roman"/>
          <w:b/>
          <w:bCs/>
          <w:color w:val="FFFFFF"/>
          <w:sz w:val="26"/>
          <w:szCs w:val="26"/>
        </w:rPr>
        <w:t xml:space="preserve">5.  Proposed Inferential Method</w:t>
      </w:r>
    </w:p>
    <w:p>
      <w:pPr>
        <w:spacing w:after="120"/>
      </w:pPr>
      <w:r>
        <w:rPr>
          <w:rFonts w:ascii="Times New Roman" w:cs="Times New Roman" w:eastAsia="Times New Roman" w:hAnsi="Times New Roman"/>
          <w:b/>
          <w:bCs/>
          <w:color w:val="2F2F2F"/>
          <w:sz w:val="24"/>
          <w:szCs w:val="24"/>
        </w:rPr>
        <w:t xml:space="preserve">Primary method: </w:t>
      </w:r>
      <w:r>
        <w:rPr>
          <w:rFonts w:ascii="Times New Roman" w:cs="Times New Roman" w:eastAsia="Times New Roman" w:hAnsi="Times New Roman"/>
          <w:color w:val="2F2F2F"/>
          <w:sz w:val="24"/>
          <w:szCs w:val="24"/>
        </w:rPr>
        <w:t xml:space="preserve">Two-sample t-test for the difference in population means (inference about a population mean).</w:t>
      </w:r>
    </w:p>
    <w:p>
      <w:pPr>
        <w:spacing w:after="120"/>
      </w:pPr>
      <w:r>
        <w:rPr>
          <w:rFonts w:ascii="Times New Roman" w:cs="Times New Roman" w:eastAsia="Times New Roman" w:hAnsi="Times New Roman"/>
          <w:b w:val="false"/>
          <w:bCs w:val="false"/>
          <w:color w:val="2F2F2F"/>
          <w:sz w:val="24"/>
          <w:szCs w:val="24"/>
        </w:rPr>
        <w:t xml:space="preserve">We will compare mean alcohol content between two independent groups defined by quality score. The two-sample t-test is appropriate because:</w:t>
      </w:r>
    </w:p>
    <w:p>
      <w:pPr>
        <w:pStyle w:val="ListParagraph"/>
        <w:numPr>
          <w:ilvl w:val="0"/>
          <w:numId w:val="2"/>
        </w:numPr>
        <w:spacing w:after="80"/>
      </w:pPr>
      <w:r>
        <w:rPr>
          <w:rFonts w:ascii="Times New Roman" w:cs="Times New Roman" w:eastAsia="Times New Roman" w:hAnsi="Times New Roman"/>
          <w:color w:val="2F2F2F"/>
          <w:sz w:val="24"/>
          <w:szCs w:val="24"/>
        </w:rPr>
        <w:t xml:space="preserve">The response variable (alcohol content) is continuous and measured on a ratio scale.</w:t>
      </w:r>
    </w:p>
    <w:p>
      <w:pPr>
        <w:pStyle w:val="ListParagraph"/>
        <w:numPr>
          <w:ilvl w:val="0"/>
          <w:numId w:val="2"/>
        </w:numPr>
        <w:spacing w:after="80"/>
      </w:pPr>
      <w:r>
        <w:rPr>
          <w:rFonts w:ascii="Times New Roman" w:cs="Times New Roman" w:eastAsia="Times New Roman" w:hAnsi="Times New Roman"/>
          <w:color w:val="2F2F2F"/>
          <w:sz w:val="24"/>
          <w:szCs w:val="24"/>
        </w:rPr>
        <w:t xml:space="preserve">The two quality-based groups are independent of one another.</w:t>
      </w:r>
    </w:p>
    <w:p>
      <w:pPr>
        <w:pStyle w:val="ListParagraph"/>
        <w:numPr>
          <w:ilvl w:val="0"/>
          <w:numId w:val="2"/>
        </w:numPr>
        <w:spacing w:after="80"/>
      </w:pPr>
      <w:r>
        <w:rPr>
          <w:rFonts w:ascii="Times New Roman" w:cs="Times New Roman" w:eastAsia="Times New Roman" w:hAnsi="Times New Roman"/>
          <w:color w:val="2F2F2F"/>
          <w:sz w:val="24"/>
          <w:szCs w:val="24"/>
        </w:rPr>
        <w:t xml:space="preserve">Both sample sizes are large enough to invoke the Central Limit Theorem, satisfying the normality assumption.</w:t>
      </w:r>
    </w:p>
    <w:p>
      <w:pPr>
        <w:pStyle w:val="ListParagraph"/>
        <w:numPr>
          <w:ilvl w:val="0"/>
          <w:numId w:val="2"/>
        </w:numPr>
        <w:spacing w:after="160"/>
      </w:pPr>
      <w:r>
        <w:rPr>
          <w:rFonts w:ascii="Times New Roman" w:cs="Times New Roman" w:eastAsia="Times New Roman" w:hAnsi="Times New Roman"/>
          <w:color w:val="2F2F2F"/>
          <w:sz w:val="24"/>
          <w:szCs w:val="24"/>
        </w:rPr>
        <w:t xml:space="preserve">Population variances are unknown and will be estimated from the samples (Welch's t-test applied if variances differ substantially).</w:t>
      </w:r>
    </w:p>
    <w:p>
      <w:pPr>
        <w:spacing w:after="120"/>
      </w:pPr>
      <w:r>
        <w:rPr>
          <w:rFonts w:ascii="Times New Roman" w:cs="Times New Roman" w:eastAsia="Times New Roman" w:hAnsi="Times New Roman"/>
          <w:color w:val="2F2F2F"/>
          <w:sz w:val="24"/>
          <w:szCs w:val="24"/>
        </w:rPr>
        <w:t xml:space="preserve">Future stages may incorporate </w:t>
      </w:r>
      <w:r>
        <w:rPr>
          <w:rFonts w:ascii="Times New Roman" w:cs="Times New Roman" w:eastAsia="Times New Roman" w:hAnsi="Times New Roman"/>
          <w:b/>
          <w:bCs/>
          <w:color w:val="2F2F2F"/>
          <w:sz w:val="24"/>
          <w:szCs w:val="24"/>
        </w:rPr>
        <w:t xml:space="preserve">ANOVA</w:t>
      </w:r>
      <w:r>
        <w:rPr>
          <w:rFonts w:ascii="Times New Roman" w:cs="Times New Roman" w:eastAsia="Times New Roman" w:hAnsi="Times New Roman"/>
          <w:color w:val="2F2F2F"/>
          <w:sz w:val="24"/>
          <w:szCs w:val="24"/>
        </w:rPr>
        <w:t xml:space="preserve"> to compare alcohol means across all quality levels, and </w:t>
      </w:r>
      <w:r>
        <w:rPr>
          <w:rFonts w:ascii="Times New Roman" w:cs="Times New Roman" w:eastAsia="Times New Roman" w:hAnsi="Times New Roman"/>
          <w:b/>
          <w:bCs/>
          <w:color w:val="2F2F2F"/>
          <w:sz w:val="24"/>
          <w:szCs w:val="24"/>
        </w:rPr>
        <w:t xml:space="preserve">simple linear regression</w:t>
      </w:r>
      <w:r>
        <w:rPr>
          <w:rFonts w:ascii="Times New Roman" w:cs="Times New Roman" w:eastAsia="Times New Roman" w:hAnsi="Times New Roman"/>
          <w:color w:val="2F2F2F"/>
          <w:sz w:val="24"/>
          <w:szCs w:val="24"/>
        </w:rPr>
        <w:t xml:space="preserve"> to model alcohol as a continuous predictor of quality.</w:t>
      </w:r>
    </w:p>
    <w:p>
      <w:pPr>
        <w:shd w:fill="8B0000" w:val="clear"/>
        <w:spacing w:before="280" w:after="140"/>
        <w:ind w:left="120" w:right="120"/>
      </w:pPr>
      <w:r>
        <w:rPr>
          <w:rFonts w:ascii="Times New Roman" w:cs="Times New Roman" w:eastAsia="Times New Roman" w:hAnsi="Times New Roman"/>
          <w:b/>
          <w:bCs/>
          <w:color w:val="FFFFFF"/>
          <w:sz w:val="26"/>
          <w:szCs w:val="26"/>
        </w:rPr>
        <w:t xml:space="preserve">6.  Preliminary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7070" w:sz="1"/>
              <w:left w:val="single" w:color="C07070" w:sz="1"/>
              <w:bottom w:val="single" w:color="C07070" w:sz="1"/>
              <w:right w:val="single" w:color="C07070" w:sz="1"/>
            </w:tcBorders>
            <w:shd w:fill="F5E0E0" w:val="clear"/>
            <w:tcMar>
              <w:top w:type="dxa" w:w="80"/>
              <w:left w:type="dxa" w:w="120"/>
              <w:bottom w:type="dxa" w:w="80"/>
              <w:right w:type="dxa" w:w="120"/>
            </w:tcMar>
          </w:tcPr>
          <w:p>
            <w:r>
              <w:rPr>
                <w:rFonts w:ascii="Times New Roman" w:cs="Times New Roman" w:eastAsia="Times New Roman" w:hAnsi="Times New Roman"/>
                <w:b/>
                <w:bCs/>
                <w:color w:val="6B0000"/>
                <w:sz w:val="24"/>
                <w:szCs w:val="24"/>
              </w:rPr>
              <w:t xml:space="preserve">H₀ (Null)</w:t>
            </w:r>
          </w:p>
        </w:tc>
        <w:tc>
          <w:tcPr>
            <w:tcW w:type="dxa" w:w="756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The mean alcohol content of high-quality red wines (quality ≥ 7) equals the mean alcohol content of low-to-average-quality red wines (quality ≤ 5): μ₁ = μ₂.</w:t>
            </w:r>
          </w:p>
        </w:tc>
      </w:tr>
      <w:tr>
        <w:tc>
          <w:tcPr>
            <w:tcW w:type="dxa" w:w="1800"/>
            <w:tcBorders>
              <w:top w:val="single" w:color="C07070" w:sz="1"/>
              <w:left w:val="single" w:color="C07070" w:sz="1"/>
              <w:bottom w:val="single" w:color="C07070" w:sz="1"/>
              <w:right w:val="single" w:color="C07070" w:sz="1"/>
            </w:tcBorders>
            <w:shd w:fill="F5E0E0" w:val="clear"/>
            <w:tcMar>
              <w:top w:type="dxa" w:w="80"/>
              <w:left w:type="dxa" w:w="120"/>
              <w:bottom w:type="dxa" w:w="80"/>
              <w:right w:type="dxa" w:w="120"/>
            </w:tcMar>
          </w:tcPr>
          <w:p>
            <w:r>
              <w:rPr>
                <w:rFonts w:ascii="Times New Roman" w:cs="Times New Roman" w:eastAsia="Times New Roman" w:hAnsi="Times New Roman"/>
                <w:b/>
                <w:bCs/>
                <w:color w:val="6B0000"/>
                <w:sz w:val="24"/>
                <w:szCs w:val="24"/>
              </w:rPr>
              <w:t xml:space="preserve">H₁ (Alternative)</w:t>
            </w:r>
          </w:p>
        </w:tc>
        <w:tc>
          <w:tcPr>
            <w:tcW w:type="dxa" w:w="7560"/>
            <w:tcBorders>
              <w:top w:val="single" w:color="C07070" w:sz="1"/>
              <w:left w:val="single" w:color="C07070" w:sz="1"/>
              <w:bottom w:val="single" w:color="C07070" w:sz="1"/>
              <w:right w:val="single" w:color="C07070" w:sz="1"/>
            </w:tcBorders>
            <w:shd w:fill="FFFAFA" w:val="clear"/>
            <w:tcMar>
              <w:top w:type="dxa" w:w="80"/>
              <w:left w:type="dxa" w:w="120"/>
              <w:bottom w:type="dxa" w:w="80"/>
              <w:right w:type="dxa" w:w="120"/>
            </w:tcMar>
          </w:tcPr>
          <w:p>
            <w:r>
              <w:rPr>
                <w:rFonts w:ascii="Times New Roman" w:cs="Times New Roman" w:eastAsia="Times New Roman" w:hAnsi="Times New Roman"/>
                <w:color w:val="2F2F2F"/>
                <w:sz w:val="24"/>
                <w:szCs w:val="24"/>
              </w:rPr>
              <w:t xml:space="preserve">The mean alcohol content of high-quality red wines is greater than that of low-to-average-quality red wines: μ₁ &gt; μ₂ (one-tailed, directional).</w:t>
            </w:r>
          </w:p>
        </w:tc>
      </w:tr>
    </w:tbl>
    <w:p>
      <w:pPr>
        <w:spacing w:after="120"/>
      </w:pPr>
    </w:p>
    <w:p>
      <w:pPr>
        <w:spacing w:after="120"/>
      </w:pPr>
      <w:r>
        <w:rPr>
          <w:rFonts w:ascii="Times New Roman" w:cs="Times New Roman" w:eastAsia="Times New Roman" w:hAnsi="Times New Roman"/>
          <w:b w:val="false"/>
          <w:bCs w:val="false"/>
          <w:color w:val="2F2F2F"/>
          <w:sz w:val="24"/>
          <w:szCs w:val="24"/>
        </w:rPr>
        <w:t xml:space="preserve">Significance level: α = 0.05. A one-tailed test is justified because existing literature and exploratory statistics consistently show a positive association between alcohol and quality for Vinho Verde red wines.</w:t>
      </w:r>
    </w:p>
    <w:p>
      <w:pPr>
        <w:shd w:fill="8B0000" w:val="clear"/>
        <w:spacing w:before="280" w:after="140"/>
        <w:ind w:left="120" w:right="120"/>
      </w:pPr>
      <w:r>
        <w:rPr>
          <w:rFonts w:ascii="Times New Roman" w:cs="Times New Roman" w:eastAsia="Times New Roman" w:hAnsi="Times New Roman"/>
          <w:b/>
          <w:bCs/>
          <w:color w:val="FFFFFF"/>
          <w:sz w:val="26"/>
          <w:szCs w:val="26"/>
        </w:rPr>
        <w:t xml:space="preserve">7.  Data Readiness Check</w:t>
      </w:r>
    </w:p>
    <w:p>
      <w:pPr>
        <w:spacing w:after="120"/>
      </w:pPr>
      <w:r>
        <w:rPr>
          <w:rFonts w:ascii="Times New Roman" w:cs="Times New Roman" w:eastAsia="Times New Roman" w:hAnsi="Times New Roman"/>
          <w:b/>
          <w:bCs/>
          <w:color w:val="2F2F2F"/>
          <w:sz w:val="24"/>
          <w:szCs w:val="24"/>
        </w:rPr>
        <w:t xml:space="preserve">Missing values: </w:t>
      </w:r>
      <w:r>
        <w:rPr>
          <w:rFonts w:ascii="Times New Roman" w:cs="Times New Roman" w:eastAsia="Times New Roman" w:hAnsi="Times New Roman"/>
          <w:color w:val="2F2F2F"/>
          <w:sz w:val="24"/>
          <w:szCs w:val="24"/>
        </w:rPr>
        <w:t xml:space="preserve">None detected. All 1,599 red wine rows are complete across all 12 variables.</w:t>
      </w:r>
    </w:p>
    <w:p>
      <w:pPr>
        <w:spacing w:after="120"/>
      </w:pPr>
      <w:r>
        <w:rPr>
          <w:rFonts w:ascii="Times New Roman" w:cs="Times New Roman" w:eastAsia="Times New Roman" w:hAnsi="Times New Roman"/>
          <w:b/>
          <w:bCs/>
          <w:color w:val="2F2F2F"/>
          <w:sz w:val="24"/>
          <w:szCs w:val="24"/>
        </w:rPr>
        <w:t xml:space="preserve">Outliers: </w:t>
      </w:r>
      <w:r>
        <w:rPr>
          <w:rFonts w:ascii="Times New Roman" w:cs="Times New Roman" w:eastAsia="Times New Roman" w:hAnsi="Times New Roman"/>
          <w:color w:val="2F2F2F"/>
          <w:sz w:val="24"/>
          <w:szCs w:val="24"/>
        </w:rPr>
        <w:t xml:space="preserve">Several variables (residual sugar, chlorides, free/total SO₂) show extreme high values relative to their means. These will be evaluated with box plots and z-scores before final analysis. Alcohol-specific outliers appear limited and will not be removed unless they represent data entry errors.</w:t>
      </w:r>
    </w:p>
    <w:p>
      <w:pPr>
        <w:spacing w:after="120"/>
      </w:pPr>
      <w:r>
        <w:rPr>
          <w:rFonts w:ascii="Times New Roman" w:cs="Times New Roman" w:eastAsia="Times New Roman" w:hAnsi="Times New Roman"/>
          <w:b/>
          <w:bCs/>
          <w:color w:val="2F2F2F"/>
          <w:sz w:val="24"/>
          <w:szCs w:val="24"/>
        </w:rPr>
        <w:t xml:space="preserve">Grouping decisions: </w:t>
      </w:r>
      <w:r>
        <w:rPr>
          <w:rFonts w:ascii="Times New Roman" w:cs="Times New Roman" w:eastAsia="Times New Roman" w:hAnsi="Times New Roman"/>
          <w:color w:val="2F2F2F"/>
          <w:sz w:val="24"/>
          <w:szCs w:val="24"/>
        </w:rPr>
        <w:t xml:space="preserve">Quality scores of 6 (modal value, n = 638) are excluded from the primary two-group comparison to create a cleaner contrast. This will be noted as a limitation.</w:t>
      </w:r>
    </w:p>
    <w:p>
      <w:pPr>
        <w:spacing w:after="120"/>
      </w:pPr>
      <w:r>
        <w:rPr>
          <w:rFonts w:ascii="Times New Roman" w:cs="Times New Roman" w:eastAsia="Times New Roman" w:hAnsi="Times New Roman"/>
          <w:b/>
          <w:bCs/>
          <w:color w:val="2F2F2F"/>
          <w:sz w:val="24"/>
          <w:szCs w:val="24"/>
        </w:rPr>
        <w:t xml:space="preserve">Coding: </w:t>
      </w:r>
      <w:r>
        <w:rPr>
          <w:rFonts w:ascii="Times New Roman" w:cs="Times New Roman" w:eastAsia="Times New Roman" w:hAnsi="Times New Roman"/>
          <w:color w:val="2F2F2F"/>
          <w:sz w:val="24"/>
          <w:szCs w:val="24"/>
        </w:rPr>
        <w:t xml:space="preserve">All physicochemical variables are numeric and require no re-coding. Quality is treated as a grouping variable, not a continuous response, in the t-test stage.</w:t>
      </w:r>
    </w:p>
    <w:p>
      <w:pPr>
        <w:spacing w:after="120"/>
      </w:pPr>
      <w:r>
        <w:rPr>
          <w:rFonts w:ascii="Times New Roman" w:cs="Times New Roman" w:eastAsia="Times New Roman" w:hAnsi="Times New Roman"/>
          <w:b/>
          <w:bCs/>
          <w:color w:val="2F2F2F"/>
          <w:sz w:val="24"/>
          <w:szCs w:val="24"/>
        </w:rPr>
        <w:t xml:space="preserve">Sample sizes: </w:t>
      </w:r>
      <w:r>
        <w:rPr>
          <w:rFonts w:ascii="Times New Roman" w:cs="Times New Roman" w:eastAsia="Times New Roman" w:hAnsi="Times New Roman"/>
          <w:color w:val="2F2F2F"/>
          <w:sz w:val="24"/>
          <w:szCs w:val="24"/>
        </w:rPr>
        <w:t xml:space="preserve">High-quality group (quality ≥ 7): n = 217. Low-to-average group (quality ≤ 5): n = 744. Both are sufficiently large for the CLT to apply.</w:t>
      </w:r>
    </w:p>
    <w:p>
      <w:pPr>
        <w:shd w:fill="8B0000" w:val="clear"/>
        <w:spacing w:before="280" w:after="140"/>
        <w:ind w:left="120" w:right="120"/>
      </w:pPr>
      <w:r>
        <w:rPr>
          <w:rFonts w:ascii="Times New Roman" w:cs="Times New Roman" w:eastAsia="Times New Roman" w:hAnsi="Times New Roman"/>
          <w:b/>
          <w:bCs/>
          <w:color w:val="FFFFFF"/>
          <w:sz w:val="26"/>
          <w:szCs w:val="26"/>
        </w:rPr>
        <w:t xml:space="preserve">8.  Expected Insight or Conclusion</w:t>
      </w:r>
    </w:p>
    <w:p>
      <w:pPr>
        <w:spacing w:after="120"/>
      </w:pPr>
      <w:r>
        <w:rPr>
          <w:rFonts w:ascii="Times New Roman" w:cs="Times New Roman" w:eastAsia="Times New Roman" w:hAnsi="Times New Roman"/>
          <w:b w:val="false"/>
          <w:bCs w:val="false"/>
          <w:color w:val="2F2F2F"/>
          <w:sz w:val="24"/>
          <w:szCs w:val="24"/>
        </w:rPr>
        <w:t xml:space="preserve">We expect to find statistically significant evidence that high-quality red wines have a higher mean alcohol content than low-to-average-quality red wines. If confirmed, this would suggest that alcohol concentration is a meaningful, objectively measurable predictor of perceived wine quality — a result with practical implications for producers who can influence alcohol levels by monitoring grape sugar content prior to harvest.</w:t>
      </w:r>
    </w:p>
    <w:p>
      <w:pPr>
        <w:spacing w:after="120"/>
      </w:pPr>
      <w:r>
        <w:rPr>
          <w:rFonts w:ascii="Times New Roman" w:cs="Times New Roman" w:eastAsia="Times New Roman" w:hAnsi="Times New Roman"/>
          <w:b w:val="false"/>
          <w:bCs w:val="false"/>
          <w:color w:val="2F2F2F"/>
          <w:sz w:val="24"/>
          <w:szCs w:val="24"/>
        </w:rPr>
        <w:t xml:space="preserve">More broadly, this analysis lays the groundwork for the regression and ANOVA extensions planned in subsequent stages, contributing to the project's larger goal of identifying which physicochemical attributes most reliably distinguish higher-rated wines.</w:t>
      </w:r>
    </w:p>
    <w:p>
      <w:pPr>
        <w:pBdr>
          <w:top w:val="single" w:color="8B0000" w:sz="4" w:space="1"/>
        </w:pBdr>
        <w:spacing w:before="280"/>
        <w:jc w:val="center"/>
      </w:pPr>
      <w:r>
        <w:rPr>
          <w:rFonts w:ascii="Times New Roman" w:cs="Times New Roman" w:eastAsia="Times New Roman" w:hAnsi="Times New Roman"/>
          <w:color w:val="8B0000"/>
          <w:sz w:val="18"/>
          <w:szCs w:val="18"/>
        </w:rPr>
        <w:t xml:space="preserve">MAS 202  |  Group 10  |  Wine Quality Dataset  |  Stage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ind w:left="720" w:hanging="360"/>
      </w:pPr>
      <w:rPr>
        <w:rFonts w:ascii="Times New Roman" w:cs="Times New Roman" w:eastAsia="Times New Roman" w:hAnsi="Times New Roman"/>
        <w:color w:val="2F2F2F"/>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F2F2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2026-02-27T15:04:53.972Z</dcterms:created>
  <dcterms:modified xsi:type="dcterms:W3CDTF">2026-02-27T15:04:53.973Z</dcterms:modified>
</cp:coreProperties>
</file>

<file path=docProps/custom.xml><?xml version="1.0" encoding="utf-8"?>
<Properties xmlns="http://schemas.openxmlformats.org/officeDocument/2006/custom-properties" xmlns:vt="http://schemas.openxmlformats.org/officeDocument/2006/docPropsVTypes"/>
</file>