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160"/>
        <w:jc w:val="center"/>
      </w:pPr>
      <w:r>
        <w:drawing>
          <wp:inline distT="0" distB="0" distL="0" distR="0">
            <wp:extent cx="1143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314450"/>
                    </a:xfrm>
                    <a:prstGeom prst="rect">
                      <a:avLst/>
                    </a:prstGeom>
                  </pic:spPr>
                </pic:pic>
              </a:graphicData>
            </a:graphic>
          </wp:inline>
        </w:drawing>
      </w:r>
    </w:p>
    <w:p>
      <w:pPr>
        <w:spacing w:before="0" w:after="0"/>
        <w:jc w:val="center"/>
      </w:pPr>
      <w:r>
        <w:rPr>
          <w:rFonts w:ascii="Arial" w:cs="Arial" w:eastAsia="Arial" w:hAnsi="Arial"/>
          <w:b/>
          <w:bCs/>
          <w:color w:val="7C3AED"/>
          <w:sz w:val="72"/>
          <w:szCs w:val="72"/>
        </w:rPr>
        <w:t xml:space="preserve">InnoVint</w:t>
      </w:r>
    </w:p>
    <w:p>
      <w:pPr>
        <w:spacing w:before="0" w:after="80"/>
        <w:jc w:val="center"/>
      </w:pPr>
      <w:r>
        <w:rPr>
          <w:rFonts w:ascii="Arial" w:cs="Arial" w:eastAsia="Arial" w:hAnsi="Arial"/>
          <w:b/>
          <w:bCs/>
          <w:color w:val="2563EB"/>
          <w:sz w:val="48"/>
          <w:szCs w:val="48"/>
        </w:rPr>
        <w:t xml:space="preserve">→ PipesHub Connector</w:t>
      </w:r>
    </w:p>
    <w:p>
      <w:pPr>
        <w:spacing w:before="0" w:after="60"/>
        <w:jc w:val="center"/>
      </w:pPr>
      <w:r>
        <w:rPr>
          <w:rFonts w:ascii="Arial" w:cs="Arial" w:eastAsia="Arial" w:hAnsi="Arial"/>
          <w:color w:val="64748B"/>
          <w:sz w:val="28"/>
          <w:szCs w:val="28"/>
        </w:rPr>
        <w:t xml:space="preserve">Technical Documentation</w:t>
      </w:r>
    </w:p>
    <w:p>
      <w:pPr>
        <w:spacing w:before="0" w:after="60"/>
        <w:jc w:val="center"/>
      </w:pPr>
      <w:r>
        <w:rPr>
          <w:rFonts w:ascii="Arial" w:cs="Arial" w:eastAsia="Arial" w:hAnsi="Arial"/>
          <w:color w:val="94A3B8"/>
          <w:sz w:val="22"/>
          <w:szCs w:val="22"/>
        </w:rPr>
        <w:t xml:space="preserve">Version 1.1</w:t>
      </w:r>
    </w:p>
    <w:p>
      <w:pPr>
        <w:spacing w:before="0" w:after="240"/>
        <w:jc w:val="center"/>
      </w:pPr>
      <w:r>
        <w:rPr>
          <w:rFonts w:ascii="Arial" w:cs="Arial" w:eastAsia="Arial" w:hAnsi="Arial"/>
          <w:color w:val="94A3B8"/>
          <w:sz w:val="22"/>
          <w:szCs w:val="22"/>
        </w:rPr>
        <w:t xml:space="preserve">March 2026</w:t>
      </w:r>
    </w:p>
    <w:p>
      <w:pPr>
        <w:pBdr>
          <w:bottom w:val="single" w:color="2563EB" w:sz="8" w:space="4"/>
        </w:pBdr>
        <w:spacing w:before="0" w:after="240"/>
      </w:pPr>
      <w:r>
        <w:t xml:space="preserve"/>
      </w:r>
    </w:p>
    <w:p>
      <w:pPr>
        <w:spacing w:before="0" w:after="480"/>
        <w:jc w:val="center"/>
      </w:pPr>
      <w:r>
        <w:rPr>
          <w:rFonts w:ascii="Arial" w:cs="Arial" w:eastAsia="Arial" w:hAnsi="Arial"/>
          <w:color w:val="475569"/>
          <w:sz w:val="24"/>
          <w:szCs w:val="24"/>
        </w:rPr>
        <w:t xml:space="preserve">Ingests winery production data from InnoVint into PipesHub for enterprise search and AI-powered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7C3AED" w:sz="1"/>
              <w:left w:val="single" w:color="7C3AED" w:sz="1"/>
              <w:bottom w:val="single" w:color="7C3AED" w:sz="1"/>
              <w:right w:val="single" w:color="7C3AED" w:sz="1"/>
            </w:tcBorders>
            <w:shd w:fill="EDE9FE" w:val="clear"/>
            <w:tcMar>
              <w:top w:type="dxa" w:w="100"/>
              <w:left w:type="dxa" w:w="150"/>
              <w:bottom w:type="dxa" w:w="100"/>
              <w:right w:type="dxa" w:w="150"/>
            </w:tcMar>
          </w:tcPr>
          <w:p>
            <w:pPr>
              <w:jc w:val="center"/>
            </w:pPr>
            <w:r>
              <w:rPr>
                <w:rFonts w:ascii="Arial" w:cs="Arial" w:eastAsia="Arial" w:hAnsi="Arial"/>
                <w:b/>
                <w:bCs/>
                <w:color w:val="7C3AED"/>
                <w:sz w:val="48"/>
                <w:szCs w:val="48"/>
              </w:rPr>
              <w:t xml:space="preserve">6</w:t>
            </w:r>
          </w:p>
          <w:p>
            <w:pPr>
              <w:jc w:val="center"/>
            </w:pPr>
            <w:r>
              <w:rPr>
                <w:rFonts w:ascii="Arial" w:cs="Arial" w:eastAsia="Arial" w:hAnsi="Arial"/>
                <w:color w:val="7C3AED"/>
                <w:sz w:val="18"/>
                <w:szCs w:val="18"/>
              </w:rPr>
              <w:t xml:space="preserve">Entity Types</w:t>
            </w:r>
          </w:p>
        </w:tc>
        <w:tc>
          <w:tcPr>
            <w:tcW w:type="dxa" w:w="2340"/>
            <w:tcBorders>
              <w:top w:val="single" w:color="2563EB" w:sz="1"/>
              <w:left w:val="single" w:color="2563EB" w:sz="1"/>
              <w:bottom w:val="single" w:color="2563EB" w:sz="1"/>
              <w:right w:val="single" w:color="2563EB" w:sz="1"/>
            </w:tcBorders>
            <w:shd w:fill="DBEAFE" w:val="clear"/>
            <w:tcMar>
              <w:top w:type="dxa" w:w="100"/>
              <w:left w:type="dxa" w:w="150"/>
              <w:bottom w:type="dxa" w:w="100"/>
              <w:right w:type="dxa" w:w="150"/>
            </w:tcMar>
          </w:tcPr>
          <w:p>
            <w:pPr>
              <w:jc w:val="center"/>
            </w:pPr>
            <w:r>
              <w:rPr>
                <w:rFonts w:ascii="Arial" w:cs="Arial" w:eastAsia="Arial" w:hAnsi="Arial"/>
                <w:b/>
                <w:bCs/>
                <w:color w:val="2563EB"/>
                <w:sz w:val="48"/>
                <w:szCs w:val="48"/>
              </w:rPr>
              <w:t xml:space="preserve">2</w:t>
            </w:r>
          </w:p>
          <w:p>
            <w:pPr>
              <w:jc w:val="center"/>
            </w:pPr>
            <w:r>
              <w:rPr>
                <w:rFonts w:ascii="Arial" w:cs="Arial" w:eastAsia="Arial" w:hAnsi="Arial"/>
                <w:color w:val="2563EB"/>
                <w:sz w:val="18"/>
                <w:szCs w:val="18"/>
              </w:rPr>
              <w:t xml:space="preserve">Sync Modes</w:t>
            </w:r>
          </w:p>
        </w:tc>
        <w:tc>
          <w:tcPr>
            <w:tcW w:type="dxa" w:w="2340"/>
            <w:tcBorders>
              <w:top w:val="single" w:color="16A34A" w:sz="1"/>
              <w:left w:val="single" w:color="16A34A" w:sz="1"/>
              <w:bottom w:val="single" w:color="16A34A" w:sz="1"/>
              <w:right w:val="single" w:color="16A34A" w:sz="1"/>
            </w:tcBorders>
            <w:shd w:fill="DCFCE7" w:val="clear"/>
            <w:tcMar>
              <w:top w:type="dxa" w:w="100"/>
              <w:left w:type="dxa" w:w="150"/>
              <w:bottom w:type="dxa" w:w="100"/>
              <w:right w:type="dxa" w:w="150"/>
            </w:tcMar>
          </w:tcPr>
          <w:p>
            <w:pPr>
              <w:jc w:val="center"/>
            </w:pPr>
            <w:r>
              <w:rPr>
                <w:rFonts w:ascii="Arial" w:cs="Arial" w:eastAsia="Arial" w:hAnsi="Arial"/>
                <w:b/>
                <w:bCs/>
                <w:color w:val="16A34A"/>
                <w:sz w:val="48"/>
                <w:szCs w:val="48"/>
              </w:rPr>
              <w:t xml:space="preserve">2</w:t>
            </w:r>
          </w:p>
          <w:p>
            <w:pPr>
              <w:jc w:val="center"/>
            </w:pPr>
            <w:r>
              <w:rPr>
                <w:rFonts w:ascii="Arial" w:cs="Arial" w:eastAsia="Arial" w:hAnsi="Arial"/>
                <w:color w:val="16A34A"/>
                <w:sz w:val="18"/>
                <w:szCs w:val="18"/>
              </w:rPr>
              <w:t xml:space="preserve">Auth Methods</w:t>
            </w:r>
          </w:p>
        </w:tc>
        <w:tc>
          <w:tcPr>
            <w:tcW w:type="dxa" w:w="2340"/>
            <w:tcBorders>
              <w:top w:val="single" w:color="EA580C" w:sz="1"/>
              <w:left w:val="single" w:color="EA580C" w:sz="1"/>
              <w:bottom w:val="single" w:color="EA580C" w:sz="1"/>
              <w:right w:val="single" w:color="EA580C" w:sz="1"/>
            </w:tcBorders>
            <w:shd w:fill="FFEDD5" w:val="clear"/>
            <w:tcMar>
              <w:top w:type="dxa" w:w="100"/>
              <w:left w:type="dxa" w:w="150"/>
              <w:bottom w:type="dxa" w:w="100"/>
              <w:right w:type="dxa" w:w="150"/>
            </w:tcMar>
          </w:tcPr>
          <w:p>
            <w:pPr>
              <w:jc w:val="center"/>
            </w:pPr>
            <w:r>
              <w:rPr>
                <w:rFonts w:ascii="Arial" w:cs="Arial" w:eastAsia="Arial" w:hAnsi="Arial"/>
                <w:b/>
                <w:bCs/>
                <w:color w:val="EA580C"/>
                <w:sz w:val="48"/>
                <w:szCs w:val="48"/>
              </w:rPr>
              <w:t xml:space="preserve">2</w:t>
            </w:r>
          </w:p>
          <w:p>
            <w:pPr>
              <w:jc w:val="center"/>
            </w:pPr>
            <w:r>
              <w:rPr>
                <w:rFonts w:ascii="Arial" w:cs="Arial" w:eastAsia="Arial" w:hAnsi="Arial"/>
                <w:color w:val="EA580C"/>
                <w:sz w:val="18"/>
                <w:szCs w:val="18"/>
              </w:rPr>
              <w:t xml:space="preserve">Kafka Topics</w:t>
            </w:r>
          </w:p>
        </w:tc>
      </w:tr>
    </w:tbl>
    <w:p>
      <w:r>
        <w:br w:type="page"/>
      </w:r>
    </w:p>
    <w:p>
      <w:pPr>
        <w:pStyle w:val="Heading1"/>
        <w:pBdr>
          <w:bottom w:val="single" w:color="2563EB" w:sz="6" w:space="4"/>
        </w:pBdr>
        <w:spacing w:before="360" w:after="200"/>
      </w:pPr>
      <w:r>
        <w:rPr>
          <w:rFonts w:ascii="Arial" w:cs="Arial" w:eastAsia="Arial" w:hAnsi="Arial"/>
          <w:b/>
          <w:bCs/>
          <w:color w:val="334155"/>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6" w:space="4"/>
        </w:pBdr>
        <w:spacing w:before="360" w:after="200"/>
      </w:pPr>
      <w:r>
        <w:rPr>
          <w:rFonts w:ascii="Arial" w:cs="Arial" w:eastAsia="Arial" w:hAnsi="Arial"/>
          <w:b/>
          <w:bCs/>
          <w:color w:val="334155"/>
          <w:sz w:val="36"/>
          <w:szCs w:val="36"/>
        </w:rPr>
        <w:t xml:space="preserve">1. Overview</w:t>
      </w:r>
    </w:p>
    <w:p>
      <w:pPr>
        <w:spacing w:before="60" w:after="60"/>
      </w:pPr>
      <w:r>
        <w:rPr>
          <w:rFonts w:ascii="Arial" w:cs="Arial" w:eastAsia="Arial" w:hAnsi="Arial"/>
          <w:b w:val="false"/>
          <w:bCs w:val="false"/>
          <w:color w:val="334155"/>
          <w:sz w:val="22"/>
          <w:szCs w:val="22"/>
        </w:rPr>
        <w:t xml:space="preserve">The InnoVint → PipesHub Connector ingests winery production data from InnoVint’s REST API into PipesHub’s indexing and search platform. Once connected, your winery’s lots, vessels, lab analyses, work orders, case goods, and cost records become searchable and available for AI-powered Q&amp;A within PipesHub.</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1.1 What It Does</w:t>
      </w:r>
    </w:p>
    <w:p>
      <w:pPr>
        <w:pStyle w:val="ListParagraph"/>
        <w:numPr>
          <w:ilvl w:val="0"/>
          <w:numId w:val="2"/>
        </w:numPr>
        <w:spacing w:before="40" w:after="40"/>
      </w:pPr>
      <w:r>
        <w:rPr>
          <w:rFonts w:ascii="Arial" w:cs="Arial" w:eastAsia="Arial" w:hAnsi="Arial"/>
          <w:color w:val="334155"/>
          <w:sz w:val="22"/>
          <w:szCs w:val="22"/>
        </w:rPr>
        <w:t xml:space="preserve">Fetches all InnoVint entity types via authenticated REST API calls</w:t>
      </w:r>
    </w:p>
    <w:p>
      <w:pPr>
        <w:pStyle w:val="ListParagraph"/>
        <w:numPr>
          <w:ilvl w:val="0"/>
          <w:numId w:val="2"/>
        </w:numPr>
        <w:spacing w:before="40" w:after="40"/>
      </w:pPr>
      <w:r>
        <w:rPr>
          <w:rFonts w:ascii="Arial" w:cs="Arial" w:eastAsia="Arial" w:hAnsi="Arial"/>
          <w:color w:val="334155"/>
          <w:sz w:val="22"/>
          <w:szCs w:val="22"/>
        </w:rPr>
        <w:t xml:space="preserve">Transforms raw responses into typed WebpageRecord and TicketRecord objects</w:t>
      </w:r>
    </w:p>
    <w:p>
      <w:pPr>
        <w:pStyle w:val="ListParagraph"/>
        <w:numPr>
          <w:ilvl w:val="0"/>
          <w:numId w:val="2"/>
        </w:numPr>
        <w:spacing w:before="40" w:after="40"/>
      </w:pPr>
      <w:r>
        <w:rPr>
          <w:rFonts w:ascii="Arial" w:cs="Arial" w:eastAsia="Arial" w:hAnsi="Arial"/>
          <w:color w:val="334155"/>
          <w:sz w:val="22"/>
          <w:szCs w:val="22"/>
        </w:rPr>
        <w:t xml:space="preserve">Persists records and permission edges to PipesHub’s ArangoDB Graph DB</w:t>
      </w:r>
    </w:p>
    <w:p>
      <w:pPr>
        <w:pStyle w:val="ListParagraph"/>
        <w:numPr>
          <w:ilvl w:val="0"/>
          <w:numId w:val="2"/>
        </w:numPr>
        <w:spacing w:before="40" w:after="40"/>
      </w:pPr>
      <w:r>
        <w:rPr>
          <w:rFonts w:ascii="Arial" w:cs="Arial" w:eastAsia="Arial" w:hAnsi="Arial"/>
          <w:color w:val="334155"/>
          <w:sz w:val="22"/>
          <w:szCs w:val="22"/>
        </w:rPr>
        <w:t xml:space="preserve">Supports full and incremental sync using per-entity SyncPoints</w:t>
      </w:r>
    </w:p>
    <w:p>
      <w:pPr>
        <w:pStyle w:val="ListParagraph"/>
        <w:numPr>
          <w:ilvl w:val="0"/>
          <w:numId w:val="2"/>
        </w:numPr>
        <w:spacing w:before="40" w:after="40"/>
      </w:pPr>
      <w:r>
        <w:rPr>
          <w:rFonts w:ascii="Arial" w:cs="Arial" w:eastAsia="Arial" w:hAnsi="Arial"/>
          <w:color w:val="334155"/>
          <w:sz w:val="22"/>
          <w:szCs w:val="22"/>
        </w:rPr>
        <w:t xml:space="preserve">Grants READER permission to all active org users; OWNER to admins</w:t>
      </w:r>
    </w:p>
    <w:p>
      <w:pPr>
        <w:pStyle w:val="ListParagraph"/>
        <w:numPr>
          <w:ilvl w:val="0"/>
          <w:numId w:val="2"/>
        </w:numPr>
        <w:spacing w:before="40" w:after="40"/>
      </w:pPr>
      <w:r>
        <w:rPr>
          <w:rFonts w:ascii="Arial" w:cs="Arial" w:eastAsia="Arial" w:hAnsi="Arial"/>
          <w:color w:val="334155"/>
          <w:sz w:val="22"/>
          <w:szCs w:val="22"/>
        </w:rPr>
        <w:t xml:space="preserve">Implements stream_record() for on-demand content retrieval by the indexer</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1.2 What Gets Ingested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Entity Type</w:t>
            </w:r>
          </w:p>
        </w:tc>
        <w:tc>
          <w:tcPr>
            <w:tcW w:type="dxa" w:w="220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536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Key Fields</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Lots</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Wine lot records</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Vintage, varietal, appellation, vineyard, volume, status, tags, parent/child relationships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Vessels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Tanks, barrels, bins, kegs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Location, capacity, current volume, cooperage, toast level, contained lot</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Analysis</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Lab test results</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pH, TA, VA, Free/Total SO₂, alcohol, RS, Brix, malic acid, lactic acid, temperature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Work Orders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Cellar tasks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Title, type, status, assignee, priority, due date, associated lot/vessel</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Case Goods</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Finished wine inventory</w:t>
            </w:r>
          </w:p>
        </w:tc>
        <w:tc>
          <w:tcPr>
            <w:tcW w:type="dxa" w:w="5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SKU, product name, brand, vintage, bottle size, cases on hand, warehouse location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Costs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Lot cost entries</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Category, amount, vendor, cost date, unit, quantity, per-unit cost</w:t>
            </w:r>
          </w:p>
        </w:tc>
      </w:tr>
    </w:tbl>
    <w:p>
      <w:pPr>
        <w:spacing w:before="80" w:after="0"/>
      </w:pPr>
      <w:r>
        <w:t xml:space="preserve"/>
      </w:r>
    </w:p>
    <w:p>
      <w:pPr>
        <w:pStyle w:val="Heading1"/>
        <w:pBdr>
          <w:bottom w:val="single" w:color="2563EB" w:sz="6" w:space="4"/>
        </w:pBdr>
        <w:spacing w:before="360" w:after="200"/>
      </w:pPr>
      <w:r>
        <w:rPr>
          <w:rFonts w:ascii="Arial" w:cs="Arial" w:eastAsia="Arial" w:hAnsi="Arial"/>
          <w:b/>
          <w:bCs/>
          <w:color w:val="334155"/>
          <w:sz w:val="36"/>
          <w:szCs w:val="36"/>
        </w:rPr>
        <w:t xml:space="preserve">2. Architecture</w:t>
      </w:r>
    </w:p>
    <w:p>
      <w:pPr>
        <w:spacing w:before="60" w:after="60"/>
      </w:pPr>
      <w:r>
        <w:rPr>
          <w:rFonts w:ascii="Arial" w:cs="Arial" w:eastAsia="Arial" w:hAnsi="Arial"/>
          <w:b w:val="false"/>
          <w:bCs w:val="false"/>
          <w:color w:val="334155"/>
          <w:sz w:val="22"/>
          <w:szCs w:val="22"/>
        </w:rPr>
        <w:t xml:space="preserve">The connector follows PipesHub’s standard microservices pattern: a Python backend service handles all InnoVint communication and document transformation, while a Node.js module plugs into PipesHub’s existing Connector Manager for credential management and admin control.</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2.1 High-Level Data Flow</w:t>
      </w:r>
    </w:p>
    <w:p>
      <w:pPr>
        <w:spacing w:before="0" w:after="0"/>
      </w:pPr>
      <w:r>
        <w:t xml:space="preserve"/>
      </w:r>
    </w:p>
    <w:p>
      <w:pPr>
        <w:pBdr>
          <w:left w:val="single" w:color="2563EB" w:sz="12" w:space="8"/>
        </w:pBdr>
        <w:shd w:fill="DBEAFE" w:val="clear"/>
        <w:spacing w:before="80" w:after="80"/>
        <w:ind w:left="180" w:right="180"/>
      </w:pPr>
      <w:r>
        <w:rPr>
          <w:rFonts w:ascii="Arial" w:cs="Arial" w:eastAsia="Arial" w:hAnsi="Arial"/>
          <w:color w:val="334155"/>
          <w:sz w:val="20"/>
          <w:szCs w:val="20"/>
        </w:rPr>
        <w:t xml:space="preserve">  InnoVint API  →  InnovintClient  →  InnovintConnector  →  ArangoDB Graph DB  →  record-events  →  Indexer  →  stream_record()</w:t>
      </w:r>
    </w:p>
    <w:p>
      <w:pPr>
        <w:spacing w:before="80" w:after="0"/>
      </w:pPr>
      <w:r>
        <w:t xml:space="preserve"/>
      </w:r>
    </w:p>
    <w:p>
      <w:pPr>
        <w:spacing w:before="60" w:after="60"/>
      </w:pPr>
      <w:r>
        <w:rPr>
          <w:rFonts w:ascii="Arial" w:cs="Arial" w:eastAsia="Arial" w:hAnsi="Arial"/>
          <w:b/>
          <w:bCs/>
          <w:color w:val="334155"/>
          <w:sz w:val="22"/>
          <w:szCs w:val="22"/>
        </w:rPr>
        <w:t xml:space="preserve">The flow works in these stages:</w:t>
      </w:r>
    </w:p>
    <w:p>
      <w:pPr>
        <w:pStyle w:val="ListParagraph"/>
        <w:numPr>
          <w:ilvl w:val="0"/>
          <w:numId w:val="3"/>
        </w:numPr>
        <w:spacing w:before="40" w:after="40"/>
      </w:pPr>
      <w:r>
        <w:rPr>
          <w:rFonts w:ascii="Arial" w:cs="Arial" w:eastAsia="Arial" w:hAnsi="Arial"/>
          <w:color w:val="334155"/>
          <w:sz w:val="22"/>
          <w:szCs w:val="22"/>
        </w:rPr>
        <w:t xml:space="preserve">Admin saves credentials via the Node.js Connector Manager REST API. Config is stored in ETCD at services/connectors/innovint/{orgId}/config.</w:t>
      </w:r>
    </w:p>
    <w:p>
      <w:pPr>
        <w:pStyle w:val="ListParagraph"/>
        <w:numPr>
          <w:ilvl w:val="0"/>
          <w:numId w:val="3"/>
        </w:numPr>
        <w:spacing w:before="40" w:after="40"/>
      </w:pPr>
      <w:r>
        <w:rPr>
          <w:rFonts w:ascii="Arial" w:cs="Arial" w:eastAsia="Arial" w:hAnsi="Arial"/>
          <w:color w:val="334155"/>
          <w:sz w:val="22"/>
          <w:szCs w:val="22"/>
        </w:rPr>
        <w:t xml:space="preserve">The Connector Manager publishes innovint.resync to the sync-events Kafka topic. This is a lightweight trigger — credentials are NOT included in the event.</w:t>
      </w:r>
    </w:p>
    <w:p>
      <w:pPr>
        <w:pStyle w:val="ListParagraph"/>
        <w:numPr>
          <w:ilvl w:val="0"/>
          <w:numId w:val="3"/>
        </w:numPr>
        <w:spacing w:before="40" w:after="40"/>
      </w:pPr>
      <w:r>
        <w:rPr>
          <w:rFonts w:ascii="Arial" w:cs="Arial" w:eastAsia="Arial" w:hAnsi="Arial"/>
          <w:color w:val="334155"/>
          <w:sz w:val="22"/>
          <w:szCs w:val="22"/>
        </w:rPr>
        <w:t xml:space="preserve">The Python ConnectorFactory receives the event, instantiates InnovintConnector, and calls init(). The connector reads credentials directly from ETCD via ConfigurationService.get_config().</w:t>
      </w:r>
    </w:p>
    <w:p>
      <w:pPr>
        <w:pStyle w:val="ListParagraph"/>
        <w:numPr>
          <w:ilvl w:val="0"/>
          <w:numId w:val="3"/>
        </w:numPr>
        <w:spacing w:before="40" w:after="40"/>
      </w:pPr>
      <w:r>
        <w:rPr>
          <w:rFonts w:ascii="Arial" w:cs="Arial" w:eastAsia="Arial" w:hAnsi="Arial"/>
          <w:color w:val="334155"/>
          <w:sz w:val="22"/>
          <w:szCs w:val="22"/>
        </w:rPr>
        <w:t xml:space="preserve">run_sync() or run_incremental_sync() is called. A single sync_start_ts is captured before any fetch begins to prevent data gaps from clock skew between entity types.</w:t>
      </w:r>
    </w:p>
    <w:p>
      <w:pPr>
        <w:pStyle w:val="ListParagraph"/>
        <w:numPr>
          <w:ilvl w:val="0"/>
          <w:numId w:val="3"/>
        </w:numPr>
        <w:spacing w:before="40" w:after="40"/>
      </w:pPr>
      <w:r>
        <w:rPr>
          <w:rFonts w:ascii="Arial" w:cs="Arial" w:eastAsia="Arial" w:hAnsi="Arial"/>
          <w:color w:val="334155"/>
          <w:sz w:val="22"/>
          <w:szCs w:val="22"/>
        </w:rPr>
        <w:t xml:space="preserve">InnovintClient fetches paginated records from InnoVint’s REST API with retries and rate-limit courtesy delays. Lots/Vessels/Analyses/Case Goods/Costs become WebpageRecords; Work Orders become TicketRecords.</w:t>
      </w:r>
    </w:p>
    <w:p>
      <w:pPr>
        <w:pStyle w:val="ListParagraph"/>
        <w:numPr>
          <w:ilvl w:val="0"/>
          <w:numId w:val="3"/>
        </w:numPr>
        <w:spacing w:before="40" w:after="40"/>
      </w:pPr>
      <w:r>
        <w:rPr>
          <w:rFonts w:ascii="Arial" w:cs="Arial" w:eastAsia="Arial" w:hAnsi="Arial"/>
          <w:color w:val="334155"/>
          <w:sz w:val="22"/>
          <w:szCs w:val="22"/>
        </w:rPr>
        <w:t xml:space="preserve">DataSourceEntitiesProcessor.on_new_records() persists records and Permission edges (READER for all active users, OWNER for admins) to ArangoDB in batches of 50.</w:t>
      </w:r>
    </w:p>
    <w:p>
      <w:pPr>
        <w:pStyle w:val="ListParagraph"/>
        <w:numPr>
          <w:ilvl w:val="0"/>
          <w:numId w:val="3"/>
        </w:numPr>
        <w:spacing w:before="40" w:after="40"/>
      </w:pPr>
      <w:r>
        <w:rPr>
          <w:rFonts w:ascii="Arial" w:cs="Arial" w:eastAsia="Arial" w:hAnsi="Arial"/>
          <w:color w:val="334155"/>
          <w:sz w:val="22"/>
          <w:szCs w:val="22"/>
        </w:rPr>
        <w:t xml:space="preserve">record-events are published to Kafka. The indexer picks these up and calls stream_record() on demand to retrieve full-text content for embedding.</w:t>
      </w:r>
    </w:p>
    <w:p>
      <w:pPr>
        <w:pStyle w:val="ListParagraph"/>
        <w:numPr>
          <w:ilvl w:val="0"/>
          <w:numId w:val="3"/>
        </w:numPr>
        <w:spacing w:before="40" w:after="40"/>
      </w:pPr>
      <w:r>
        <w:rPr>
          <w:rFonts w:ascii="Arial" w:cs="Arial" w:eastAsia="Arial" w:hAnsi="Arial"/>
          <w:color w:val="334155"/>
          <w:sz w:val="22"/>
          <w:szCs w:val="22"/>
        </w:rPr>
        <w:t xml:space="preserve">SyncPoints are saved per entity type using the pre-fetch sync_start_ts, so incremental runs correctly capture records updated during the previous sync window.</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2.2 Service Responsibilities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656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sources/external/innovint/innovint.py</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InnovintClient: async HTTP client. list_*() methods return async generators for bulk sync; get_*() methods fetch single records for stream_record(). Re-raises InnovintAuthError/InnovintNotFoundError before network error catch.</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connectors/sources/innovint/connector.py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InnovintConnector(BaseConnector): main connector class. Decorated with @ConnectorBuilder. Implements init(), run_sync(), run_incremental_sync(), stream_record(), cleanup(), and create_connector().</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connectors/sources/innovint/common/apps.py</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InnovintApp(App): defines the app name and group constants used by the ConnectorFactory registry.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models/entities.py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Retained dataclasses for the 6 InnoVint entity types. Used by the transform layer to validate and type-cast raw API dicts before building PipesHub Records.</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utils/transformers.py</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Pure transform functions: raw dict → typed entity. Handles field aliases, safe parsers, and optional fields. No PipesHub framework dependency.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innovint.connector.ts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Node.js Express router. Stores credentials in ETCD at services/connectors/innovint/{orgId}/config. Publishes innovint.resync to sync-events. No credentialsRoute endpoint — Python reads ETCD directly via ConfigurationService.</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connector_factory.patch.md</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Diff showing the 2-line change needed in PipesHub’s connector_factory.py to register InnovintConnector, plus constants to add to arangodb.py.</w:t>
            </w:r>
          </w:p>
        </w:tc>
      </w:tr>
    </w:tbl>
    <w:p>
      <w:pPr>
        <w:spacing w:before="80" w:after="0"/>
      </w:pPr>
      <w:r>
        <w:t xml:space="preserve"/>
      </w:r>
    </w:p>
    <w:p>
      <w:pPr>
        <w:pStyle w:val="Heading2"/>
        <w:spacing w:before="280" w:after="120"/>
      </w:pPr>
      <w:r>
        <w:rPr>
          <w:rFonts w:ascii="Arial" w:cs="Arial" w:eastAsia="Arial" w:hAnsi="Arial"/>
          <w:b/>
          <w:bCs/>
          <w:color w:val="334155"/>
          <w:sz w:val="28"/>
          <w:szCs w:val="28"/>
        </w:rPr>
        <w:t xml:space="preserve">2.3 Kafka Topics</w:t>
      </w:r>
    </w:p>
    <w:p>
      <w:pPr>
        <w:spacing w:before="60" w:after="60"/>
      </w:pPr>
      <w:r>
        <w:rPr>
          <w:rFonts w:ascii="Arial" w:cs="Arial" w:eastAsia="Arial" w:hAnsi="Arial"/>
          <w:b w:val="false"/>
          <w:bCs w:val="false"/>
          <w:color w:val="334155"/>
          <w:sz w:val="22"/>
          <w:szCs w:val="22"/>
        </w:rPr>
        <w:t xml:space="preserve">The connector uses PipesHub’s playbook-defined topic names. Validate these against your deployment’s Kafka configuration.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FFFFFF" w:sz="1"/>
              <w:left w:val="single" w:color="FFFFFF" w:sz="1"/>
              <w:bottom w:val="single" w:color="FFFFFF" w:sz="1"/>
              <w:right w:val="single" w:color="FFFFFF" w:sz="1"/>
            </w:tcBorders>
            <w:shd w:fill="EA580C" w:val="clear"/>
            <w:tcMar>
              <w:top w:type="dxa" w:w="100"/>
              <w:left w:type="dxa" w:w="150"/>
              <w:bottom w:type="dxa" w:w="100"/>
              <w:right w:type="dxa" w:w="150"/>
            </w:tcMar>
          </w:tcPr>
          <w:p>
            <w:r>
              <w:rPr>
                <w:rFonts w:ascii="Arial" w:cs="Arial" w:eastAsia="Arial" w:hAnsi="Arial"/>
                <w:b/>
                <w:bCs/>
                <w:color w:val="FFFFFF"/>
                <w:sz w:val="20"/>
                <w:szCs w:val="20"/>
              </w:rPr>
              <w:t xml:space="preserve">Topic</w:t>
            </w:r>
          </w:p>
        </w:tc>
        <w:tc>
          <w:tcPr>
            <w:tcW w:type="dxa" w:w="2600"/>
            <w:tcBorders>
              <w:top w:val="single" w:color="FFFFFF" w:sz="1"/>
              <w:left w:val="single" w:color="FFFFFF" w:sz="1"/>
              <w:bottom w:val="single" w:color="FFFFFF" w:sz="1"/>
              <w:right w:val="single" w:color="FFFFFF" w:sz="1"/>
            </w:tcBorders>
            <w:shd w:fill="EA580C" w:val="clear"/>
            <w:tcMar>
              <w:top w:type="dxa" w:w="100"/>
              <w:left w:type="dxa" w:w="150"/>
              <w:bottom w:type="dxa" w:w="100"/>
              <w:right w:type="dxa" w:w="150"/>
            </w:tcMar>
          </w:tcPr>
          <w:p>
            <w:r>
              <w:rPr>
                <w:rFonts w:ascii="Arial" w:cs="Arial" w:eastAsia="Arial" w:hAnsi="Arial"/>
                <w:b/>
                <w:bCs/>
                <w:color w:val="FFFFFF"/>
                <w:sz w:val="20"/>
                <w:szCs w:val="20"/>
              </w:rPr>
              <w:t xml:space="preserve">Direction</w:t>
            </w:r>
          </w:p>
        </w:tc>
        <w:tc>
          <w:tcPr>
            <w:tcW w:type="dxa" w:w="4560"/>
            <w:tcBorders>
              <w:top w:val="single" w:color="FFFFFF" w:sz="1"/>
              <w:left w:val="single" w:color="FFFFFF" w:sz="1"/>
              <w:bottom w:val="single" w:color="FFFFFF" w:sz="1"/>
              <w:right w:val="single" w:color="FFFFFF" w:sz="1"/>
            </w:tcBorders>
            <w:shd w:fill="EA580C" w:val="clear"/>
            <w:tcMar>
              <w:top w:type="dxa" w:w="100"/>
              <w:left w:type="dxa" w:w="150"/>
              <w:bottom w:type="dxa" w:w="100"/>
              <w:right w:type="dxa" w:w="150"/>
            </w:tcMar>
          </w:tcPr>
          <w:p>
            <w:r>
              <w:rPr>
                <w:rFonts w:ascii="Arial" w:cs="Arial" w:eastAsia="Arial" w:hAnsi="Arial"/>
                <w:b/>
                <w:bCs/>
                <w:color w:val="FFFFFF"/>
                <w:sz w:val="20"/>
                <w:szCs w:val="20"/>
              </w:rPr>
              <w:t xml:space="preserve">Events / Purpose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sync-events</w:t>
            </w:r>
          </w:p>
        </w:tc>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Inbound to Python connector</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innovint.resync — lightweight sync trigger published by the Node.js Connector Manager. Contains orgId and syncType (full | incremental). Credentials are NOT included.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record-events</w:t>
            </w:r>
          </w:p>
        </w:tc>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Outbound to PipesHub indexer</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Published by DataSourceEntitiesProcessor after on_new_records(). Signals the indexer to call stream_record() for content retrieval.</w:t>
            </w:r>
          </w:p>
        </w:tc>
      </w:tr>
    </w:tbl>
    <w:p>
      <w:pPr>
        <w:spacing w:before="80" w:after="0"/>
      </w:pPr>
      <w:r>
        <w:t xml:space="preserve"/>
      </w:r>
    </w:p>
    <w:p>
      <w:pPr>
        <w:pStyle w:val="Heading2"/>
        <w:spacing w:before="280" w:after="120"/>
      </w:pPr>
      <w:r>
        <w:rPr>
          <w:rFonts w:ascii="Arial" w:cs="Arial" w:eastAsia="Arial" w:hAnsi="Arial"/>
          <w:b/>
          <w:bCs/>
          <w:color w:val="334155"/>
          <w:sz w:val="28"/>
          <w:szCs w:val="28"/>
        </w:rPr>
        <w:t xml:space="preserve">2.4 Credential Flow</w:t>
      </w:r>
    </w:p>
    <w:p>
      <w:pPr>
        <w:spacing w:before="60" w:after="60"/>
      </w:pPr>
      <w:r>
        <w:rPr>
          <w:rFonts w:ascii="Arial" w:cs="Arial" w:eastAsia="Arial" w:hAnsi="Arial"/>
          <w:b w:val="false"/>
          <w:bCs w:val="false"/>
          <w:color w:val="334155"/>
          <w:sz w:val="22"/>
          <w:szCs w:val="22"/>
        </w:rPr>
        <w:t xml:space="preserve">Credentials are stored in ETCD and read directly by the Python connector — they are never included in Kafka messages:</w:t>
      </w:r>
    </w:p>
    <w:p>
      <w:pPr>
        <w:pStyle w:val="ListParagraph"/>
        <w:numPr>
          <w:ilvl w:val="0"/>
          <w:numId w:val="3"/>
        </w:numPr>
        <w:spacing w:before="40" w:after="40"/>
      </w:pPr>
      <w:r>
        <w:rPr>
          <w:rFonts w:ascii="Arial" w:cs="Arial" w:eastAsia="Arial" w:hAnsi="Arial"/>
          <w:color w:val="334155"/>
          <w:sz w:val="22"/>
          <w:szCs w:val="22"/>
        </w:rPr>
        <w:t xml:space="preserve">Admin saves API key via POST /api/v1/connectors/innovint/config in the Node.js Connector Manager.</w:t>
      </w:r>
    </w:p>
    <w:p>
      <w:pPr>
        <w:pStyle w:val="ListParagraph"/>
        <w:numPr>
          <w:ilvl w:val="0"/>
          <w:numId w:val="3"/>
        </w:numPr>
        <w:spacing w:before="40" w:after="40"/>
      </w:pPr>
      <w:r>
        <w:rPr>
          <w:rFonts w:ascii="Arial" w:cs="Arial" w:eastAsia="Arial" w:hAnsi="Arial"/>
          <w:color w:val="334155"/>
          <w:sz w:val="22"/>
          <w:szCs w:val="22"/>
        </w:rPr>
        <w:t xml:space="preserve">The Connector Manager stores the full config (including the API key) in ETCD at: services/connectors/innovint/{orgId}/config.</w:t>
      </w:r>
    </w:p>
    <w:p>
      <w:pPr>
        <w:pStyle w:val="ListParagraph"/>
        <w:numPr>
          <w:ilvl w:val="0"/>
          <w:numId w:val="3"/>
        </w:numPr>
        <w:spacing w:before="40" w:after="40"/>
      </w:pPr>
      <w:r>
        <w:rPr>
          <w:rFonts w:ascii="Arial" w:cs="Arial" w:eastAsia="Arial" w:hAnsi="Arial"/>
          <w:color w:val="334155"/>
          <w:sz w:val="22"/>
          <w:szCs w:val="22"/>
        </w:rPr>
        <w:t xml:space="preserve">A lightweight innovint.resync event is published to sync-events (no credentials in the message).</w:t>
      </w:r>
    </w:p>
    <w:p>
      <w:pPr>
        <w:pStyle w:val="ListParagraph"/>
        <w:numPr>
          <w:ilvl w:val="0"/>
          <w:numId w:val="3"/>
        </w:numPr>
        <w:spacing w:before="40" w:after="40"/>
      </w:pPr>
      <w:r>
        <w:rPr>
          <w:rFonts w:ascii="Arial" w:cs="Arial" w:eastAsia="Arial" w:hAnsi="Arial"/>
          <w:color w:val="334155"/>
          <w:sz w:val="22"/>
          <w:szCs w:val="22"/>
        </w:rPr>
        <w:t xml:space="preserve">The Python connector’s init() reads ETCD directly: ConfigurationService.get_config(‘/services/connectors/innovint/config’).</w:t>
      </w:r>
    </w:p>
    <w:p>
      <w:pPr>
        <w:pStyle w:val="ListParagraph"/>
        <w:numPr>
          <w:ilvl w:val="0"/>
          <w:numId w:val="3"/>
        </w:numPr>
        <w:spacing w:before="40" w:after="40"/>
      </w:pPr>
      <w:r>
        <w:rPr>
          <w:rFonts w:ascii="Arial" w:cs="Arial" w:eastAsia="Arial" w:hAnsi="Arial"/>
          <w:color w:val="334155"/>
          <w:sz w:val="22"/>
          <w:szCs w:val="22"/>
        </w:rPr>
        <w:t xml:space="preserve">If a 401 is received mid-sync (e.g. key was rotated), _reload_credentials() re-reads ETCD and rebuilds the client, then retries once before aborting.</w:t>
      </w:r>
    </w:p>
    <w:p>
      <w:pPr>
        <w:spacing w:before="80" w:after="0"/>
      </w:pPr>
      <w:r>
        <w:t xml:space="preserve"/>
      </w:r>
    </w:p>
    <w:p>
      <w:pPr>
        <w:pBdr>
          <w:left w:val="single" w:color="EA580C" w:sz="12" w:space="8"/>
        </w:pBdr>
        <w:shd w:fill="FFEDD5" w:val="clear"/>
        <w:spacing w:before="80" w:after="80"/>
        <w:ind w:left="180" w:right="180"/>
      </w:pPr>
      <w:r>
        <w:rPr>
          <w:rFonts w:ascii="Arial" w:cs="Arial" w:eastAsia="Arial" w:hAnsi="Arial"/>
          <w:color w:val="334155"/>
          <w:sz w:val="20"/>
          <w:szCs w:val="20"/>
        </w:rPr>
        <w:t xml:space="preserve">  No credentialsRoute HTTP callback is used. The Python service has direct ETCD access via ConfigurationService, which handles decryption internally.</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2.5 Infrastructure Dependencies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736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Role</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ArangoDB</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Graph DB used by DataSourceEntitiesProcessor to persist Record nodes and Permission edges (User → Record). All sync state (SyncPoints) is also stored here via the PipesHub SyncPoint API.</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ETCD</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Encrypted key-value store. Node.js Connector Manager writes credentials; Python connector reads them via ConfigurationService. Key: services/connectors/innovint/{orgId}/config.</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Kafka</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Message broker. sync-events topic carries sync triggers inbound; record-events carries indexing signals outbound. No custom topics needed.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aiohttp</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Python async HTTP library used by InnovintClient for all InnoVint REST API calls. Install with: pip install aiohttp</w:t>
            </w:r>
          </w:p>
        </w:tc>
      </w:tr>
    </w:tbl>
    <w:p>
      <w:pPr>
        <w:spacing w:before="80" w:after="0"/>
      </w:pPr>
      <w:r>
        <w:t xml:space="preserve"/>
      </w:r>
    </w:p>
    <w:p>
      <w:r>
        <w:br w:type="page"/>
      </w:r>
    </w:p>
    <w:p>
      <w:pPr>
        <w:pStyle w:val="Heading1"/>
        <w:pBdr>
          <w:bottom w:val="single" w:color="2563EB" w:sz="6" w:space="4"/>
        </w:pBdr>
        <w:spacing w:before="360" w:after="200"/>
      </w:pPr>
      <w:r>
        <w:rPr>
          <w:rFonts w:ascii="Arial" w:cs="Arial" w:eastAsia="Arial" w:hAnsi="Arial"/>
          <w:b/>
          <w:bCs/>
          <w:color w:val="334155"/>
          <w:sz w:val="36"/>
          <w:szCs w:val="36"/>
        </w:rPr>
        <w:t xml:space="preserve">3. Setup &amp; Configuration</w:t>
      </w:r>
    </w:p>
    <w:p>
      <w:pPr>
        <w:pStyle w:val="Heading2"/>
        <w:spacing w:before="280" w:after="120"/>
      </w:pPr>
      <w:r>
        <w:rPr>
          <w:rFonts w:ascii="Arial" w:cs="Arial" w:eastAsia="Arial" w:hAnsi="Arial"/>
          <w:b/>
          <w:bCs/>
          <w:color w:val="334155"/>
          <w:sz w:val="28"/>
          <w:szCs w:val="28"/>
        </w:rPr>
        <w:t xml:space="preserve">3.1 Prerequisites</w:t>
      </w:r>
    </w:p>
    <w:p>
      <w:pPr>
        <w:pStyle w:val="ListParagraph"/>
        <w:numPr>
          <w:ilvl w:val="0"/>
          <w:numId w:val="2"/>
        </w:numPr>
        <w:spacing w:before="40" w:after="40"/>
      </w:pPr>
      <w:r>
        <w:rPr>
          <w:rFonts w:ascii="Arial" w:cs="Arial" w:eastAsia="Arial" w:hAnsi="Arial"/>
          <w:color w:val="334155"/>
          <w:sz w:val="22"/>
          <w:szCs w:val="22"/>
        </w:rPr>
        <w:t xml:space="preserve">Python 3.11+ and pip</w:t>
      </w:r>
    </w:p>
    <w:p>
      <w:pPr>
        <w:pStyle w:val="ListParagraph"/>
        <w:numPr>
          <w:ilvl w:val="0"/>
          <w:numId w:val="2"/>
        </w:numPr>
        <w:spacing w:before="40" w:after="40"/>
      </w:pPr>
      <w:r>
        <w:rPr>
          <w:rFonts w:ascii="Arial" w:cs="Arial" w:eastAsia="Arial" w:hAnsi="Arial"/>
          <w:color w:val="334155"/>
          <w:sz w:val="22"/>
          <w:szCs w:val="22"/>
        </w:rPr>
        <w:t xml:space="preserve">Node.js 18+ and npm (for the Connector Manager module)</w:t>
      </w:r>
    </w:p>
    <w:p>
      <w:pPr>
        <w:pStyle w:val="ListParagraph"/>
        <w:numPr>
          <w:ilvl w:val="0"/>
          <w:numId w:val="2"/>
        </w:numPr>
        <w:spacing w:before="40" w:after="40"/>
      </w:pPr>
      <w:r>
        <w:rPr>
          <w:rFonts w:ascii="Arial" w:cs="Arial" w:eastAsia="Arial" w:hAnsi="Arial"/>
          <w:color w:val="334155"/>
          <w:sz w:val="22"/>
          <w:szCs w:val="22"/>
        </w:rPr>
        <w:t xml:space="preserve">A running PipesHub instance with Kafka, ArangoDB, and ETCD</w:t>
      </w:r>
    </w:p>
    <w:p>
      <w:pPr>
        <w:pStyle w:val="ListParagraph"/>
        <w:numPr>
          <w:ilvl w:val="0"/>
          <w:numId w:val="2"/>
        </w:numPr>
        <w:spacing w:before="40" w:after="40"/>
      </w:pPr>
      <w:r>
        <w:rPr>
          <w:rFonts w:ascii="Arial" w:cs="Arial" w:eastAsia="Arial" w:hAnsi="Arial"/>
          <w:color w:val="334155"/>
          <w:sz w:val="22"/>
          <w:szCs w:val="22"/>
        </w:rPr>
        <w:t xml:space="preserve">An InnoVint account with API access enabled (contact Innovint support if not already enabled)</w:t>
      </w:r>
    </w:p>
    <w:p>
      <w:pPr>
        <w:pStyle w:val="ListParagraph"/>
        <w:numPr>
          <w:ilvl w:val="0"/>
          <w:numId w:val="2"/>
        </w:numPr>
        <w:spacing w:before="40" w:after="40"/>
      </w:pPr>
      <w:r>
        <w:rPr>
          <w:rFonts w:ascii="Arial" w:cs="Arial" w:eastAsia="Arial" w:hAnsi="Arial"/>
          <w:color w:val="334155"/>
          <w:sz w:val="22"/>
          <w:szCs w:val="22"/>
        </w:rPr>
        <w:t xml:space="preserve">Your InnoVint tenant name (visible in your InnoVint URL, e.g., my-winery.innovint.us → tenant is my-winery)</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3.2 Installation</w:t>
      </w:r>
    </w:p>
    <w:p>
      <w:pPr>
        <w:pStyle w:val="Heading3"/>
        <w:spacing w:before="200" w:after="80"/>
      </w:pPr>
      <w:r>
        <w:rPr>
          <w:rFonts w:ascii="Arial" w:cs="Arial" w:eastAsia="Arial" w:hAnsi="Arial"/>
          <w:b/>
          <w:bCs/>
          <w:color w:val="334155"/>
          <w:sz w:val="24"/>
          <w:szCs w:val="24"/>
        </w:rPr>
        <w:t xml:space="preserve">Python Service</w:t>
      </w:r>
    </w:p>
    <w:p>
      <w:pPr>
        <w:spacing w:before="60" w:after="60"/>
      </w:pPr>
      <w:r>
        <w:rPr>
          <w:rFonts w:ascii="Arial" w:cs="Arial" w:eastAsia="Arial" w:hAnsi="Arial"/>
          <w:b w:val="false"/>
          <w:bCs w:val="false"/>
          <w:color w:val="334155"/>
          <w:sz w:val="22"/>
          <w:szCs w:val="22"/>
        </w:rPr>
        <w:t xml:space="preserve">Copy the two connector packages into PipesHub’s Python service:</w:t>
      </w:r>
    </w:p>
    <w:p>
      <w:pPr>
        <w:shd w:fill="F1F5F9" w:val="clear"/>
        <w:spacing w:before="40" w:after="40"/>
        <w:ind w:left="360"/>
      </w:pPr>
      <w:r>
        <w:rPr>
          <w:rFonts w:ascii="Courier New" w:cs="Courier New" w:eastAsia="Courier New" w:hAnsi="Courier New"/>
          <w:color w:val="1E293B"/>
          <w:sz w:val="18"/>
          <w:szCs w:val="18"/>
        </w:rPr>
        <w:t xml:space="preserve"># External API client</w:t>
      </w:r>
    </w:p>
    <w:p>
      <w:pPr>
        <w:shd w:fill="F1F5F9" w:val="clear"/>
        <w:spacing w:before="40" w:after="40"/>
        <w:ind w:left="360"/>
      </w:pPr>
      <w:r>
        <w:rPr>
          <w:rFonts w:ascii="Courier New" w:cs="Courier New" w:eastAsia="Courier New" w:hAnsi="Courier New"/>
          <w:color w:val="1E293B"/>
          <w:sz w:val="18"/>
          <w:szCs w:val="18"/>
        </w:rPr>
        <w:t xml:space="preserve">cp -r backend/python/app/sources/external/innovint/</w:t>
      </w:r>
    </w:p>
    <w:p>
      <w:pPr>
        <w:shd w:fill="F1F5F9" w:val="clear"/>
        <w:spacing w:before="40" w:after="40"/>
        <w:ind w:left="360"/>
      </w:pPr>
      <w:r>
        <w:rPr>
          <w:rFonts w:ascii="Courier New" w:cs="Courier New" w:eastAsia="Courier New" w:hAnsi="Courier New"/>
          <w:color w:val="1E293B"/>
          <w:sz w:val="18"/>
          <w:szCs w:val="18"/>
        </w:rPr>
        <w:t xml:space="preserve">   &lt;pipeshub-root&gt;/backend/python/app/sources/external/</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Connector + app definition</w:t>
      </w:r>
    </w:p>
    <w:p>
      <w:pPr>
        <w:shd w:fill="F1F5F9" w:val="clear"/>
        <w:spacing w:before="40" w:after="40"/>
        <w:ind w:left="360"/>
      </w:pPr>
      <w:r>
        <w:rPr>
          <w:rFonts w:ascii="Courier New" w:cs="Courier New" w:eastAsia="Courier New" w:hAnsi="Courier New"/>
          <w:color w:val="1E293B"/>
          <w:sz w:val="18"/>
          <w:szCs w:val="18"/>
        </w:rPr>
        <w:t xml:space="preserve">cp -r backend/python/app/connectors/sources/innovint/</w:t>
      </w:r>
    </w:p>
    <w:p>
      <w:pPr>
        <w:shd w:fill="F1F5F9" w:val="clear"/>
        <w:spacing w:before="40" w:after="40"/>
        <w:ind w:left="360"/>
      </w:pPr>
      <w:r>
        <w:rPr>
          <w:rFonts w:ascii="Courier New" w:cs="Courier New" w:eastAsia="Courier New" w:hAnsi="Courier New"/>
          <w:color w:val="1E293B"/>
          <w:sz w:val="18"/>
          <w:szCs w:val="18"/>
        </w:rPr>
        <w:t xml:space="preserve">   &lt;pipeshub-root&gt;/backend/python/app/connectors/sources/</w:t>
      </w:r>
    </w:p>
    <w:p>
      <w:pPr>
        <w:spacing w:before="0" w:after="0"/>
      </w:pPr>
      <w:r>
        <w:t xml:space="preserve"/>
      </w:r>
    </w:p>
    <w:p>
      <w:pPr>
        <w:spacing w:before="60" w:after="60"/>
      </w:pPr>
      <w:r>
        <w:rPr>
          <w:rFonts w:ascii="Arial" w:cs="Arial" w:eastAsia="Arial" w:hAnsi="Arial"/>
          <w:b w:val="false"/>
          <w:bCs w:val="false"/>
          <w:color w:val="334155"/>
          <w:sz w:val="22"/>
          <w:szCs w:val="22"/>
        </w:rPr>
        <w:t xml:space="preserve">Install dependencies (aiohttp only — aiokafka and motor are provided by PipesHub core):</w:t>
      </w:r>
    </w:p>
    <w:p>
      <w:pPr>
        <w:shd w:fill="F1F5F9" w:val="clear"/>
        <w:spacing w:before="40" w:after="40"/>
        <w:ind w:left="360"/>
      </w:pPr>
      <w:r>
        <w:rPr>
          <w:rFonts w:ascii="Courier New" w:cs="Courier New" w:eastAsia="Courier New" w:hAnsi="Courier New"/>
          <w:color w:val="1E293B"/>
          <w:sz w:val="18"/>
          <w:szCs w:val="18"/>
        </w:rPr>
        <w:t xml:space="preserve">pip install aiohttp</w:t>
      </w:r>
    </w:p>
    <w:p>
      <w:pPr>
        <w:spacing w:before="80" w:after="0"/>
      </w:pPr>
      <w:r>
        <w:t xml:space="preserve"/>
      </w:r>
    </w:p>
    <w:p>
      <w:pPr>
        <w:pStyle w:val="Heading3"/>
        <w:spacing w:before="200" w:after="80"/>
      </w:pPr>
      <w:r>
        <w:rPr>
          <w:rFonts w:ascii="Arial" w:cs="Arial" w:eastAsia="Arial" w:hAnsi="Arial"/>
          <w:b/>
          <w:bCs/>
          <w:color w:val="334155"/>
          <w:sz w:val="24"/>
          <w:szCs w:val="24"/>
        </w:rPr>
        <w:t xml:space="preserve">Register in ConnectorFactory</w:t>
      </w:r>
    </w:p>
    <w:p>
      <w:pPr>
        <w:spacing w:before="60" w:after="60"/>
      </w:pPr>
      <w:r>
        <w:rPr>
          <w:rFonts w:ascii="Arial" w:cs="Arial" w:eastAsia="Arial" w:hAnsi="Arial"/>
          <w:b w:val="false"/>
          <w:bCs w:val="false"/>
          <w:color w:val="334155"/>
          <w:sz w:val="22"/>
          <w:szCs w:val="22"/>
        </w:rPr>
        <w:t xml:space="preserve">Apply the two-line patch described in connector_factory.patch.md to PipesHub’s connector_factory.py and arangodb.py. See that file for the exact diff.</w:t>
      </w:r>
    </w:p>
    <w:p>
      <w:pPr>
        <w:spacing w:before="80" w:after="0"/>
      </w:pPr>
      <w:r>
        <w:t xml:space="preserve"/>
      </w:r>
    </w:p>
    <w:p>
      <w:pPr>
        <w:pStyle w:val="Heading3"/>
        <w:spacing w:before="200" w:after="80"/>
      </w:pPr>
      <w:r>
        <w:rPr>
          <w:rFonts w:ascii="Arial" w:cs="Arial" w:eastAsia="Arial" w:hAnsi="Arial"/>
          <w:b/>
          <w:bCs/>
          <w:color w:val="334155"/>
          <w:sz w:val="24"/>
          <w:szCs w:val="24"/>
        </w:rPr>
        <w:t xml:space="preserve">Node.js Connector Manager</w:t>
      </w:r>
    </w:p>
    <w:p>
      <w:pPr>
        <w:spacing w:before="60" w:after="60"/>
      </w:pPr>
      <w:r>
        <w:rPr>
          <w:rFonts w:ascii="Arial" w:cs="Arial" w:eastAsia="Arial" w:hAnsi="Arial"/>
          <w:b w:val="false"/>
          <w:bCs w:val="false"/>
          <w:color w:val="334155"/>
          <w:sz w:val="22"/>
          <w:szCs w:val="22"/>
        </w:rPr>
        <w:t xml:space="preserve">Copy the TypeScript module:</w:t>
      </w:r>
    </w:p>
    <w:p>
      <w:pPr>
        <w:shd w:fill="F1F5F9" w:val="clear"/>
        <w:spacing w:before="40" w:after="40"/>
        <w:ind w:left="360"/>
      </w:pPr>
      <w:r>
        <w:rPr>
          <w:rFonts w:ascii="Courier New" w:cs="Courier New" w:eastAsia="Courier New" w:hAnsi="Courier New"/>
          <w:color w:val="1E293B"/>
          <w:sz w:val="18"/>
          <w:szCs w:val="18"/>
        </w:rPr>
        <w:t xml:space="preserve">cp -r services/nodejs/apps/connector-manager/src/modules/innovint/</w:t>
      </w:r>
    </w:p>
    <w:p>
      <w:pPr>
        <w:shd w:fill="F1F5F9" w:val="clear"/>
        <w:spacing w:before="40" w:after="40"/>
        <w:ind w:left="360"/>
      </w:pPr>
      <w:r>
        <w:rPr>
          <w:rFonts w:ascii="Courier New" w:cs="Courier New" w:eastAsia="Courier New" w:hAnsi="Courier New"/>
          <w:color w:val="1E293B"/>
          <w:sz w:val="18"/>
          <w:szCs w:val="18"/>
        </w:rPr>
        <w:t xml:space="preserve">   &lt;pipeshub-root&gt;/services/nodejs/apps/connector-manager/src/modules/</w:t>
      </w:r>
    </w:p>
    <w:p>
      <w:pPr>
        <w:spacing w:before="0" w:after="0"/>
      </w:pPr>
      <w:r>
        <w:t xml:space="preserve"/>
      </w:r>
    </w:p>
    <w:p>
      <w:pPr>
        <w:spacing w:before="60" w:after="60"/>
      </w:pPr>
      <w:r>
        <w:rPr>
          <w:rFonts w:ascii="Arial" w:cs="Arial" w:eastAsia="Arial" w:hAnsi="Arial"/>
          <w:b w:val="false"/>
          <w:bCs w:val="false"/>
          <w:color w:val="334155"/>
          <w:sz w:val="22"/>
          <w:szCs w:val="22"/>
        </w:rPr>
        <w:t xml:space="preserve">Register the router in your connector manager’s main router file:</w:t>
      </w:r>
    </w:p>
    <w:p>
      <w:pPr>
        <w:shd w:fill="F1F5F9" w:val="clear"/>
        <w:spacing w:before="40" w:after="40"/>
        <w:ind w:left="360"/>
      </w:pPr>
      <w:r>
        <w:rPr>
          <w:rFonts w:ascii="Courier New" w:cs="Courier New" w:eastAsia="Courier New" w:hAnsi="Courier New"/>
          <w:color w:val="1E293B"/>
          <w:sz w:val="18"/>
          <w:szCs w:val="18"/>
        </w:rPr>
        <w:t xml:space="preserve">import { innovintRouter } from './modules/innovint/innovint.connector';</w:t>
      </w:r>
    </w:p>
    <w:p>
      <w:pPr>
        <w:shd w:fill="F1F5F9" w:val="clear"/>
        <w:spacing w:before="40" w:after="40"/>
        <w:ind w:left="360"/>
      </w:pPr>
      <w:r>
        <w:rPr>
          <w:rFonts w:ascii="Courier New" w:cs="Courier New" w:eastAsia="Courier New" w:hAnsi="Courier New"/>
          <w:color w:val="1E293B"/>
          <w:sz w:val="18"/>
          <w:szCs w:val="18"/>
        </w:rPr>
        <w:t xml:space="preserve">app.use('/api/v1/connectors/innovint', innovintRouter);</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3.3 Configuration Reference</w:t>
      </w:r>
    </w:p>
    <w:p>
      <w:pPr>
        <w:spacing w:before="60" w:after="60"/>
      </w:pPr>
      <w:r>
        <w:rPr>
          <w:rFonts w:ascii="Arial" w:cs="Arial" w:eastAsia="Arial" w:hAnsi="Arial"/>
          <w:b w:val="false"/>
          <w:bCs w:val="false"/>
          <w:color w:val="334155"/>
          <w:sz w:val="22"/>
          <w:szCs w:val="22"/>
        </w:rPr>
        <w:t xml:space="preserve">All configuration is provided via environment variables. Copy config/innovint.env.example to .env and fill in your values.</w:t>
      </w:r>
    </w:p>
    <w:p>
      <w:pPr>
        <w:spacing w:before="0" w:after="0"/>
      </w:pPr>
      <w:r>
        <w:t xml:space="preserve"/>
      </w:r>
    </w:p>
    <w:p>
      <w:pPr>
        <w:pBdr>
          <w:left w:val="single" w:color="EA580C" w:sz="12" w:space="8"/>
        </w:pBdr>
        <w:shd w:fill="FFEDD5" w:val="clear"/>
        <w:spacing w:before="80" w:after="80"/>
        <w:ind w:left="180" w:right="180"/>
      </w:pPr>
      <w:r>
        <w:rPr>
          <w:rFonts w:ascii="Arial" w:cs="Arial" w:eastAsia="Arial" w:hAnsi="Arial"/>
          <w:color w:val="334155"/>
          <w:sz w:val="20"/>
          <w:szCs w:val="20"/>
        </w:rPr>
        <w:t xml:space="preserve">  Required variables are marked with •. All others have defaults and are optional.</w:t>
      </w:r>
    </w:p>
    <w:p>
      <w:pPr>
        <w:spacing w:before="80" w:after="0"/>
      </w:pPr>
      <w:r>
        <w:t xml:space="preserve"/>
      </w:r>
    </w:p>
    <w:p>
      <w:pPr>
        <w:shd w:fill="7C3AED" w:val="clear"/>
        <w:spacing w:before="160" w:after="80"/>
      </w:pPr>
      <w:r>
        <w:rPr>
          <w:rFonts w:ascii="Arial" w:cs="Arial" w:eastAsia="Arial" w:hAnsi="Arial"/>
          <w:b/>
          <w:bCs/>
          <w:color w:val="FFFFFF"/>
          <w:sz w:val="20"/>
          <w:szCs w:val="20"/>
        </w:rPr>
        <w:t xml:space="preserve">  InnoVint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FFFFFF" w:sz="1"/>
              <w:left w:val="single" w:color="FFFFFF" w:sz="1"/>
              <w:bottom w:val="single" w:color="FFFFFF" w:sz="1"/>
              <w:right w:val="single" w:color="FFFFFF"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2200"/>
            <w:tcBorders>
              <w:top w:val="single" w:color="FFFFFF" w:sz="1"/>
              <w:left w:val="single" w:color="FFFFFF" w:sz="1"/>
              <w:bottom w:val="single" w:color="FFFFFF" w:sz="1"/>
              <w:right w:val="single" w:color="FFFFFF"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Default / Required</w:t>
            </w:r>
          </w:p>
        </w:tc>
        <w:tc>
          <w:tcPr>
            <w:tcW w:type="dxa" w:w="4560"/>
            <w:tcBorders>
              <w:top w:val="single" w:color="FFFFFF" w:sz="1"/>
              <w:left w:val="single" w:color="FFFFFF" w:sz="1"/>
              <w:bottom w:val="single" w:color="FFFFFF" w:sz="1"/>
              <w:right w:val="single" w:color="FFFFFF"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INNOVINT_TENANT</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Required</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Your InnoVint tenant name (subdomain). Example: my-winery for my-winery.innovint.us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INNOVINT_ORG_ID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Required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Your PipesHub organization ID. Used to scope documents and Kafka events.</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INNOVINT_AUTH_TYPE</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api_key</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Authentication method: api_key or bearer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INNOVINT_API_KEY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Required if api_key</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Your InnoVint API key. Obtain from InnoVint Settings → Integrations.</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INNOVINT_BEARER_TOKEN</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Required if bearer</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OAuth Bearer token. Use for OAuth-based integrations.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INNOVINT_BASE_URL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(auto)</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Override the API base URL. Defaults to https://&lt;tenant&gt;.innovint.us/api/v1</w:t>
            </w:r>
          </w:p>
        </w:tc>
      </w:tr>
    </w:tbl>
    <w:p>
      <w:pPr>
        <w:spacing w:before="80" w:after="0"/>
      </w:pPr>
      <w:r>
        <w:t xml:space="preserve"/>
      </w:r>
    </w:p>
    <w:p>
      <w:pPr>
        <w:shd w:fill="2563EB" w:val="clear"/>
        <w:spacing w:before="160" w:after="80"/>
      </w:pPr>
      <w:r>
        <w:rPr>
          <w:rFonts w:ascii="Arial" w:cs="Arial" w:eastAsia="Arial" w:hAnsi="Arial"/>
          <w:b/>
          <w:bCs/>
          <w:color w:val="FFFFFF"/>
          <w:sz w:val="20"/>
          <w:szCs w:val="20"/>
        </w:rPr>
        <w:t xml:space="preserve">  Sync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220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Default</w:t>
            </w:r>
          </w:p>
        </w:tc>
        <w:tc>
          <w:tcPr>
            <w:tcW w:type="dxa" w:w="456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INNOVINT_SYNC_INTERVAL</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60</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Minutes between scheduled incremental syncs.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INNOVINT_PAGE_SIZE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100</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Number of records per API request (pagination). Max varies by endpoint.</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INNOVINT_BATCH_SIZE</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50</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Number of documents per Kafka ingestion batch.</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INNOVINT_ENABLED_ENTITIES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lots,vessels,analyses,work_orders,case_goods,costs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Comma-separated list of entity types to sync. Remove any you don’t need.</w:t>
            </w:r>
          </w:p>
        </w:tc>
      </w:tr>
    </w:tbl>
    <w:p>
      <w:pPr>
        <w:spacing w:before="80" w:after="0"/>
      </w:pPr>
      <w:r>
        <w:t xml:space="preserve"/>
      </w:r>
    </w:p>
    <w:p>
      <w:pPr>
        <w:shd w:fill="EA580C" w:val="clear"/>
        <w:spacing w:before="160" w:after="80"/>
      </w:pPr>
      <w:r>
        <w:rPr>
          <w:rFonts w:ascii="Arial" w:cs="Arial" w:eastAsia="Arial" w:hAnsi="Arial"/>
          <w:b/>
          <w:bCs/>
          <w:color w:val="FFFFFF"/>
          <w:sz w:val="20"/>
          <w:szCs w:val="20"/>
        </w:rPr>
        <w:t xml:space="preserve">  Kafka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FFFFFF" w:sz="1"/>
              <w:left w:val="single" w:color="FFFFFF" w:sz="1"/>
              <w:bottom w:val="single" w:color="FFFFFF" w:sz="1"/>
              <w:right w:val="single" w:color="FFFFFF" w:sz="1"/>
            </w:tcBorders>
            <w:shd w:fill="EA580C"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2200"/>
            <w:tcBorders>
              <w:top w:val="single" w:color="FFFFFF" w:sz="1"/>
              <w:left w:val="single" w:color="FFFFFF" w:sz="1"/>
              <w:bottom w:val="single" w:color="FFFFFF" w:sz="1"/>
              <w:right w:val="single" w:color="FFFFFF" w:sz="1"/>
            </w:tcBorders>
            <w:shd w:fill="EA580C" w:val="clear"/>
            <w:tcMar>
              <w:top w:type="dxa" w:w="100"/>
              <w:left w:type="dxa" w:w="150"/>
              <w:bottom w:type="dxa" w:w="100"/>
              <w:right w:type="dxa" w:w="150"/>
            </w:tcMar>
          </w:tcPr>
          <w:p>
            <w:r>
              <w:rPr>
                <w:rFonts w:ascii="Arial" w:cs="Arial" w:eastAsia="Arial" w:hAnsi="Arial"/>
                <w:b/>
                <w:bCs/>
                <w:color w:val="FFFFFF"/>
                <w:sz w:val="20"/>
                <w:szCs w:val="20"/>
              </w:rPr>
              <w:t xml:space="preserve">Default</w:t>
            </w:r>
          </w:p>
        </w:tc>
        <w:tc>
          <w:tcPr>
            <w:tcW w:type="dxa" w:w="4560"/>
            <w:tcBorders>
              <w:top w:val="single" w:color="FFFFFF" w:sz="1"/>
              <w:left w:val="single" w:color="FFFFFF" w:sz="1"/>
              <w:bottom w:val="single" w:color="FFFFFF" w:sz="1"/>
              <w:right w:val="single" w:color="FFFFFF" w:sz="1"/>
            </w:tcBorders>
            <w:shd w:fill="EA580C"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KAFKA_BOOTSTRAP_SERVERS</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localhost:9092</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Kafka broker address(es). Comma-separated for multiple brokers.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KAFKA_GROUP_ID</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innovint-connector</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Consumer group ID. Use a unique ID per connector instance.</w:t>
            </w:r>
          </w:p>
        </w:tc>
      </w:tr>
    </w:tbl>
    <w:p>
      <w:pPr>
        <w:spacing w:before="80" w:after="0"/>
      </w:pPr>
      <w:r>
        <w:t xml:space="preserve"/>
      </w:r>
    </w:p>
    <w:p>
      <w:pPr>
        <w:shd w:fill="0891B2" w:val="clear"/>
        <w:spacing w:before="160" w:after="80"/>
      </w:pPr>
      <w:r>
        <w:rPr>
          <w:rFonts w:ascii="Arial" w:cs="Arial" w:eastAsia="Arial" w:hAnsi="Arial"/>
          <w:b/>
          <w:bCs/>
          <w:color w:val="FFFFFF"/>
          <w:sz w:val="20"/>
          <w:szCs w:val="20"/>
        </w:rPr>
        <w:t xml:space="preserv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Variable</w:t>
            </w:r>
          </w:p>
        </w:tc>
        <w:tc>
          <w:tcPr>
            <w:tcW w:type="dxa" w:w="220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Default</w:t>
            </w:r>
          </w:p>
        </w:tc>
        <w:tc>
          <w:tcPr>
            <w:tcW w:type="dxa" w:w="456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HEALTH_CHECK_PORT</w:t>
            </w:r>
          </w:p>
        </w:tc>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8085</w:t>
            </w:r>
          </w:p>
        </w:tc>
        <w:tc>
          <w:tcPr>
            <w:tcW w:type="dxa" w:w="4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HTTP port for health check, status, and manual sync endpoints.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LOG_LEVEL</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INFO</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Logging level: DEBUG, INFO, WARNING, ERROR</w:t>
            </w:r>
          </w:p>
        </w:tc>
      </w:tr>
    </w:tbl>
    <w:p>
      <w:pPr>
        <w:spacing w:before="80" w:after="0"/>
      </w:pPr>
      <w:r>
        <w:t xml:space="preserve"/>
      </w:r>
    </w:p>
    <w:p>
      <w:r>
        <w:br w:type="page"/>
      </w:r>
    </w:p>
    <w:p>
      <w:pPr>
        <w:pStyle w:val="Heading1"/>
        <w:pBdr>
          <w:bottom w:val="single" w:color="2563EB" w:sz="6" w:space="4"/>
        </w:pBdr>
        <w:spacing w:before="360" w:after="200"/>
      </w:pPr>
      <w:r>
        <w:rPr>
          <w:rFonts w:ascii="Arial" w:cs="Arial" w:eastAsia="Arial" w:hAnsi="Arial"/>
          <w:b/>
          <w:bCs/>
          <w:color w:val="334155"/>
          <w:sz w:val="36"/>
          <w:szCs w:val="36"/>
        </w:rPr>
        <w:t xml:space="preserve">4. Running the Connector</w:t>
      </w:r>
    </w:p>
    <w:p>
      <w:pPr>
        <w:pStyle w:val="Heading2"/>
        <w:spacing w:before="280" w:after="120"/>
      </w:pPr>
      <w:r>
        <w:rPr>
          <w:rFonts w:ascii="Arial" w:cs="Arial" w:eastAsia="Arial" w:hAnsi="Arial"/>
          <w:b/>
          <w:bCs/>
          <w:color w:val="334155"/>
          <w:sz w:val="28"/>
          <w:szCs w:val="28"/>
        </w:rPr>
        <w:t xml:space="preserve">4.1 Running Directly</w:t>
      </w:r>
    </w:p>
    <w:p>
      <w:pPr>
        <w:spacing w:before="60" w:after="60"/>
      </w:pPr>
      <w:r>
        <w:rPr>
          <w:rFonts w:ascii="Arial" w:cs="Arial" w:eastAsia="Arial" w:hAnsi="Arial"/>
          <w:b w:val="false"/>
          <w:bCs w:val="false"/>
          <w:color w:val="334155"/>
          <w:sz w:val="22"/>
          <w:szCs w:val="22"/>
        </w:rPr>
        <w:t xml:space="preserve">Set your environment variables and start the service:</w:t>
      </w:r>
    </w:p>
    <w:p>
      <w:pPr>
        <w:shd w:fill="F1F5F9" w:val="clear"/>
        <w:spacing w:before="40" w:after="40"/>
        <w:ind w:left="360"/>
      </w:pPr>
      <w:r>
        <w:rPr>
          <w:rFonts w:ascii="Courier New" w:cs="Courier New" w:eastAsia="Courier New" w:hAnsi="Courier New"/>
          <w:color w:val="1E293B"/>
          <w:sz w:val="18"/>
          <w:szCs w:val="18"/>
        </w:rPr>
        <w:t xml:space="preserve">export INNOVINT_TENANT=my-winery</w:t>
      </w:r>
    </w:p>
    <w:p>
      <w:pPr>
        <w:shd w:fill="F1F5F9" w:val="clear"/>
        <w:spacing w:before="40" w:after="40"/>
        <w:ind w:left="360"/>
      </w:pPr>
      <w:r>
        <w:rPr>
          <w:rFonts w:ascii="Courier New" w:cs="Courier New" w:eastAsia="Courier New" w:hAnsi="Courier New"/>
          <w:color w:val="1E293B"/>
          <w:sz w:val="18"/>
          <w:szCs w:val="18"/>
        </w:rPr>
        <w:t xml:space="preserve">export INNOVINT_ORG_ID=org-abc123</w:t>
      </w:r>
    </w:p>
    <w:p>
      <w:pPr>
        <w:shd w:fill="F1F5F9" w:val="clear"/>
        <w:spacing w:before="40" w:after="40"/>
        <w:ind w:left="360"/>
      </w:pPr>
      <w:r>
        <w:rPr>
          <w:rFonts w:ascii="Courier New" w:cs="Courier New" w:eastAsia="Courier New" w:hAnsi="Courier New"/>
          <w:color w:val="1E293B"/>
          <w:sz w:val="18"/>
          <w:szCs w:val="18"/>
        </w:rPr>
        <w:t xml:space="preserve">export INNOVINT_API_KEY=your-api-key-here</w:t>
      </w:r>
    </w:p>
    <w:p>
      <w:pPr>
        <w:shd w:fill="F1F5F9" w:val="clear"/>
        <w:spacing w:before="40" w:after="40"/>
        <w:ind w:left="360"/>
      </w:pPr>
      <w:r>
        <w:rPr>
          <w:rFonts w:ascii="Courier New" w:cs="Courier New" w:eastAsia="Courier New" w:hAnsi="Courier New"/>
          <w:color w:val="1E293B"/>
          <w:sz w:val="18"/>
          <w:szCs w:val="18"/>
        </w:rPr>
        <w:t xml:space="preserve">export KAFKA_BOOTSTRAP_SERVERS=localhost:9092</w:t>
      </w:r>
    </w:p>
    <w:p>
      <w:pPr>
        <w:shd w:fill="F1F5F9" w:val="clear"/>
        <w:spacing w:before="40" w:after="40"/>
        <w:ind w:left="360"/>
      </w:pPr>
      <w:r>
        <w:rPr>
          <w:rFonts w:ascii="Courier New" w:cs="Courier New" w:eastAsia="Courier New" w:hAnsi="Courier New"/>
          <w:color w:val="1E293B"/>
          <w:sz w:val="18"/>
          <w:szCs w:val="18"/>
        </w:rPr>
        <w:t xml:space="preserve"/>
      </w:r>
    </w:p>
    <w:p>
      <w:pPr>
        <w:shd w:fill="F1F5F9" w:val="clear"/>
        <w:spacing w:before="40" w:after="40"/>
        <w:ind w:left="360"/>
      </w:pPr>
      <w:r>
        <w:rPr>
          <w:rFonts w:ascii="Courier New" w:cs="Courier New" w:eastAsia="Courier New" w:hAnsi="Courier New"/>
          <w:color w:val="1E293B"/>
          <w:sz w:val="18"/>
          <w:szCs w:val="18"/>
        </w:rPr>
        <w:t xml:space="preserve"># The Python connector service is managed by PipesHub’s ConnectorFactory.</w:t>
      </w:r>
    </w:p>
    <w:p>
      <w:pPr>
        <w:shd w:fill="F1F5F9" w:val="clear"/>
        <w:spacing w:before="40" w:after="40"/>
        <w:ind w:left="360"/>
      </w:pPr>
      <w:r>
        <w:rPr>
          <w:rFonts w:ascii="Courier New" w:cs="Courier New" w:eastAsia="Courier New" w:hAnsi="Courier New"/>
          <w:color w:val="1E293B"/>
          <w:sz w:val="18"/>
          <w:szCs w:val="18"/>
        </w:rPr>
        <w:t xml:space="preserve"># To start the full PipesHub Python service (which includes all connectors):</w:t>
      </w:r>
    </w:p>
    <w:p>
      <w:pPr>
        <w:shd w:fill="F1F5F9" w:val="clear"/>
        <w:spacing w:before="40" w:after="40"/>
        <w:ind w:left="360"/>
      </w:pPr>
      <w:r>
        <w:rPr>
          <w:rFonts w:ascii="Courier New" w:cs="Courier New" w:eastAsia="Courier New" w:hAnsi="Courier New"/>
          <w:color w:val="1E293B"/>
          <w:sz w:val="18"/>
          <w:szCs w:val="18"/>
        </w:rPr>
        <w:t xml:space="preserve">python -m app.main</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4.2 Running with Docker</w:t>
      </w:r>
    </w:p>
    <w:p>
      <w:pPr>
        <w:spacing w:before="60" w:after="60"/>
      </w:pPr>
      <w:r>
        <w:rPr>
          <w:rFonts w:ascii="Arial" w:cs="Arial" w:eastAsia="Arial" w:hAnsi="Arial"/>
          <w:b w:val="false"/>
          <w:bCs w:val="false"/>
          <w:color w:val="334155"/>
          <w:sz w:val="22"/>
          <w:szCs w:val="22"/>
        </w:rPr>
        <w:t xml:space="preserve">Build and run using the provided Dockerfile:</w:t>
      </w:r>
    </w:p>
    <w:p>
      <w:pPr>
        <w:shd w:fill="F1F5F9" w:val="clear"/>
        <w:spacing w:before="40" w:after="40"/>
        <w:ind w:left="360"/>
      </w:pPr>
      <w:r>
        <w:rPr>
          <w:rFonts w:ascii="Courier New" w:cs="Courier New" w:eastAsia="Courier New" w:hAnsi="Courier New"/>
          <w:color w:val="1E293B"/>
          <w:sz w:val="18"/>
          <w:szCs w:val="18"/>
        </w:rPr>
        <w:t xml:space="preserve">docker build -f docker/Dockerfile -t innovint-connector .</w:t>
      </w:r>
    </w:p>
    <w:p>
      <w:pPr>
        <w:shd w:fill="F1F5F9" w:val="clear"/>
        <w:spacing w:before="40" w:after="40"/>
        <w:ind w:left="360"/>
      </w:pPr>
      <w:r>
        <w:rPr>
          <w:rFonts w:ascii="Courier New" w:cs="Courier New" w:eastAsia="Courier New" w:hAnsi="Courier New"/>
          <w:color w:val="1E293B"/>
          <w:sz w:val="18"/>
          <w:szCs w:val="18"/>
        </w:rPr>
        <w:t xml:space="preserve">docker run --env-file config/.env innovint-connector</w:t>
      </w:r>
    </w:p>
    <w:p>
      <w:pPr>
        <w:spacing w:before="0" w:after="0"/>
      </w:pPr>
      <w:r>
        <w:t xml:space="preserve"/>
      </w:r>
    </w:p>
    <w:p>
      <w:pPr>
        <w:spacing w:before="60" w:after="60"/>
      </w:pPr>
      <w:r>
        <w:rPr>
          <w:rFonts w:ascii="Arial" w:cs="Arial" w:eastAsia="Arial" w:hAnsi="Arial"/>
          <w:b w:val="false"/>
          <w:bCs w:val="false"/>
          <w:color w:val="334155"/>
          <w:sz w:val="22"/>
          <w:szCs w:val="22"/>
        </w:rPr>
        <w:t xml:space="preserve">Or with Docker Compose (includes Kafka):</w:t>
      </w:r>
    </w:p>
    <w:p>
      <w:pPr>
        <w:shd w:fill="F1F5F9" w:val="clear"/>
        <w:spacing w:before="40" w:after="40"/>
        <w:ind w:left="360"/>
      </w:pPr>
      <w:r>
        <w:rPr>
          <w:rFonts w:ascii="Courier New" w:cs="Courier New" w:eastAsia="Courier New" w:hAnsi="Courier New"/>
          <w:color w:val="1E293B"/>
          <w:sz w:val="18"/>
          <w:szCs w:val="18"/>
        </w:rPr>
        <w:t xml:space="preserve">docker-compose -f docker/docker-compose.yml up</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4.3 Sync Modes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7360"/>
            <w:tcBorders>
              <w:top w:val="single" w:color="FFFFFF" w:sz="1"/>
              <w:left w:val="single" w:color="FFFFFF" w:sz="1"/>
              <w:bottom w:val="single" w:color="FFFFFF" w:sz="1"/>
              <w:right w:val="single" w:color="FFFFFF" w:sz="1"/>
            </w:tcBorders>
            <w:shd w:fill="2563EB" w:val="clear"/>
            <w:tcMar>
              <w:top w:type="dxa" w:w="100"/>
              <w:left w:type="dxa" w:w="150"/>
              <w:bottom w:type="dxa" w:w="100"/>
              <w:right w:type="dxa" w:w="150"/>
            </w:tcMar>
          </w:tcPr>
          <w:p>
            <w:r>
              <w:rPr>
                <w:rFonts w:ascii="Arial" w:cs="Arial" w:eastAsia="Arial" w:hAnsi="Arial"/>
                <w:b/>
                <w:bCs/>
                <w:color w:val="FFFFFF"/>
                <w:sz w:val="20"/>
                <w:szCs w:val="20"/>
              </w:rPr>
              <w:t xml:space="preserve">Behavior</w:t>
            </w:r>
          </w:p>
        </w:tc>
      </w:tr>
      <w:tr>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Full Sync</w:t>
            </w:r>
          </w:p>
        </w:tc>
        <w:tc>
          <w:tcPr>
            <w:tcW w:type="dxa" w:w="73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Fetches every record for every enabled entity type, regardless of when it was last synced. Triggered by publishing an innovint.resync event with syncType=full to the sync-events Kafka topic (or via POST /api/v1/connectors/innovint/sync from the Node.js Connector Manager). Use for initial setup or to recover from sync failures.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Incremental Sync</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Only fetches records updated since the last successful sync per entity type. Uses per-entity SyncPoints stored in ArangoDB via the PipesHub SyncPoint API. A single sync_start_ts is captured before fetching begins and used as the next SyncPoint baseline — preventing data gaps between entity types. Triggered with syncType=incremental.</w:t>
            </w:r>
          </w:p>
        </w:tc>
      </w:tr>
    </w:tbl>
    <w:p>
      <w:pPr>
        <w:spacing w:before="80" w:after="0"/>
      </w:pPr>
      <w:r>
        <w:t xml:space="preserve"/>
      </w:r>
    </w:p>
    <w:p>
      <w:pPr>
        <w:pStyle w:val="Heading2"/>
        <w:spacing w:before="280" w:after="120"/>
      </w:pPr>
      <w:r>
        <w:rPr>
          <w:rFonts w:ascii="Arial" w:cs="Arial" w:eastAsia="Arial" w:hAnsi="Arial"/>
          <w:b/>
          <w:bCs/>
          <w:color w:val="334155"/>
          <w:sz w:val="28"/>
          <w:szCs w:val="28"/>
        </w:rPr>
        <w:t xml:space="preserve">4.4 HTTP Endpoints</w:t>
      </w:r>
    </w:p>
    <w:p>
      <w:pPr>
        <w:spacing w:before="60" w:after="60"/>
      </w:pPr>
      <w:r>
        <w:rPr>
          <w:rFonts w:ascii="Arial" w:cs="Arial" w:eastAsia="Arial" w:hAnsi="Arial"/>
          <w:b w:val="false"/>
          <w:bCs w:val="false"/>
          <w:color w:val="334155"/>
          <w:sz w:val="22"/>
          <w:szCs w:val="22"/>
        </w:rPr>
        <w:t xml:space="preserve">The connector exposes a lightweight HTTP server for health checks and manual control: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756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GET  /health</w:t>
            </w:r>
          </w:p>
        </w:tc>
        <w:tc>
          <w:tcPr>
            <w:tcW w:type="dxa" w:w="7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Returns API connectivity status and last-sync timestamps. Returns 200 if connected, 503 if the InnoVint API is unreachable.</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GET  /status</w:t>
            </w:r>
          </w:p>
        </w:tc>
        <w:tc>
          <w:tcPr>
            <w:tcW w:type="dxa" w:w="7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Returns detailed sync state: enabled entity types, last-sync times per entity, and document counts.</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r>
          </w:p>
        </w:tc>
      </w:tr>
      <w:tr>
        <w:tc>
          <w:tcPr>
            <w:tcW w:type="dxa" w:w="1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POST /sync</w:t>
            </w:r>
          </w:p>
        </w:tc>
        <w:tc>
          <w:tcPr>
            <w:tcW w:type="dxa" w:w="7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Trigger a sync manually. Body: {"syncType": "full" | "incremental"}. Returns sync results when complete.</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r>
          </w:p>
        </w:tc>
      </w:tr>
    </w:tbl>
    <w:p>
      <w:pPr>
        <w:spacing w:before="80" w:after="0"/>
      </w:pPr>
      <w:r>
        <w:t xml:space="preserve"/>
      </w:r>
    </w:p>
    <w:p>
      <w:pPr>
        <w:pStyle w:val="Heading2"/>
        <w:spacing w:before="280" w:after="120"/>
      </w:pPr>
      <w:r>
        <w:rPr>
          <w:rFonts w:ascii="Arial" w:cs="Arial" w:eastAsia="Arial" w:hAnsi="Arial"/>
          <w:b/>
          <w:bCs/>
          <w:color w:val="334155"/>
          <w:sz w:val="28"/>
          <w:szCs w:val="28"/>
        </w:rPr>
        <w:t xml:space="preserve">4.5 Admin REST API (Node.js)</w:t>
      </w:r>
    </w:p>
    <w:p>
      <w:pPr>
        <w:spacing w:before="60" w:after="60"/>
      </w:pPr>
      <w:r>
        <w:rPr>
          <w:rFonts w:ascii="Arial" w:cs="Arial" w:eastAsia="Arial" w:hAnsi="Arial"/>
          <w:b w:val="false"/>
          <w:bCs w:val="false"/>
          <w:color w:val="334155"/>
          <w:sz w:val="22"/>
          <w:szCs w:val="22"/>
        </w:rPr>
        <w:t xml:space="preserve">The Connector Manager module adds these endpoints to PipesHub’s Node.js backend: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Endpoint</w:t>
            </w:r>
          </w:p>
        </w:tc>
        <w:tc>
          <w:tcPr>
            <w:tcW w:type="dxa" w:w="5760"/>
            <w:tcBorders>
              <w:top w:val="single" w:color="FFFFFF" w:sz="1"/>
              <w:left w:val="single" w:color="FFFFFF" w:sz="1"/>
              <w:bottom w:val="single" w:color="FFFFFF" w:sz="1"/>
              <w:right w:val="single" w:color="FFFFFF" w:sz="1"/>
            </w:tcBorders>
            <w:shd w:fill="0891B2"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POST /api/v1/connectors/innovint/config</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Save credentials and config. Writes API key + tenant to ETCD at services/connectors/innovint/{orgId}/config, then publishes innovint.resync (syncType=full) to the sync-events Kafka topic.</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GET  /api/v1/connectors/innovint/config</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Retrieve connector config for the org (with API key masked). Reads directly from ETCD.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GET  /api/v1/connectors/innovint/status</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Returns sync status for the requesting organization. Reads connector state from ETCD.</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POST /api/v1/connectors/innovint/sync</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Trigger a manual sync. Publishes innovint.resync to sync-events with the requested syncType (full or incremental). The Python connector picks this up asynchronously.</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r>
          </w:p>
        </w:tc>
      </w:tr>
      <w:tr>
        <w:tc>
          <w:tcPr>
            <w:tcW w:type="dxa" w:w="36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DELETE /api/v1/connectors/innovint/config</w:t>
            </w:r>
          </w:p>
        </w:tc>
        <w:tc>
          <w:tcPr>
            <w:tcW w:type="dxa" w:w="5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Remove credentials from ETCD. The Python connector will stop syncing when the next event is received and credentials are not found.</w:t>
            </w:r>
          </w:p>
        </w:tc>
        <w:tc>
          <w:tcPr>
            <w:tcW w:type="dxa" w:w="20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r>
          </w:p>
        </w:tc>
      </w:tr>
    </w:tbl>
    <w:p>
      <w:pPr>
        <w:spacing w:before="80" w:after="0"/>
      </w:pPr>
      <w:r>
        <w:t xml:space="preserve"/>
      </w:r>
    </w:p>
    <w:p>
      <w:r>
        <w:br w:type="page"/>
      </w:r>
    </w:p>
    <w:p>
      <w:pPr>
        <w:pStyle w:val="Heading1"/>
        <w:pBdr>
          <w:bottom w:val="single" w:color="2563EB" w:sz="6" w:space="4"/>
        </w:pBdr>
        <w:spacing w:before="360" w:after="200"/>
      </w:pPr>
      <w:r>
        <w:rPr>
          <w:rFonts w:ascii="Arial" w:cs="Arial" w:eastAsia="Arial" w:hAnsi="Arial"/>
          <w:b/>
          <w:bCs/>
          <w:color w:val="334155"/>
          <w:sz w:val="36"/>
          <w:szCs w:val="36"/>
        </w:rPr>
        <w:t xml:space="preserve">5. Data Models</w:t>
      </w:r>
    </w:p>
    <w:p>
      <w:pPr>
        <w:spacing w:before="60" w:after="60"/>
      </w:pPr>
      <w:r>
        <w:rPr>
          <w:rFonts w:ascii="Arial" w:cs="Arial" w:eastAsia="Arial" w:hAnsi="Arial"/>
          <w:b w:val="false"/>
          <w:bCs w:val="false"/>
          <w:color w:val="334155"/>
          <w:sz w:val="22"/>
          <w:szCs w:val="22"/>
        </w:rPr>
        <w:t xml:space="preserve">All entity data flows through typed entity dataclasses before being converted into PipesHub’s standard Record types. This section documents the PipesHub Record formats and the entity-specific metadata fields.</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5.1 PipesHub Record Types</w:t>
      </w:r>
    </w:p>
    <w:p>
      <w:pPr>
        <w:spacing w:before="60" w:after="60"/>
      </w:pPr>
      <w:r>
        <w:rPr>
          <w:rFonts w:ascii="Arial" w:cs="Arial" w:eastAsia="Arial" w:hAnsi="Arial"/>
          <w:b w:val="false"/>
          <w:bCs w:val="false"/>
          <w:color w:val="334155"/>
          <w:sz w:val="22"/>
          <w:szCs w:val="22"/>
        </w:rPr>
        <w:t xml:space="preserve">The connector maps InnoVint entities to two PipesHub Record types: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Record Type</w:t>
            </w:r>
          </w:p>
        </w:tc>
        <w:tc>
          <w:tcPr>
            <w:tcW w:type="dxa" w:w="6960"/>
            <w:tcBorders>
              <w:top w:val="single" w:color="FFFFFF" w:sz="1"/>
              <w:left w:val="single" w:color="FFFFFF" w:sz="1"/>
              <w:bottom w:val="single" w:color="FFFFFF" w:sz="1"/>
              <w:right w:val="single" w:color="FFFFFF"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Used For / Key Fields</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WebpageRecord</w:t>
            </w:r>
          </w:p>
        </w:tc>
        <w:tc>
          <w:tcPr>
            <w:tcW w:type="dxa" w:w="6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Used for Lots, Vessels, Analyses, Case Goods, and Costs. Carries a title, content body (full-text searchable), and a url field linking back to InnoVint.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TicketRecord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Used for Work Orders. Carries additional structured fields: status, priority, assignee, due date, and associated lot/vessel references.</w:t>
            </w:r>
          </w:p>
        </w:tc>
      </w:tr>
    </w:tbl>
    <w:p>
      <w:pPr>
        <w:spacing w:before="80" w:after="0"/>
      </w:pPr>
      <w:r>
        <w:t xml:space="preserve"/>
      </w:r>
    </w:p>
    <w:p>
      <w:pPr>
        <w:pStyle w:val="Heading2"/>
        <w:spacing w:before="280" w:after="120"/>
      </w:pPr>
      <w:r>
        <w:rPr>
          <w:rFonts w:ascii="Arial" w:cs="Arial" w:eastAsia="Arial" w:hAnsi="Arial"/>
          <w:b/>
          <w:bCs/>
          <w:color w:val="334155"/>
          <w:sz w:val="28"/>
          <w:szCs w:val="28"/>
        </w:rPr>
        <w:t xml:space="preserve">5.2 external_record_id Encoding</w:t>
      </w:r>
    </w:p>
    <w:p>
      <w:pPr>
        <w:spacing w:before="60" w:after="60"/>
      </w:pPr>
      <w:r>
        <w:rPr>
          <w:rFonts w:ascii="Arial" w:cs="Arial" w:eastAsia="Arial" w:hAnsi="Arial"/>
          <w:b w:val="false"/>
          <w:bCs w:val="false"/>
          <w:color w:val="334155"/>
          <w:sz w:val="22"/>
          <w:szCs w:val="22"/>
        </w:rPr>
        <w:t xml:space="preserve">Every record is identified within PipesHub by an external_record_id in the format:</w:t>
      </w:r>
    </w:p>
    <w:p>
      <w:pPr>
        <w:shd w:fill="F1F5F9" w:val="clear"/>
        <w:spacing w:before="40" w:after="40"/>
        <w:ind w:left="360"/>
      </w:pPr>
      <w:r>
        <w:rPr>
          <w:rFonts w:ascii="Courier New" w:cs="Courier New" w:eastAsia="Courier New" w:hAnsi="Courier New"/>
          <w:color w:val="1E293B"/>
          <w:sz w:val="18"/>
          <w:szCs w:val="18"/>
        </w:rPr>
        <w:t xml:space="preserve">{entity_type}:{innovint_id}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334155" w:val="clear"/>
            <w:tcMar>
              <w:top w:type="dxa" w:w="100"/>
              <w:left w:type="dxa" w:w="150"/>
              <w:bottom w:type="dxa" w:w="100"/>
              <w:right w:type="dxa" w:w="150"/>
            </w:tcMar>
          </w:tcPr>
          <w:p>
            <w:r>
              <w:rPr>
                <w:rFonts w:ascii="Arial" w:cs="Arial" w:eastAsia="Arial" w:hAnsi="Arial"/>
                <w:b/>
                <w:bCs/>
                <w:color w:val="FFFFFF"/>
                <w:sz w:val="20"/>
                <w:szCs w:val="20"/>
              </w:rPr>
              <w:t xml:space="preserve">external_record_id</w:t>
            </w:r>
          </w:p>
        </w:tc>
        <w:tc>
          <w:tcPr>
            <w:tcW w:type="dxa" w:w="6560"/>
            <w:tcBorders>
              <w:top w:val="single" w:color="FFFFFF" w:sz="1"/>
              <w:left w:val="single" w:color="FFFFFF" w:sz="1"/>
              <w:bottom w:val="single" w:color="FFFFFF" w:sz="1"/>
              <w:right w:val="single" w:color="FFFFFF" w:sz="1"/>
            </w:tcBorders>
            <w:shd w:fill="334155"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lots:lot-001</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 lot with InnoVint ID lot-001</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vessels:vessel-042</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A vessel with InnoVint ID vessel-042</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analyses:ana-007</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An analysis result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work_orders:wo-123</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A work order</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case_goods:cg-055</w:t>
            </w:r>
          </w:p>
        </w:tc>
        <w:tc>
          <w:tcPr>
            <w:tcW w:type="dxa" w:w="65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 case good (finished wine)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costs:cost-099</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A cost entry</w:t>
            </w:r>
          </w:p>
        </w:tc>
      </w:tr>
    </w:tbl>
    <w:p>
      <w:pPr>
        <w:spacing w:before="80" w:after="0"/>
      </w:pPr>
      <w:r>
        <w:t xml:space="preserve"/>
      </w:r>
    </w:p>
    <w:p>
      <w:pPr>
        <w:pBdr>
          <w:left w:val="single" w:color="2563EB" w:sz="12" w:space="8"/>
        </w:pBdr>
        <w:shd w:fill="DBEAFE" w:val="clear"/>
        <w:spacing w:before="80" w:after="80"/>
        <w:ind w:left="180" w:right="180"/>
      </w:pPr>
      <w:r>
        <w:rPr>
          <w:rFonts w:ascii="Arial" w:cs="Arial" w:eastAsia="Arial" w:hAnsi="Arial"/>
          <w:color w:val="334155"/>
          <w:sz w:val="20"/>
          <w:szCs w:val="20"/>
        </w:rPr>
        <w:t xml:space="preserve">  The entity_type prefix must match exactly. stream_record() parses this prefix to route single-record fetches to the correct InnoVint API endpoint.</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5.3 Record Content Structure</w:t>
      </w:r>
    </w:p>
    <w:p>
      <w:pPr>
        <w:spacing w:before="60" w:after="60"/>
      </w:pPr>
      <w:r>
        <w:rPr>
          <w:rFonts w:ascii="Arial" w:cs="Arial" w:eastAsia="Arial" w:hAnsi="Arial"/>
          <w:b w:val="false"/>
          <w:bCs w:val="false"/>
          <w:color w:val="334155"/>
          <w:sz w:val="22"/>
          <w:szCs w:val="22"/>
        </w:rPr>
        <w:t xml:space="preserve">Each WebpageRecord and TicketRecord carries: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960"/>
            <w:tcBorders>
              <w:top w:val="single" w:color="FFFFFF" w:sz="1"/>
              <w:left w:val="single" w:color="FFFFFF" w:sz="1"/>
              <w:bottom w:val="single" w:color="FFFFFF" w:sz="1"/>
              <w:right w:val="single" w:color="FFFFFF" w:sz="1"/>
            </w:tcBorders>
            <w:shd w:fill="7C3AED"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title</w:t>
            </w:r>
          </w:p>
        </w:tc>
        <w:tc>
          <w:tcPr>
            <w:tcW w:type="dxa" w:w="6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Human-readable title generated from entity fields (e.g. "Estate Pinot Noir 2024 — PN-2024-001" for a lot)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content / body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Full-text searchable string combining all human-readable fields with labels (e.g. "pH: 3.45", "Varietal: Pinot Noir"). This is what the indexer embeds.</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url</w:t>
            </w:r>
          </w:p>
        </w:tc>
        <w:tc>
          <w:tcPr>
            <w:tcW w:type="dxa" w:w="6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Deep link back to the record in InnoVint (e.g. https://&lt;tenant&gt;.innovint.us/lots/&lt;id&gt;)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external_record_id</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Opaque identifier. Encoded as {entity_type}:{innovint_id}. Used by stream_record() to fetch on demand.</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origin.connector</w:t>
            </w:r>
          </w:p>
        </w:tc>
        <w:tc>
          <w:tcPr>
            <w:tcW w:type="dxa" w:w="6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Always "innovint". Used by PipesHub to scope records to this connector.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created_at / updated_at</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ISO 8601 timestamps from InnoVint. updated_at is compared against the SyncPoint for incremental syncs.</w:t>
            </w:r>
          </w:p>
        </w:tc>
      </w:tr>
    </w:tbl>
    <w:p>
      <w:pPr>
        <w:spacing w:before="80" w:after="0"/>
      </w:pPr>
      <w:r>
        <w:t xml:space="preserve"/>
      </w:r>
    </w:p>
    <w:p>
      <w:pPr>
        <w:pStyle w:val="Heading2"/>
        <w:spacing w:before="280" w:after="120"/>
      </w:pPr>
      <w:r>
        <w:rPr>
          <w:rFonts w:ascii="Arial" w:cs="Arial" w:eastAsia="Arial" w:hAnsi="Arial"/>
          <w:b/>
          <w:bCs/>
          <w:color w:val="334155"/>
          <w:sz w:val="28"/>
          <w:szCs w:val="28"/>
        </w:rPr>
        <w:t xml:space="preserve">5.4 Entity-Specific Metadata</w:t>
      </w:r>
    </w:p>
    <w:p>
      <w:pPr>
        <w:spacing w:before="0" w:after="0"/>
      </w:pPr>
      <w:r>
        <w:t xml:space="preserve"/>
      </w:r>
    </w:p>
    <w:p>
      <w:pPr>
        <w:shd w:fill="7C3AED" w:val="clear"/>
        <w:spacing w:before="160" w:after="80"/>
      </w:pPr>
      <w:r>
        <w:rPr>
          <w:rFonts w:ascii="Arial" w:cs="Arial" w:eastAsia="Arial" w:hAnsi="Arial"/>
          <w:b/>
          <w:bCs/>
          <w:color w:val="FFFFFF"/>
          <w:sz w:val="20"/>
          <w:szCs w:val="20"/>
        </w:rPr>
        <w:t xml:space="preserve">  Lot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lot_code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Short code identifier (e.g. PN-2024-001)</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lot_name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Human name (e.g. Estate Pinot Noir 2024)</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vintage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Integer year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varietal</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Grape variety string</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appellation</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Wine region (e.g. Russian River Valley)</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vineyard</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Vineyard name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status</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active, archived, blended, bottled, or sold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volume_gallons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Current volume as float</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color</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Wine color (red, white, rosé, etc.)</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tags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Array of tag strings</w:t>
            </w:r>
          </w:p>
        </w:tc>
      </w:tr>
    </w:tbl>
    <w:p>
      <w:pPr>
        <w:spacing w:before="80" w:after="0"/>
      </w:pPr>
      <w:r>
        <w:t xml:space="preserve"/>
      </w:r>
    </w:p>
    <w:p>
      <w:pPr>
        <w:shd w:fill="2563EB" w:val="clear"/>
        <w:spacing w:before="160" w:after="80"/>
      </w:pPr>
      <w:r>
        <w:rPr>
          <w:rFonts w:ascii="Arial" w:cs="Arial" w:eastAsia="Arial" w:hAnsi="Arial"/>
          <w:b/>
          <w:bCs/>
          <w:color w:val="FFFFFF"/>
          <w:sz w:val="20"/>
          <w:szCs w:val="20"/>
        </w:rPr>
        <w:t xml:space="preserve">  Vessel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vessel_type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tank, barrel, bin, keg, bottle, or other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capacity_gallons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Nominal capacity</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location</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Physical location string</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building</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Building/warehouse</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lot_id</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ID of the lot currently held in this vessel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lot_code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Code of the lot currently held</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material</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Construction material (e.g. stainless steel, French oak)</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cooperage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Barrel maker (for barrels)</w:t>
            </w:r>
          </w:p>
        </w:tc>
      </w:tr>
    </w:tbl>
    <w:p>
      <w:pPr>
        <w:spacing w:before="80" w:after="0"/>
      </w:pPr>
      <w:r>
        <w:t xml:space="preserve"/>
      </w:r>
    </w:p>
    <w:p>
      <w:pPr>
        <w:shd w:fill="16A34A" w:val="clear"/>
        <w:spacing w:before="160" w:after="80"/>
      </w:pPr>
      <w:r>
        <w:rPr>
          <w:rFonts w:ascii="Arial" w:cs="Arial" w:eastAsia="Arial" w:hAnsi="Arial"/>
          <w:b/>
          <w:bCs/>
          <w:color w:val="FFFFFF"/>
          <w:sz w:val="20"/>
          <w:szCs w:val="20"/>
        </w:rPr>
        <w:t xml:space="preserve">  Analysis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lot_id</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ID of the lot this analysis belongs to</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analysis_date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Date of analysis (ISO 8601)</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analysis_type</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Type of analysis (e.g. comprehensive, SO2 check)</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lab_name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Laboratory that performed the analysis</w:t>
            </w:r>
          </w:p>
        </w:tc>
      </w:tr>
      <w:tr>
        <w:tc>
          <w:tcPr>
            <w:tcW w:type="dxa" w:w="2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ph</w:t>
            </w:r>
          </w:p>
        </w:tc>
        <w:tc>
          <w:tcPr>
            <w:tcW w:type="dxa" w:w="71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pH value (float)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alcohol</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Alcohol % ABV (float)</w:t>
            </w:r>
          </w:p>
        </w:tc>
      </w:tr>
    </w:tbl>
    <w:p>
      <w:pPr>
        <w:spacing w:before="80" w:after="0"/>
      </w:pPr>
      <w:r>
        <w:t xml:space="preserve"/>
      </w:r>
    </w:p>
    <w:p>
      <w:r>
        <w:br w:type="page"/>
      </w:r>
    </w:p>
    <w:p>
      <w:pPr>
        <w:pStyle w:val="Heading1"/>
        <w:pBdr>
          <w:bottom w:val="single" w:color="2563EB" w:sz="6" w:space="4"/>
        </w:pBdr>
        <w:spacing w:before="360" w:after="200"/>
      </w:pPr>
      <w:r>
        <w:rPr>
          <w:rFonts w:ascii="Arial" w:cs="Arial" w:eastAsia="Arial" w:hAnsi="Arial"/>
          <w:b/>
          <w:bCs/>
          <w:color w:val="334155"/>
          <w:sz w:val="36"/>
          <w:szCs w:val="36"/>
        </w:rPr>
        <w:t xml:space="preserve">6. Obtaining InnoVint API Credentials</w:t>
      </w:r>
    </w:p>
    <w:p>
      <w:pPr>
        <w:spacing w:before="60" w:after="60"/>
      </w:pPr>
      <w:r>
        <w:rPr>
          <w:rFonts w:ascii="Arial" w:cs="Arial" w:eastAsia="Arial" w:hAnsi="Arial"/>
          <w:b w:val="false"/>
          <w:bCs w:val="false"/>
          <w:color w:val="334155"/>
          <w:sz w:val="22"/>
          <w:szCs w:val="22"/>
        </w:rPr>
        <w:t xml:space="preserve">InnoVint offers 100% open APIs, but API access is not enabled by default on all accounts. Follow these steps to get your credentials.</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6.1 Finding Your Tenant Name</w:t>
      </w:r>
    </w:p>
    <w:p>
      <w:pPr>
        <w:spacing w:before="60" w:after="60"/>
      </w:pPr>
      <w:r>
        <w:rPr>
          <w:rFonts w:ascii="Arial" w:cs="Arial" w:eastAsia="Arial" w:hAnsi="Arial"/>
          <w:b w:val="false"/>
          <w:bCs w:val="false"/>
          <w:color w:val="334155"/>
          <w:sz w:val="22"/>
          <w:szCs w:val="22"/>
        </w:rPr>
        <w:t xml:space="preserve">Your tenant name is the subdomain of your InnoVint URL. For example:</w:t>
      </w:r>
    </w:p>
    <w:p>
      <w:pPr>
        <w:pBdr>
          <w:left w:val="single" w:color="7C3AED" w:sz="12" w:space="8"/>
        </w:pBdr>
        <w:shd w:fill="EDE9FE" w:val="clear"/>
        <w:spacing w:before="80" w:after="80"/>
        <w:ind w:left="180" w:right="180"/>
      </w:pPr>
      <w:r>
        <w:rPr>
          <w:rFonts w:ascii="Arial" w:cs="Arial" w:eastAsia="Arial" w:hAnsi="Arial"/>
          <w:color w:val="334155"/>
          <w:sz w:val="20"/>
          <w:szCs w:val="20"/>
        </w:rPr>
        <w:t xml:space="preserve">  https://my-winery.innovint.us  →  Tenant: my-winery</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6.2 Requesting API Access</w:t>
      </w:r>
    </w:p>
    <w:p>
      <w:pPr>
        <w:pStyle w:val="ListParagraph"/>
        <w:numPr>
          <w:ilvl w:val="0"/>
          <w:numId w:val="3"/>
        </w:numPr>
        <w:spacing w:before="40" w:after="40"/>
      </w:pPr>
      <w:r>
        <w:rPr>
          <w:rFonts w:ascii="Arial" w:cs="Arial" w:eastAsia="Arial" w:hAnsi="Arial"/>
          <w:color w:val="334155"/>
          <w:sz w:val="22"/>
          <w:szCs w:val="22"/>
        </w:rPr>
        <w:t xml:space="preserve">Log in to your InnoVint account.</w:t>
      </w:r>
    </w:p>
    <w:p>
      <w:pPr>
        <w:pStyle w:val="ListParagraph"/>
        <w:numPr>
          <w:ilvl w:val="0"/>
          <w:numId w:val="3"/>
        </w:numPr>
        <w:spacing w:before="40" w:after="40"/>
      </w:pPr>
      <w:r>
        <w:rPr>
          <w:rFonts w:ascii="Arial" w:cs="Arial" w:eastAsia="Arial" w:hAnsi="Arial"/>
          <w:color w:val="334155"/>
          <w:sz w:val="22"/>
          <w:szCs w:val="22"/>
        </w:rPr>
        <w:t xml:space="preserve">Navigate to Settings → Integrations (or contact support@innovint.us).</w:t>
      </w:r>
    </w:p>
    <w:p>
      <w:pPr>
        <w:pStyle w:val="ListParagraph"/>
        <w:numPr>
          <w:ilvl w:val="0"/>
          <w:numId w:val="3"/>
        </w:numPr>
        <w:spacing w:before="40" w:after="40"/>
      </w:pPr>
      <w:r>
        <w:rPr>
          <w:rFonts w:ascii="Arial" w:cs="Arial" w:eastAsia="Arial" w:hAnsi="Arial"/>
          <w:color w:val="334155"/>
          <w:sz w:val="22"/>
          <w:szCs w:val="22"/>
        </w:rPr>
        <w:t xml:space="preserve">Request API key issuance. InnoVint’s support team will provide your key.</w:t>
      </w:r>
    </w:p>
    <w:p>
      <w:pPr>
        <w:pStyle w:val="ListParagraph"/>
        <w:numPr>
          <w:ilvl w:val="0"/>
          <w:numId w:val="3"/>
        </w:numPr>
        <w:spacing w:before="40" w:after="40"/>
      </w:pPr>
      <w:r>
        <w:rPr>
          <w:rFonts w:ascii="Arial" w:cs="Arial" w:eastAsia="Arial" w:hAnsi="Arial"/>
          <w:color w:val="334155"/>
          <w:sz w:val="22"/>
          <w:szCs w:val="22"/>
        </w:rPr>
        <w:t xml:space="preserve">Once issued, your API key goes into the INNOVINT_API_KEY environment variable.</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6.3 API Documentation</w:t>
      </w:r>
    </w:p>
    <w:p>
      <w:pPr>
        <w:spacing w:before="60" w:after="60"/>
      </w:pPr>
      <w:r>
        <w:rPr>
          <w:rFonts w:ascii="Arial" w:cs="Arial" w:eastAsia="Arial" w:hAnsi="Arial"/>
          <w:b w:val="false"/>
          <w:bCs w:val="false"/>
          <w:color w:val="334155"/>
          <w:sz w:val="22"/>
          <w:szCs w:val="22"/>
        </w:rPr>
        <w:t xml:space="preserve">InnoVint’s API docs are available at your tenant’s documentation portal:</w:t>
      </w:r>
    </w:p>
    <w:p>
      <w:pPr>
        <w:pBdr>
          <w:left w:val="single" w:color="7C3AED" w:sz="12" w:space="8"/>
        </w:pBdr>
        <w:shd w:fill="EDE9FE" w:val="clear"/>
        <w:spacing w:before="80" w:after="80"/>
        <w:ind w:left="180" w:right="180"/>
      </w:pPr>
      <w:r>
        <w:rPr>
          <w:rFonts w:ascii="Arial" w:cs="Arial" w:eastAsia="Arial" w:hAnsi="Arial"/>
          <w:color w:val="334155"/>
          <w:sz w:val="20"/>
          <w:szCs w:val="20"/>
        </w:rPr>
        <w:t xml:space="preserve">  https://&lt;tenant&gt;.innovint.us/api/v1/docs/</w:t>
      </w:r>
    </w:p>
    <w:p>
      <w:pPr>
        <w:spacing w:before="60" w:after="60"/>
      </w:pPr>
      <w:r>
        <w:rPr>
          <w:rFonts w:ascii="Arial" w:cs="Arial" w:eastAsia="Arial" w:hAnsi="Arial"/>
          <w:b w:val="false"/>
          <w:bCs w:val="false"/>
          <w:color w:val="334155"/>
          <w:sz w:val="22"/>
          <w:szCs w:val="22"/>
        </w:rPr>
        <w:t xml:space="preserve">This portal documents all available endpoints, request/response schemas, and any pagination limits specific to your account tier.</w:t>
      </w:r>
    </w:p>
    <w:p>
      <w:pPr>
        <w:spacing w:before="80" w:after="0"/>
      </w:pPr>
      <w:r>
        <w:t xml:space="preserve"/>
      </w:r>
    </w:p>
    <w:p>
      <w:pPr>
        <w:pStyle w:val="Heading1"/>
        <w:pBdr>
          <w:bottom w:val="single" w:color="2563EB" w:sz="6" w:space="4"/>
        </w:pBdr>
        <w:spacing w:before="360" w:after="200"/>
      </w:pPr>
      <w:r>
        <w:rPr>
          <w:rFonts w:ascii="Arial" w:cs="Arial" w:eastAsia="Arial" w:hAnsi="Arial"/>
          <w:b/>
          <w:bCs/>
          <w:color w:val="334155"/>
          <w:sz w:val="36"/>
          <w:szCs w:val="36"/>
        </w:rPr>
        <w:t xml:space="preserve">7. Troubleshooting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FFFFFF" w:sz="1"/>
              <w:left w:val="single" w:color="FFFFFF" w:sz="1"/>
              <w:bottom w:val="single" w:color="FFFFFF" w:sz="1"/>
              <w:right w:val="single" w:color="FFFFFF" w:sz="1"/>
            </w:tcBorders>
            <w:shd w:fill="334155" w:val="clear"/>
            <w:tcMar>
              <w:top w:type="dxa" w:w="100"/>
              <w:left w:type="dxa" w:w="150"/>
              <w:bottom w:type="dxa" w:w="100"/>
              <w:right w:type="dxa" w:w="150"/>
            </w:tcMar>
          </w:tcPr>
          <w:p>
            <w:r>
              <w:rPr>
                <w:rFonts w:ascii="Arial" w:cs="Arial" w:eastAsia="Arial" w:hAnsi="Arial"/>
                <w:b/>
                <w:bCs/>
                <w:color w:val="FFFFFF"/>
                <w:sz w:val="20"/>
                <w:szCs w:val="20"/>
              </w:rPr>
              <w:t xml:space="preserve">Symptom</w:t>
            </w:r>
          </w:p>
        </w:tc>
        <w:tc>
          <w:tcPr>
            <w:tcW w:type="dxa" w:w="3200"/>
            <w:tcBorders>
              <w:top w:val="single" w:color="FFFFFF" w:sz="1"/>
              <w:left w:val="single" w:color="FFFFFF" w:sz="1"/>
              <w:bottom w:val="single" w:color="FFFFFF" w:sz="1"/>
              <w:right w:val="single" w:color="FFFFFF" w:sz="1"/>
            </w:tcBorders>
            <w:shd w:fill="334155" w:val="clear"/>
            <w:tcMar>
              <w:top w:type="dxa" w:w="100"/>
              <w:left w:type="dxa" w:w="150"/>
              <w:bottom w:type="dxa" w:w="100"/>
              <w:right w:type="dxa" w:w="150"/>
            </w:tcMar>
          </w:tcPr>
          <w:p>
            <w:r>
              <w:rPr>
                <w:rFonts w:ascii="Arial" w:cs="Arial" w:eastAsia="Arial" w:hAnsi="Arial"/>
                <w:b/>
                <w:bCs/>
                <w:color w:val="FFFFFF"/>
                <w:sz w:val="20"/>
                <w:szCs w:val="20"/>
              </w:rPr>
              <w:t xml:space="preserve">Likely Cause</w:t>
            </w:r>
          </w:p>
        </w:tc>
        <w:tc>
          <w:tcPr>
            <w:tcW w:type="dxa" w:w="3760"/>
            <w:tcBorders>
              <w:top w:val="single" w:color="FFFFFF" w:sz="1"/>
              <w:left w:val="single" w:color="FFFFFF" w:sz="1"/>
              <w:bottom w:val="single" w:color="FFFFFF" w:sz="1"/>
              <w:right w:val="single" w:color="FFFFFF" w:sz="1"/>
            </w:tcBorders>
            <w:shd w:fill="334155" w:val="clear"/>
            <w:tcMar>
              <w:top w:type="dxa" w:w="100"/>
              <w:left w:type="dxa" w:w="150"/>
              <w:bottom w:type="dxa" w:w="100"/>
              <w:right w:type="dxa" w:w="150"/>
            </w:tcMar>
          </w:tcPr>
          <w:p>
            <w:r>
              <w:rPr>
                <w:rFonts w:ascii="Arial" w:cs="Arial" w:eastAsia="Arial" w:hAnsi="Arial"/>
                <w:b/>
                <w:bCs/>
                <w:color w:val="FFFFFF"/>
                <w:sz w:val="20"/>
                <w:szCs w:val="20"/>
              </w:rPr>
              <w:t xml:space="preserve">Resolution</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401 Unauthorized from InnoVint API</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API key stored in ETCD is wrong, expired, or the tenant name is incorrect.</w:t>
            </w:r>
          </w:p>
        </w:tc>
        <w:tc>
          <w:tcPr>
            <w:tcW w:type="dxa" w:w="3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Check the credentials stored in ETCD via GET /api/v1/connectors/innovint/config. Verify the API key directly: curl -H "X-API-Key: KEY" https://TENANT.innovint.us/api/v1/lots. The connector will automatically retry once after re-reading ETCD before aborting the sync.</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Sync aborts with ‘Credentials still invalid after reload’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The credentials in ETCD are genuinely invalid (not a transient rotation). The connector tried reloading once and still got 401.</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Update the credentials via POST /api/v1/connectors/innovint/config with the new API key, then trigger a full sync.</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innovint.resync event not received by Python connector</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The Python service is not consuming from the sync-events Kafka topic, or the ConnectorFactory does not have InnovintConnector registered.</w:t>
            </w:r>
          </w:p>
        </w:tc>
        <w:tc>
          <w:tcPr>
            <w:tcW w:type="dxa" w:w="3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Apply connector_factory.patch.md to PipesHub’s connector_factory.py. Confirm Kafka group ID and broker address are correct.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Incremental sync fetches too many records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SyncPoints were not saved from the previous run (e.g., the service crashed before SyncPoint save). Or clock skew between entity syncs left a gap.</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SyncPoints use sync_start_ts captured once at the start of run_sync() — this prevents inter-entity gaps. If SyncPoints are missing, run a full sync to re-establish baselines.</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Records not appearing in PipesHub search</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record-events published to Kafka but PipesHub indexer has not called stream_record() yet, or stream_record() raised an exception.</w:t>
            </w:r>
          </w:p>
        </w:tc>
        <w:tc>
          <w:tcPr>
            <w:tcW w:type="dxa" w:w="3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Check indexer logs. Confirm stream_record() correctly parses the external_record_id prefix and calls the right InnoVint get_*() method. Check ArangoDB records collection for origin.connector == innovint entries.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Kafka connection refused</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KAFKA_BOOTSTRAP_SERVERS is incorrect or Kafka isn’t running.</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Confirm Kafka is running and the broker address is reachable from the connector container.</w:t>
            </w:r>
          </w:p>
        </w:tc>
      </w:tr>
      <w:tr>
        <w:tc>
          <w:tcPr>
            <w:tcW w:type="dxa" w:w="2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ModuleNotFoundError: aiohttp</w:t>
            </w:r>
          </w:p>
        </w:tc>
        <w:tc>
          <w:tcPr>
            <w:tcW w:type="dxa" w:w="32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Python dependency not installed.</w:t>
            </w:r>
          </w:p>
        </w:tc>
        <w:tc>
          <w:tcPr>
            <w:tcW w:type="dxa" w:w="37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Run: pip install aiohttp</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ConfigurationService returns empty config</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ETCD key is missing. Credentials were not saved yet, or the orgId in the ETCD key doesn’t match what ConfigurationService is constructing.</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Call GET /api/v1/connectors/innovint/config from the Node.js API and confirm a 200 response. Check the ETCD key at services/connectors/innovint/{orgId}/config.</w:t>
            </w:r>
          </w:p>
        </w:tc>
      </w:tr>
    </w:tbl>
    <w:p>
      <w:pPr>
        <w:spacing w:before="160" w:after="0"/>
      </w:pPr>
      <w:r>
        <w:t xml:space="preserve"/>
      </w:r>
    </w:p>
    <w:p>
      <w:pPr>
        <w:pStyle w:val="Heading1"/>
        <w:pBdr>
          <w:bottom w:val="single" w:color="2563EB" w:sz="6" w:space="4"/>
        </w:pBdr>
        <w:spacing w:before="360" w:after="200"/>
      </w:pPr>
      <w:r>
        <w:rPr>
          <w:rFonts w:ascii="Arial" w:cs="Arial" w:eastAsia="Arial" w:hAnsi="Arial"/>
          <w:b/>
          <w:bCs/>
          <w:color w:val="334155"/>
          <w:sz w:val="36"/>
          <w:szCs w:val="36"/>
        </w:rPr>
        <w:t xml:space="preserve">8. Extending the Connector</w:t>
      </w:r>
    </w:p>
    <w:p>
      <w:pPr>
        <w:pStyle w:val="Heading2"/>
        <w:spacing w:before="280" w:after="120"/>
      </w:pPr>
      <w:r>
        <w:rPr>
          <w:rFonts w:ascii="Arial" w:cs="Arial" w:eastAsia="Arial" w:hAnsi="Arial"/>
          <w:b/>
          <w:bCs/>
          <w:color w:val="334155"/>
          <w:sz w:val="28"/>
          <w:szCs w:val="28"/>
        </w:rPr>
        <w:t xml:space="preserve">8.1 Adding a New Entity Type</w:t>
      </w:r>
    </w:p>
    <w:p>
      <w:pPr>
        <w:pStyle w:val="ListParagraph"/>
        <w:numPr>
          <w:ilvl w:val="0"/>
          <w:numId w:val="3"/>
        </w:numPr>
        <w:spacing w:before="40" w:after="40"/>
      </w:pPr>
      <w:r>
        <w:rPr>
          <w:rFonts w:ascii="Arial" w:cs="Arial" w:eastAsia="Arial" w:hAnsi="Arial"/>
          <w:color w:val="334155"/>
          <w:sz w:val="22"/>
          <w:szCs w:val="22"/>
        </w:rPr>
        <w:t xml:space="preserve">Add a new dataclass to connectors/sources/innovint/models/entities.py with a to_content() method that returns a full-text string, and a to_metadata() method for structured fields.</w:t>
      </w:r>
    </w:p>
    <w:p>
      <w:pPr>
        <w:pStyle w:val="ListParagraph"/>
        <w:numPr>
          <w:ilvl w:val="0"/>
          <w:numId w:val="3"/>
        </w:numPr>
        <w:spacing w:before="40" w:after="40"/>
      </w:pPr>
      <w:r>
        <w:rPr>
          <w:rFonts w:ascii="Arial" w:cs="Arial" w:eastAsia="Arial" w:hAnsi="Arial"/>
          <w:color w:val="334155"/>
          <w:sz w:val="22"/>
          <w:szCs w:val="22"/>
        </w:rPr>
        <w:t xml:space="preserve">Add a transform_&lt;entity&gt;() function to connectors/sources/innovint/utils/transformers.py.</w:t>
      </w:r>
    </w:p>
    <w:p>
      <w:pPr>
        <w:pStyle w:val="ListParagraph"/>
        <w:numPr>
          <w:ilvl w:val="0"/>
          <w:numId w:val="3"/>
        </w:numPr>
        <w:spacing w:before="40" w:after="40"/>
      </w:pPr>
      <w:r>
        <w:rPr>
          <w:rFonts w:ascii="Arial" w:cs="Arial" w:eastAsia="Arial" w:hAnsi="Arial"/>
          <w:color w:val="334155"/>
          <w:sz w:val="22"/>
          <w:szCs w:val="22"/>
        </w:rPr>
        <w:t xml:space="preserve">Add list_&lt;entities&gt;() and get_&lt;entity&gt;() methods to sources/external/innovint/innovint.py using the _paginate() helper. Follow the existing async generator pattern.</w:t>
      </w:r>
    </w:p>
    <w:p>
      <w:pPr>
        <w:pStyle w:val="ListParagraph"/>
        <w:numPr>
          <w:ilvl w:val="0"/>
          <w:numId w:val="3"/>
        </w:numPr>
        <w:spacing w:before="40" w:after="40"/>
      </w:pPr>
      <w:r>
        <w:rPr>
          <w:rFonts w:ascii="Arial" w:cs="Arial" w:eastAsia="Arial" w:hAnsi="Arial"/>
          <w:color w:val="334155"/>
          <w:sz w:val="22"/>
          <w:szCs w:val="22"/>
        </w:rPr>
        <w:t xml:space="preserve">Register the new entity in connector.py’s ENTITY_TYPES list and the fetcher/record-type dispatch maps inside _sync_entity_type() and stream_record().</w:t>
      </w:r>
    </w:p>
    <w:p>
      <w:pPr>
        <w:pStyle w:val="ListParagraph"/>
        <w:numPr>
          <w:ilvl w:val="0"/>
          <w:numId w:val="3"/>
        </w:numPr>
        <w:spacing w:before="40" w:after="40"/>
      </w:pPr>
      <w:r>
        <w:rPr>
          <w:rFonts w:ascii="Arial" w:cs="Arial" w:eastAsia="Arial" w:hAnsi="Arial"/>
          <w:color w:val="334155"/>
          <w:sz w:val="22"/>
          <w:szCs w:val="22"/>
        </w:rPr>
        <w:t xml:space="preserve">Decide the PipesHub Record type: WebpageRecord for document-like entities, TicketRecord for task/action entities. The external_record_id prefix should be the snake_case plural name (e.g. my_entities).</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8.2 SyncPoint Mechanics</w:t>
      </w:r>
    </w:p>
    <w:p>
      <w:pPr>
        <w:spacing w:before="60" w:after="60"/>
      </w:pPr>
      <w:r>
        <w:rPr>
          <w:rFonts w:ascii="Arial" w:cs="Arial" w:eastAsia="Arial" w:hAnsi="Arial"/>
          <w:b w:val="false"/>
          <w:bCs w:val="false"/>
          <w:color w:val="334155"/>
          <w:sz w:val="22"/>
          <w:szCs w:val="22"/>
        </w:rPr>
        <w:t xml:space="preserve">SyncPoints are managed by the PipesHub framework via DataSourceEntitiesProcessor. The connector’s responsibility is:</w:t>
      </w:r>
    </w:p>
    <w:p>
      <w:pPr>
        <w:pStyle w:val="ListParagraph"/>
        <w:numPr>
          <w:ilvl w:val="0"/>
          <w:numId w:val="3"/>
        </w:numPr>
        <w:spacing w:before="40" w:after="40"/>
      </w:pPr>
      <w:r>
        <w:rPr>
          <w:rFonts w:ascii="Arial" w:cs="Arial" w:eastAsia="Arial" w:hAnsi="Arial"/>
          <w:color w:val="334155"/>
          <w:sz w:val="22"/>
          <w:szCs w:val="22"/>
        </w:rPr>
        <w:t xml:space="preserve">Capture sync_start_ts = int(datetime.now(timezone.utc).timestamp() * 1000) ONCE at the top of run_sync() or run_incremental_sync() — before any fetch begins.</w:t>
      </w:r>
    </w:p>
    <w:p>
      <w:pPr>
        <w:pStyle w:val="ListParagraph"/>
        <w:numPr>
          <w:ilvl w:val="0"/>
          <w:numId w:val="3"/>
        </w:numPr>
        <w:spacing w:before="40" w:after="40"/>
      </w:pPr>
      <w:r>
        <w:rPr>
          <w:rFonts w:ascii="Arial" w:cs="Arial" w:eastAsia="Arial" w:hAnsi="Arial"/>
          <w:color w:val="334155"/>
          <w:sz w:val="22"/>
          <w:szCs w:val="22"/>
        </w:rPr>
        <w:t xml:space="preserve">Pass sync_start_ts explicitly to every _sync_entity_type() call so all entities share the same baseline.</w:t>
      </w:r>
    </w:p>
    <w:p>
      <w:pPr>
        <w:pStyle w:val="ListParagraph"/>
        <w:numPr>
          <w:ilvl w:val="0"/>
          <w:numId w:val="3"/>
        </w:numPr>
        <w:spacing w:before="40" w:after="40"/>
      </w:pPr>
      <w:r>
        <w:rPr>
          <w:rFonts w:ascii="Arial" w:cs="Arial" w:eastAsia="Arial" w:hAnsi="Arial"/>
          <w:color w:val="334155"/>
          <w:sz w:val="22"/>
          <w:szCs w:val="22"/>
        </w:rPr>
        <w:t xml:space="preserve">After on_new_records() completes, the DataSourceEntitiesProcessor saves the SyncPoint using that timestamp. The connector does not call SyncPoint.save() directly.</w:t>
      </w:r>
    </w:p>
    <w:p>
      <w:pPr>
        <w:spacing w:before="80" w:after="0"/>
      </w:pPr>
      <w:r>
        <w:t xml:space="preserve"/>
      </w:r>
    </w:p>
    <w:p>
      <w:pPr>
        <w:pStyle w:val="Heading2"/>
        <w:spacing w:before="280" w:after="120"/>
      </w:pPr>
      <w:r>
        <w:rPr>
          <w:rFonts w:ascii="Arial" w:cs="Arial" w:eastAsia="Arial" w:hAnsi="Arial"/>
          <w:b/>
          <w:bCs/>
          <w:color w:val="334155"/>
          <w:sz w:val="28"/>
          <w:szCs w:val="28"/>
        </w:rPr>
        <w:t xml:space="preserve">8.3 Multi-Tenant Support</w:t>
      </w:r>
    </w:p>
    <w:p>
      <w:pPr>
        <w:spacing w:before="60" w:after="60"/>
      </w:pPr>
      <w:r>
        <w:rPr>
          <w:rFonts w:ascii="Arial" w:cs="Arial" w:eastAsia="Arial" w:hAnsi="Arial"/>
          <w:b w:val="false"/>
          <w:bCs w:val="false"/>
          <w:color w:val="334155"/>
          <w:sz w:val="22"/>
          <w:szCs w:val="22"/>
        </w:rPr>
        <w:t xml:space="preserve">PipesHub’s ConnectorFactory instantiates one InnovintConnector per orgId based on the orgId field in each innovint.resync event. Each instance reads its own ETCD key (services/connectors/innovint/{orgId}/config) independently — no additional configuration is needed to support multiple wineries.</w:t>
      </w:r>
    </w:p>
    <w:p>
      <w:pPr>
        <w:spacing w:before="160" w:after="0"/>
      </w:pPr>
      <w:r>
        <w:t xml:space="preserve"/>
      </w:r>
    </w:p>
    <w:p>
      <w:r>
        <w:br w:type="page"/>
      </w:r>
    </w:p>
    <w:p>
      <w:pPr>
        <w:pStyle w:val="Heading1"/>
        <w:pBdr>
          <w:bottom w:val="single" w:color="2563EB" w:sz="6" w:space="4"/>
        </w:pBdr>
        <w:spacing w:before="360" w:after="200"/>
      </w:pPr>
      <w:r>
        <w:rPr>
          <w:rFonts w:ascii="Arial" w:cs="Arial" w:eastAsia="Arial" w:hAnsi="Arial"/>
          <w:b/>
          <w:bCs/>
          <w:color w:val="334155"/>
          <w:sz w:val="36"/>
          <w:szCs w:val="36"/>
        </w:rPr>
        <w:t xml:space="preserve">9.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FFFFFF" w:sz="1"/>
              <w:left w:val="single" w:color="FFFFFF" w:sz="1"/>
              <w:bottom w:val="single" w:color="FFFFFF" w:sz="1"/>
              <w:right w:val="single" w:color="FFFFFF" w:sz="1"/>
            </w:tcBorders>
            <w:shd w:fill="334155" w:val="clear"/>
            <w:tcMar>
              <w:top w:type="dxa" w:w="100"/>
              <w:left w:type="dxa" w:w="150"/>
              <w:bottom w:type="dxa" w:w="100"/>
              <w:right w:type="dxa" w:w="150"/>
            </w:tcMar>
          </w:tcPr>
          <w:p>
            <w:r>
              <w:rPr>
                <w:rFonts w:ascii="Arial" w:cs="Arial" w:eastAsia="Arial" w:hAnsi="Arial"/>
                <w:b/>
                <w:bCs/>
                <w:color w:val="FFFFFF"/>
                <w:sz w:val="20"/>
                <w:szCs w:val="20"/>
              </w:rPr>
              <w:t xml:space="preserve">File</w:t>
            </w:r>
          </w:p>
        </w:tc>
        <w:tc>
          <w:tcPr>
            <w:tcW w:type="dxa" w:w="4960"/>
            <w:tcBorders>
              <w:top w:val="single" w:color="FFFFFF" w:sz="1"/>
              <w:left w:val="single" w:color="FFFFFF" w:sz="1"/>
              <w:bottom w:val="single" w:color="FFFFFF" w:sz="1"/>
              <w:right w:val="single" w:color="FFFFFF" w:sz="1"/>
            </w:tcBorders>
            <w:shd w:fill="334155"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backend/python/app/sources/external/innovint/innovint.py</w:t>
            </w:r>
          </w:p>
        </w:tc>
        <w:tc>
          <w:tcPr>
            <w:tcW w:type="dxa" w:w="4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InnovintClient: async HTTP client with list_*() async generators and get_*() single-record fetchers. Pure I/O layer, no PipesHub dependency.</w:t>
            </w:r>
          </w:p>
        </w:tc>
      </w:tr>
      <w:tr>
        <w:tc>
          <w:tcPr>
            <w:tcW w:type="dxa" w:w="4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backend/python/app/connectors/sources/innovint/connector.py</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InnovintConnector(BaseConnector): main connector. Implements init(), run_sync(), run_incremental_sync(), stream_record(), cleanup(), create_connector(). Decorated with @ConnectorBuilder.</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backend/python/app/connectors/sources/innovint/common/apps.py</w:t>
            </w:r>
          </w:p>
        </w:tc>
        <w:tc>
          <w:tcPr>
            <w:tcW w:type="dxa" w:w="4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InnovintApp(App): app name and group constants used by ConnectorFactory for registry lookup.</w:t>
            </w:r>
          </w:p>
        </w:tc>
      </w:tr>
      <w:tr>
        <w:tc>
          <w:tcPr>
            <w:tcW w:type="dxa" w:w="4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backend/python/app/connectors/sources/innovint/models/entities.py</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Typed dataclasses for the 6 InnoVint entity types. Used by the transform layer before building PipesHub Records.</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backend/python/app/connectors/sources/innovint/utils/transformers.py</w:t>
            </w:r>
          </w:p>
        </w:tc>
        <w:tc>
          <w:tcPr>
            <w:tcW w:type="dxa" w:w="4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Pure transform functions: raw API dict → typed entity dataclass. No PipesHub framework dependency.</w:t>
            </w:r>
          </w:p>
        </w:tc>
      </w:tr>
      <w:tr>
        <w:tc>
          <w:tcPr>
            <w:tcW w:type="dxa" w:w="4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backend/python/app/connectors/sources/innovint/test.py</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Unit and integration test suite. 49 tests covering auth, pagination, error handling, record types, Kafka event format, permission model, and ETCD key conventions.</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services/nodejs/.../innovint/innovint.connector.ts</w:t>
            </w:r>
          </w:p>
        </w:tc>
        <w:tc>
          <w:tcPr>
            <w:tcW w:type="dxa" w:w="4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Node.js Express router. Writes credentials to ETCD, publishes innovint.resync to sync-events. No credentialsRoute or MongoDB dependency.</w:t>
            </w:r>
          </w:p>
        </w:tc>
      </w:tr>
      <w:tr>
        <w:tc>
          <w:tcPr>
            <w:tcW w:type="dxa" w:w="4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Courier New" w:cs="Courier New" w:eastAsia="Courier New" w:hAnsi="Courier New"/>
                <w:color w:val="334155"/>
                <w:sz w:val="18"/>
                <w:szCs w:val="18"/>
              </w:rPr>
              <w:t xml:space="preserve">connectors/core/factory/connector_factory.patch.md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4155"/>
                <w:sz w:val="20"/>
                <w:szCs w:val="20"/>
              </w:rPr>
              <w:t xml:space="preserve">Diff showing the 2-line change for PipesHub’s connector_factory.py + constants to add to arangodb.py.</w:t>
            </w:r>
          </w:p>
        </w:tc>
      </w:tr>
      <w:tr>
        <w:tc>
          <w:tcPr>
            <w:tcW w:type="dxa" w:w="440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Courier New" w:cs="Courier New" w:eastAsia="Courier New" w:hAnsi="Courier New"/>
                <w:color w:val="334155"/>
                <w:sz w:val="18"/>
                <w:szCs w:val="18"/>
              </w:rPr>
              <w:t xml:space="preserve">requirements.txt</w:t>
            </w:r>
          </w:p>
        </w:tc>
        <w:tc>
          <w:tcPr>
            <w:tcW w:type="dxa" w:w="4960"/>
            <w:tcBorders>
              <w:top w:val="single" w:color="DDDDDD" w:sz="1"/>
              <w:left w:val="single" w:color="DDDDDD" w:sz="1"/>
              <w:bottom w:val="single" w:color="DDDDDD" w:sz="1"/>
              <w:right w:val="single" w:color="DDDDDD" w:sz="1"/>
            </w:tcBorders>
            <w:shd w:fill="F8FAFC" w:val="clear"/>
            <w:tcMar>
              <w:top w:type="dxa" w:w="100"/>
              <w:left w:type="dxa" w:w="150"/>
              <w:bottom w:type="dxa" w:w="100"/>
              <w:right w:type="dxa" w:w="150"/>
            </w:tcMar>
          </w:tcPr>
          <w:p>
            <w:r>
              <w:rPr>
                <w:rFonts w:ascii="Arial" w:cs="Arial" w:eastAsia="Arial" w:hAnsi="Arial"/>
                <w:color w:val="334155"/>
                <w:sz w:val="20"/>
                <w:szCs w:val="20"/>
              </w:rPr>
              <w:t xml:space="preserve">Python dependencies (aiohttp; PipesHub core provides aioarangodb, aiokafka, etc.)</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AAAAAA"/>
        <w:sz w:val="16"/>
        <w:szCs w:val="16"/>
      </w:rPr>
      <w:t xml:space="preserve">Confidential · InnoVint Connector v1.1</w:t>
    </w:r>
    <w:r>
      <w:rPr>
        <w:rFonts w:ascii="Arial" w:cs="Arial" w:eastAsia="Arial" w:hAnsi="Arial"/>
        <w:sz w:val="16"/>
        <w:szCs w:val="16"/>
      </w:rP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9360"/>
      </w:tabs>
    </w:pPr>
    <w:r>
      <w:rPr>
        <w:rFonts w:ascii="Arial" w:cs="Arial" w:eastAsia="Arial" w:hAnsi="Arial"/>
        <w:color w:val="888888"/>
        <w:sz w:val="18"/>
        <w:szCs w:val="18"/>
      </w:rPr>
      <w:t xml:space="preserve">InnoVint → PipesHub Connector</w:t>
    </w:r>
    <w:r>
      <w:rPr>
        <w:rFonts w:ascii="Arial" w:cs="Arial" w:eastAsia="Arial" w:hAnsi="Arial"/>
        <w:sz w:val="18"/>
        <w:szCs w:val="18"/>
      </w:rPr>
      <w:t xml:space="preserve">	</w:t>
    </w:r>
    <w:r>
      <w:rPr>
        <w:rFonts w:ascii="Arial" w:cs="Arial" w:eastAsia="Arial" w:hAnsi="Arial"/>
        <w:i/>
        <w:iCs/>
        <w:color w:val="888888"/>
        <w:sz w:val="18"/>
        <w:szCs w:val="18"/>
      </w:rPr>
      <w:t xml:space="preserve">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34155"/>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334155"/>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c5eaa4e105c895868eb01f05453a68c01179a82.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2026-03-28T15:32:25.462Z</dcterms:created>
  <dcterms:modified xsi:type="dcterms:W3CDTF">2026-03-28T15:32:25.462Z</dcterms:modified>
</cp:coreProperties>
</file>

<file path=docProps/custom.xml><?xml version="1.0" encoding="utf-8"?>
<Properties xmlns="http://schemas.openxmlformats.org/officeDocument/2006/custom-properties" xmlns:vt="http://schemas.openxmlformats.org/officeDocument/2006/docPropsVTypes"/>
</file>