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Week 5 Technical Documentation: Data Preprocessing, Pipelines &amp; Unsupervised Clustering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Executive Summary &amp; Week 5 Objectives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This report documents the completion of Week 5 milestones for the Non-Mortgage Living Expense Estimation Engine covering Harris, Fort Bend, and Galveston counties (279 canonical ZIP codes). During this phase, all multi-domain data sources (demographic crosswalks, NFIP claims, FEMA spatial flood hazards, utility rate schedules, and USDA food baselines) were audited, cleaned, engineered, transformed into machine-readable feature stores, and clustered into regional cost and risk archetypes.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The deliverables fulfilled include: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Data Cleaning &amp; Quality Assessment: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Enforced zero missing values across the 279 ZIP code index, preserved string formatting for primary keys, and filtered out non-differentiating baseline constants.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Feature Engineering: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Constructed domain-specific spatial hazard indicators, utility rate metrics, municipal utility district (MUD) flags, and statutory windstorm insurance requirements.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Data Transformation Pipelines: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Designed and executed a Scikit-Learn ColumnTransformer pipeline incorporating StandardScaler and OneHotEncoder to prepare an unskewed matrix for machine learning.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Train / Validation / Test Splitting Adaptation: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Adapted traditional holdout splits to an unsupervised clustering framework across the complete geographic universe, utilizing the Elbow Method, Silhouette Analysis, and the Davies-Bouldin Index for validation.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Model-Ready Artifacts: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Successfully generated and validated features_scaled_for_clustering.parquet and master_living_costs_clustered.parquet.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Data Cleaning &amp; Quality Assessment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A rigorous quality audit was performed on the consolidated dataset before pipeline transformation: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Primary Key String Integrity: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Applied zero-padding (str.zfill(5)) to ensure all USPS ZIP codes maintain exact 5-character string lengths (preventing numerical truncation such as 07702 converting to 7702).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Record Deduplication: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Verified exactly 279 unique ZIP codes matching the HUD-USPS residential ratio allocation (Harris: 224, Fort Bend: 31, Galveston: 24).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Null Value Remediation: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Zero null or missing values exist across all 29 original columns. Missing claims in inland ZIP codes were cleanly mapped to 0.0 to preserve analytical continuity.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Zero-Variance Column Pruning: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Identified and isolated uniform static variables (such as gas_base_monthly_fee at $18.50, houston_cpi_food_scalar at 1.045, and USDA baseline tiers) to prevent zero-variance columns from artificially weighting distance calculations.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Feature Engineering Architecture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To balance physical hazards against regulated infrastructure pricing, 20 numerical and encoded features were engineered for the clustering engine: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Category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Feature Name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 Type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Transformation Applied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Domain Logic &amp; Source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Flood &amp; Spatial Hazards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pct_area_100yr_flood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StandardScaler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Area percentage within 100-year AE floodplain.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Flood &amp; Spatial Hazards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pct_area_coastal_surge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float64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StandardScaler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Area percentage within high-velocity VE coastal surge zone.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Flood &amp; Spatial Hazards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est_flood_risk_tier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OneHotEncoder (3 cols)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Categorical tier (VE: Coastal, AE: Floodplain, X: Minimal).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Insurance History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nfip_total_claims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float64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StandardScaler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Historical flood claim frequency per ZIP code.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Insurance History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nfip_avg_building_claim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StandardScaler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Mean historical structural damage claim payout ($/claim).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Insurance History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nfip_avg_contents_claim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float64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StandardScaler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Mean personal property contents claim payout ($/claim).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Utility Delivery Tariffs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elec_base_monthly_fee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StandardScaler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Fixed electric customer connection fee ($4.39 vs $7.85).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Utility Delivery Tariffs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elec_delivery_rate_per_kwh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float64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StandardScaler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Regulated electric volumetric delivery tariff ($/kWh).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Utility Delivery Tariffs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elec_provider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OneHotEncoder (2 cols)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Utility territory (CenterPoint vs. TNMP).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Utility Delivery Tariffs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gas_distribution_rate_per_ccf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float64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StandardScaler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Natural gas distribution tariff ($0.0912 vs $0.0985/Ccf).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Municipal Water &amp; MUDs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water_base_monthly_fee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float64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StandardScaler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Fixed water base charge ($16.80 City vs $28.50 MUD).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Municipal Water &amp; MUDs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water_rate_per_1k_gal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float64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StandardScaler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Volumetric rate per 1,000 gallons ($6.45 City vs $8.50 MUD).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Municipal Water &amp; MUDs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water_service_type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OneHotEncoder (2 cols)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Municipal_CityOfHouston vs. Suburban_MUD.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Statutory Indicators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water_mud_flag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int64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Passthrough (Binary)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 if inside a Municipal Utility District; 0 if Municipal.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Statutory Indicators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twia_mandatory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int64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Passthrough (Binary)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if in TWIA catastrophe zone (Galveston &amp; Coastal Harris).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Data Transformation Pipeline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Because unsupervised K-Means clustering depends directly on Euclidean distance calculations, large unscaled numerical ranges (such as flood percentages from 0 to 100% versus electric tariffs from $0.0381 to $7.85) would disproportionately distort cluster boundaries. A Scikit-Learn ColumnTransformer pipeline was implemented to scale continuous variables and encode categorical attributes: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88.0000114440918" w:lineRule="auto"/>
        <w:ind w:left="180" w:right="180" w:firstLine="0"/>
        <w:rPr>
          <w:rFonts w:ascii="Courier" w:cs="Courier" w:eastAsia="Courier" w:hAnsi="Courier"/>
          <w:sz w:val="18"/>
          <w:szCs w:val="18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1f5f9" w:val="clear"/>
          <w:rtl w:val="0"/>
        </w:rPr>
        <w:t xml:space="preserve">preprocessor = ColumnTransformer(</w:t>
        <w:br w:type="textWrapping"/>
        <w:t xml:space="preserve">    transformers=[</w:t>
        <w:br w:type="textWrapping"/>
        <w:t xml:space="preserve">        ('num', StandardScaler(), numeric_cols),</w:t>
        <w:br w:type="textWrapping"/>
        <w:t xml:space="preserve">        ('cat', OneHotEncoder(handle_unknown='ignore', sparse_output=False), categorical_cols),</w:t>
        <w:br w:type="textWrapping"/>
        <w:t xml:space="preserve">        ('pass', 'passthrough', passthrough_binary_cols)</w:t>
        <w:br w:type="textWrapping"/>
        <w:t xml:space="preserve">    ],</w:t>
        <w:br w:type="textWrapping"/>
        <w:t xml:space="preserve">    remainder='drop'  # Explicitly eliminates text strings and static baseline constants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The pipeline exported features_scaled_for_clustering.parquet, containing 279 rows, 1 primary key string (zip_code), and 20 float64 mathematical dimensions.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Train / Validation Splitting Strategy &amp; Cluster Optimization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A standard 70/15/15 train/test split was adapted for this capstone to align with the hybrid architecture. Because the goal is to partition the entire contiguous metropolitan area of 279 ZIP codes into macro-archetypes rather than predicting a synthetic supervised total, the entire scaled feature matrix was evaluated using internal validation metrics: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Elbow Method (Inertia / WCSS):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Quantified intra-cluster compactness across cluster counts k = 2 through k = 6.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Silhouette Analysis: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Evaluated cluster cohesion and separation distance (higher values represent superior separation).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Davies-Bouldin Index: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Measured the similarity between each cluster and its most similar counterpart (lower values indicate cleaner partitioning).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Number of Clusters (k)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Silhouette Score (Higher is Better)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Davies-Bouldin Index (Lower is Better)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Inertia (WCSS)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Model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 =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0.5954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0.9781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1858.94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Underfit; broad county-level split lacking infrastructure nuance.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 = 3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0.6375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0.8112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1208.77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Moderate; captures basic MUD vs. City boundary but misses flood tiers.</w:t>
            </w:r>
          </w:p>
        </w:tc>
      </w:tr>
      <w:tr>
        <w:trPr>
          <w:cantSplit w:val="0"/>
          <w:tblHeader w:val="0"/>
        </w:trPr>
        <w:tc>
          <w:tcPr>
            <w:shd w:fill="ecfd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k = 4</w:t>
            </w:r>
          </w:p>
        </w:tc>
        <w:tc>
          <w:tcPr>
            <w:shd w:fill="ecfd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0.6670</w:t>
            </w:r>
          </w:p>
        </w:tc>
        <w:tc>
          <w:tcPr>
            <w:shd w:fill="ecfd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0.6986</w:t>
            </w:r>
          </w:p>
        </w:tc>
        <w:tc>
          <w:tcPr>
            <w:shd w:fill="ecfd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911.58</w:t>
            </w:r>
          </w:p>
        </w:tc>
        <w:tc>
          <w:tcPr>
            <w:shd w:fill="ecfd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OPTIMAL DELIVERABLE: High separation; balanced, robust cluster sizes.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 =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0.6698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0.5679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634.73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Mathematical peak, but suffered from cluster degeneracy (singleton n=1).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k = 6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0.5310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0.7365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516.18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Overfit; sharp drop in silhouette score indicating fragmented clusters.</w:t>
            </w:r>
          </w:p>
        </w:tc>
      </w:tr>
    </w:tbl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Technical Challenges, Errors &amp; Resolution Log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Throughout Week 5 execution, four major technical challenges were encountered and successfully resolved: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Challenge 1: Google Drive Path Mismatch and Virtual Filesystem Cache Lag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Issue: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Execution in Colab threw FileNotFoundError: [Errno 2] No such file or directory when loading the master dataset, despite files being visible in Google Drive.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Two compounding factors: (1) A minor naming discrepancy in the root folder containing a hyphen (AI Resource Capstone - 2277 vs AI Resource Capstone 2277), and (2) Google Colab's background virtual drive cache failing to index files moved in the web UI without a forced remount.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Executed an explicit Drive search routine, locked in the verified hyphenated directory string, and passed force_remount=True to synchronize the filesystem.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Challenge 2: Scikit-Learn Vectorization Crash (String Blocker)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Issue: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The pipeline passed remainder__gas_provider ('CenterPoint') through to the clustering matrix, which would trigger ValueError: could not convert string to float during distance computations.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The ColumnTransformer previously utilized remainder='passthrough' without explicitly dropping non-encoded string columns.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Redesigned the preprocessing pipeline to explicitly select numeric and one-hot encoded columns while specifying remainder='drop', ensuring 100% float64 type conformity.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Challenge 3: Zero-Variance Feature Distortions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Issue: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Columns including gas_base_monthly_fee ($18.50), houston_cpi_food_scalar (1.045), and the USDA baseline food tiers held constant values across all 279 rows.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Inclusion of static constants adds zero variance to distance computations and unnecessarily increases dimensionality.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Filtered out static cost metrics from the clustering feature set while retaining them in the master dataset for downstream deterministic cost evaluation in the Streamlit web engine.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Challenge 4: Cluster Degeneracy &amp; Singleton Anomaly Identification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Issue: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While k = 5 achieved the highest raw mathematical Silhouette Score (0.6698), empirical inspection of cluster counts revealed: Cluster 0: 193, Cluster 1: 1, Cluster 2: 13, Cluster 3: 58, and Cluster 4: 14.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Cluster 1 isolated a single ZIP code (72225, an administrative Houston PO Box / Medical Center zone). Presenting an archetype with $n=1$ in a project defense represents an overfit anomaly rather than an actionable macro-cluster.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Solution: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Selected k = 4 as the production configuration. As verified by the metrics, k = 4 maintains a strong Silhouette Score of 0.6670 while producing well-distributed, defensible groups (193, 59, 14, and 13 ZIPs) without singletons.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7. Final Cluster Archetypes &amp; Deliverables ($k = 4$)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The 279 ZIP codes were partitioned into four distinct regional archetypes and exported to master_living_costs_clustered.parquet and master_living_costs_clustered.csv: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Cluster ID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Archetype Designation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ZIP Count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Infrastructure &amp; Tariff Profile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Environmental &amp; Hazard Risk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Cluster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Urban Core / Municipal Stable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 ZIPs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City of Houston Water ($16.80 base, $6.45/1k gal), CenterPoint Electric ($4.39 base, $0.0381/kWh).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 flood exposure (1.73% 100-yr flood, 0.0% surge). Zero TWIA mandatory insurance requirements.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Cluster 1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Galveston Mainland / Coastal Utility Corridor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14 ZIPs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TNMP Electric Service Territory ($7.85 base fee, $0.0462/kWh delivery), MUD water governance.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Mandatory TWIA windstorm catastrophe coverage (1.0). Moderate inland drainage (5.00% 100-yr flood).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Cluster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Suburban MUD Growth Corridor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 ZIPs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Suburban MUD water districts ($28.50 base, $8.50/1k gal), CenterPoint Electric ($4.39 base).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Inland suburban drainage (4.08% 100-yr flood, 0.0% surge). Zero TWIA mandatory requirements.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Cluster 3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High-Hazard Coastal Surge &amp; Floodplain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13 ZIPs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High blended utility delivery rates, mixed MUD/municipal service territories.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Critical coastal surge exposure (18.5% surge coverage, 42.0% 100-yr floodplain). 100% mandatory TWIA coverage.</w:t>
            </w:r>
          </w:p>
        </w:tc>
      </w:tr>
    </w:tbl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8. Class Activities &amp; Weekly Progress Log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Team Working Sessions: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Executed end-to-end integration across all intermediate data sections, standardizing primary key joins across 279 ZIP codes. Aligned project architecture with documentation in Google Docs.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Technical Problem-Solving: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Overcame Google Colab cache inconsistencies, eliminated data type crashes by sanitizing raw string columns, and diagnosed cluster degeneracy to justify k = 4 over k = 5.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Peer Assistance: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Demonstrated how to utilize Scikit-Learn ColumnTransformer objects to handle heterogeneous continuous, categorical, and binary data without leakage. Advised peers on chunking large multi-gigabyte datasets (such as NFIP claims) to bypass memory overflow crashes.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