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Week 6 Technical Documentation: Exploratory Data Analysis &amp; Baseline Benchmarks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Executive Summary &amp; Week 6 Objectives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This document details the completion of Week 6 milestones for the Non-Mortgage Living Expense Estimation Engine covering Harris, Fort Bend, and Galveston counties (279 canonical ZIP codes) [cite: 1, 12]. Building upon the verified, unscaled master feature store and the optimal 4-cluster archetype partition established in Week 5 [cite: 9, 11], Week 6 focused on rigorous exploratory data analysis (EDA), pattern discovery, visualization design, and establishing an empirical baseline model to evaluate the necessity of granular spatial-tariff modeling [cite: 12].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The key deliverables achieved during this phase include: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Statistical Analysis &amp; Descriptive Profiling: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Evaluated distribution metrics across all 20 numeric and engineered features, identifying extreme skewness and multi-modal tariff distributions [cite: 11, 12].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Pattern Identification &amp; Domain Insights: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Discovered two major structural cost cliffs—the suburban MUD water utility penalty and the mandatory coastal windstorm (TWIA) surcharge [cite: 12].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Visualization Suite &amp; Dimensionality Reduction: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Developed a four-panel diagnostic dashboard incorporating correlation heatmaps, hazard boxplots, governance bar charts, and a 2D Principal Component Analysis (PCA) projection proving cluster cohesion [cite: 12].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Baseline Model Creation &amp; Error Quantification: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Formulated a Naive Regional Baseline Model ($1,684.90/month) and compared it against the Granular Engine, proving that regional averages produce up to $206.86/month ($2,482.32/year) in estimation error [cite: 12].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Data Milestone Deliverables &amp; Presentation Outline: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Synthesized findings into slide-ready executive briefs for team presentations and peer feedback sessions [cite: 12].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Macro Statistical Analysis (N = 279 ZIP Codes)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Descriptive statistics were computed across the continuous and engineered cost/hazard metrics in master_living_costs_clustered.parquet [cite: 10, 12]: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Metric Variable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Mean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Std Dev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Min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Median (50%)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Max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Analytical Significance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pct_area_100yr_flood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4.27%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9.32%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42.00%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Heavily right-skewed; inland creek drainages exhibit localized floodplain spikes [cite: 1, 12].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pct_area_coastal_surge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0.86%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3.91%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0.00%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0.00%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18.50%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Zero across 95% of inland ZIPs, but surges up to 18.5% along Galveston Island and bayfronts [cite: 12].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nfip_total_claims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847.63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1,409.73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286.00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8,374.00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Extreme dispersion; historical claims reach over 8,000 in major bayou corridors [cite: 1, 12].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elec_base_monthly_fee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$4.69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$0.97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$4.39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$4.39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$7.85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Bimodal; CenterPoint territory ($4.39) vs. TNMP Galveston territory ($7.85) [cite: 1, 12].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elec_delivery_rate_per_kwh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$0.0388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$0.0023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$0.0381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$0.0381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$0.0462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TNMP delivery carries an 21.2% rate premium over CenterPoint delivery [cite: 1, 12].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water_base_monthly_fee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$20.24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$5.34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$16.80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$16.80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$28.50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Reflects municipal City of Houston water ($16.80) vs. suburban MUD base charges ($28.50) [cite: 1, 12].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water_rate_per_1k_gal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$7.05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$0.94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$6.45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$6.45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$8.50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Suburban MUD volumetric surcharge ($8.50/1k gal) exceeds City municipal rate ($6.45/1k gal) [cite: 1, 12].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gas_distribution_rate_per_ccf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$0.0933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$0.0033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$0.0912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$0.0912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$0.0985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Incorporated municipal ($0.0912) vs. unincorporated county MUD rate ($0.0985) [cite: 1, 12].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adj_monthly_food_cost_moderate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$1,535.00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$1,535.00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$1,535.00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$1,535.00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Static regional anchor benchmark for reference Family of 4 ($1,468.90 x 1.045 CPI scalar) [cite: 1, 12].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Cluster Archetype Comparison &amp; Pattern Identification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Evaluating the unscaled real-world feature means across the four validated clusters revealed distinct structural patterns [cite: 12]:</w:t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Cluster ID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Cluster Archetype Title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ZIP Count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Avg 100-Yr Flood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Avg Coastal Surge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Avg NFIP Claims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MUD Prevalence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TWIA Prevalence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Avg Water Base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Avg Elec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Cluster 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Urban Core / Municipal Stable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1.73%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662.99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$16.80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$0.0381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Cluster 1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Galveston Mainland / Coastal Utility Corridor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5.00%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0.00%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1,434.14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1.00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1.00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$28.50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$0.0462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Cluster 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Suburban MUD Growth Corridor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4.08%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618.68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0.98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$28.30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$0.0381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Cluster 3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High-Hazard Coastal Surge &amp; Floodplain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13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42.00%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18.50%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3,996.23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0.77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1.00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$25.80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$0.0443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Core Pattern 1: The Coastal Windstorm &amp; Utility Cost Cliff (Clusters 1 &amp; 3)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Galveston County mainland and coastal bayfront communities exhibit 100% mandatory compliance with the Texas Windstorm Insurance Association (TWIA) catastrophe reserve requirement [cite: 1, 12]. Furthermore, Cluster 1 is serviced exclusively by Texas-New Mexico Power (TNMP), which levies higher fixed customer connection charges ($7.85 vs. $4.39) and higher volumetric delivery tariffs ($0.0462 vs. $0.0381 per kWh) [cite: 1, 12]. When combined with the statutory $175.00/month insurance reserve, coastal residents experience an immediate non-mortgage cost cliff of over $200.00/month relative to inland urban counterparts [cite: 12].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Core Pattern 2: The Suburban MUD Water Infrastructure Penalty (Cluster 2 vs. Cluster 0)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Suburban enclaves across Fort Bend County and unincorporated Harris County (Cypress, Katy, Spring, Pearland) operate almost universally under Municipal Utility District governance (98.3% MUD prevalence) [cite: 1, 12]. While electric delivery rates remain standard (CenterPoint), water base charges jump by 68.5% ($16.80 to $28.30/month) and volumetric rates increase from $6.45 to $8.50 per 1,000 gallons [cite: 1, 12]. Over a 12-month period, a reference four-person household consumes approximately 81,600 gallons of water/sewer, resulting in an annual utility surcharge penalty of $300 to $450 that broad county-level averages fail to identify [cite: 1, 11].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Core Pattern 3: Catastrophic Claim Concentration in Surge Corridors (Cluster 3)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Cluster 3 isolates the region's most vulnerable coastal wave action and inland river drainages [cite: 1, 12]. ZIP codes in this cluster average 3,996 historical flood claims—nearly six times the regional average [cite: 12]. These areas exhibit an average 100-year floodplain area coverage of 42.0% and coastal surge coverage of 18.5%, verifying that flood risk in Greater Houston is spatially concentrated in a small minority of severe exposure corridors [cite: 12].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Visualization Suite &amp; Dimensionality Reduction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The diagnostic analysis in 03_exploratory_data_analysis.ipynb generated four primary visualizations to validate feature distributions and cluster boundaries [cite: 12]: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Chart A: Feature Correlation Heatmap: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Demonstrated strong positive collinearity between pct_area_coastal_surge, pct_area_100yr_flood, and twia_mandatory ($r &gt; 0.65$), validating that physical flood hazard metrics align with statutory insurance boundaries [cite: 12].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Chart B: Spatial Hazard Exposure Boxplot: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Illustrated the stark divergence between coastal surge risk (confined strictly to Cluster 3) and 100-year floodplain risks (distributed with varying density across Clusters 1, 2, and 3) [cite: 12].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Chart C: Water Base Fee Disparity Bar Chart: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Highlighted the jurisdictional fee gap between City of Houston municipal billing and suburban MUDs across Harris and Fort Bend counties [cite: 1, 12].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Chart D: 2D PCA Cluster Projection: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Reduced the multi-dimensional feature space to two principal components, accounting for the primary variance across infrastructure pricing and catastrophe exposure [cite: 12]. The scatter plot confirmed distinct, non-overlapping cluster boundaries with zero cluster collision, visually validating the K-Means $k=4$ partitioning [cite: 12].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Baseline Model Architecture &amp; Comparative Evaluation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To prove the analytical necessity of this capstone engine, a Naive Regional Baseline Model was established and benchmarked against the Granular Engine for a standardized reference Family of 4 [cite: 1, 12]: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Mathematical Formulation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88.0000114440918" w:lineRule="auto"/>
        <w:ind w:left="180" w:right="180" w:firstLine="0"/>
        <w:rPr>
          <w:rFonts w:ascii="Courier" w:cs="Courier" w:eastAsia="Courier" w:hAnsi="Courier"/>
          <w:sz w:val="18"/>
          <w:szCs w:val="18"/>
          <w:shd w:fill="f1f5f9" w:val="clear"/>
        </w:rPr>
      </w:pPr>
      <w:r w:rsidDel="00000000" w:rsidR="00000000" w:rsidRPr="00000000">
        <w:rPr>
          <w:rFonts w:ascii="Courier" w:cs="Courier" w:eastAsia="Courier" w:hAnsi="Courier"/>
          <w:sz w:val="18"/>
          <w:szCs w:val="18"/>
          <w:shd w:fill="f1f5f9" w:val="clear"/>
          <w:rtl w:val="0"/>
        </w:rPr>
        <w:t xml:space="preserve">1. Naive Regional Baseline (Uniform Metro-Area Averages):</w:t>
        <w:br w:type="textWrapping"/>
        <w:t xml:space="preserve">   Baseline Cost = $1,535.00 (Food) + ($4.69 + 1,400 kWh * $0.0388/kWh) </w:t>
        <w:br w:type="textWrapping"/>
        <w:t xml:space="preserve">                   + ($20.24 + 6.8 * $7.05/1k gal) + ($18.50 + 45 Ccf * $0.0933/Ccf) + $0.00 (TWIA)</w:t>
        <w:br w:type="textWrapping"/>
        <w:t xml:space="preserve">   Baseline Cost = $1,684.90 / month</w:t>
        <w:br w:type="textWrapping"/>
        <w:br w:type="textWrapping"/>
        <w:t xml:space="preserve">2. Granular Clustered Engine (Localized Rates &amp; Statutory Surcharges):</w:t>
        <w:br w:type="textWrapping"/>
        <w:t xml:space="preserve">   Granular Cost = Local Food + (Local Elec Base + 1,400 * Local Elec Rate) </w:t>
        <w:br w:type="textWrapping"/>
        <w:t xml:space="preserve">                   + (Local Water Base + 6.8 * Local Water Rate) + Local Gas + Statutory TWIA Surcharge</w:t>
        <w:br w:type="textWrapping"/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  <w:sz w:val="18"/>
          <w:szCs w:val="18"/>
          <w:shd w:fill="f1f5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rtl w:val="0"/>
        </w:rPr>
        <w:t xml:space="preserve">Comparative Estimation Error Breakdown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Cluster Archetype Designation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Mean Granular Living Cost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Naive Baseline Cost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Mean Absolute Estimation Error</w:t>
            </w:r>
          </w:p>
        </w:tc>
        <w:tc>
          <w:tcPr>
            <w:shd w:fill="e2e8f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Practical Economic Consequence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Galveston Mainland / Coastal Utility Corridor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$1,891.76 / mo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$1,684.90 / mo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$206.86 / month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Severe underestimation ($2,482.32/yr) due to missing TNMP delivery rates and TWIA mandates [cite: 1, 12].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High-Hazard Coastal Surge &amp; Floodplain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$1,882.35 / mo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$1,684.90 / mo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$197.45 / month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Dangerous underestimation of recurring coastal sinking funds and blended tariffs [cite: 12].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Suburban MUD Growth Corridor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$1,701.82 / mo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$1,684.90 / mo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$16.92 / month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Consistent underestimation of suburban water/sewer MUD operational fees [cite: 1, 12].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Urban Core / Municipal Stable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$1,675.99 / mo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$1,684.90 / mo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$8.91 / month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Overestimates urban core costs by artificially applying regional MUD and coastal averages [cite: 12].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Key Capstone Defense Justification: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The baseline model demonstrates an average regional estimation bias of $29.32/month, with a maximum monthly error of $206.86/month ($2,482.32/year) [cite: 12]. Using general county or metropolitan averages creates dangerous under-saving for coastal homebuyers and artificially inflates cost-of-living estimates for urban core residents [cite: 12]. This empirically proves that granular spatial-tariff feature stores are required for accurate household expense estimation [cite: 1, 12].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Technical Troubleshooting &amp; Problem-Solving Log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Issue 1: Execution in Isolated Modeling Environment: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Transitioning from data preprocessing to exploratory analysis required loading Parquet files independently of previous Colab runtimes [cite: 5, 12].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a202c"/>
          <w:rtl w:val="0"/>
        </w:rPr>
        <w:t xml:space="preserve">Resolution: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Standardized on master_living_costs_clustered.parquet in Google Drive, enforcing explicit string casting on primary keys (str.zfill(5)) during data ingestion [cite: 10, 12].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Issue 2: Multicollinearity &amp; Feature Scaling for PCA: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Continuous metrics exhibited vastly different ranges (claims from 0 to 8,374 vs. electric rates from $0.0381 to $0.0462), which initially distorted PCA component weights [cite: 12].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a202c"/>
          <w:rtl w:val="0"/>
        </w:rPr>
        <w:t xml:space="preserve">Resolution: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Implemented StandardScaler transformation strictly on numeric features prior to fitting PCA, ensuring balanced dimensional variance [cite: 12].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Issue 3: Singleton Cluster Diagnosis: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In initial model testing, $k=5$ isolated ZIP 77225 into an unusable singleton cluster ($n=1$) [cite: 8, 9].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a202c"/>
          <w:rtl w:val="0"/>
        </w:rPr>
        <w:t xml:space="preserve">Resolution: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Re-benchmarked and deployed $k=4$, producing robust, balanced clusters (193, 59, 14, and 13 ZIPs) that generalized smoothly in exploratory visualizations [cite: 9, 12].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7. Class Presentation Outline &amp; Peer Feedback Deliverables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202c"/>
        </w:rPr>
      </w:pP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The following slide structure has been prepared for the Week 6 class presentation [cite: 12]: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Slide 1: Problem Statement &amp; Regional Scope: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Mapping hidden non-mortgage living expenses across 279 ZIP codes in Harris, Fort Bend, and Galveston counties [cite: 1, 11]. Highlight the failure of broad regional CPI metrics to capture hyper-local utility rate schedules and insurance zones [cite: 1, 11].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Slide 2: Data Pipeline &amp; Preprocessing: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Outline the integration of 9 multi-agency data sources into a 30-feature master store, transformed using Scikit-Learn's ColumnTransformer [cite: 10, 11].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Slide 3: Clustering Architecture ($k=4$):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Present the Silhouette Analysis (0.6670) and justify the selection of $k=4$ over $k=5$ by explaining the elimination of the $n=1$ singleton outlier [cite: 6, 9].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Slide 4: Key Exploratory Insights: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Showcase the correlation heatmap, hazard boxplots, and 2D PCA projection [cite: 12]. Detail the suburban MUD water surcharge and the $200/month coastal windstorm cliff [cite: 1, 12].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a202c"/>
          <w:rtl w:val="0"/>
        </w:rPr>
        <w:t xml:space="preserve">Slide 5: Baseline vs. Granular Engine:</w:t>
      </w:r>
      <w:r w:rsidDel="00000000" w:rsidR="00000000" w:rsidRPr="00000000">
        <w:rPr>
          <w:rFonts w:ascii="Arial" w:cs="Arial" w:eastAsia="Arial" w:hAnsi="Arial"/>
          <w:color w:val="1a202c"/>
          <w:rtl w:val="0"/>
        </w:rPr>
        <w:t xml:space="preserve"> Highlight the baseline model error matrix showing up to $2,482/year in miscalculated expenses, demonstrating the practical value of the capstone platform [cite: 12].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