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Vacunación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CU0</w:t>
      </w:r>
      <w:r w:rsidDel="00000000" w:rsidR="00000000" w:rsidRPr="00000000">
        <w:rPr>
          <w:b w:val="1"/>
          <w:sz w:val="44"/>
          <w:szCs w:val="4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44"/>
          <w:szCs w:val="44"/>
          <w:rtl w:val="0"/>
        </w:rPr>
        <w:t xml:space="preserve">Identificar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81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Alberto Miranda  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Anderson Leandro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15"/>
            </w:tabs>
            <w:spacing w:after="120" w:before="60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ÍNDICE</w:t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5"/>
        </w:tabs>
        <w:spacing w:after="120" w:before="60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77ncul4546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_heading=h.r77ncul45461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2b9nz8ae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_heading=h.x2b9nz8aev5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n3bm14jil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_heading=h.bn3bm14jilrv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Definiciones, siglas y abreviaciones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9zfl8fqvaq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_heading=h.f9zfl8fqvaq1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eg5wv5caa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_heading=h.weg5wv5caa9a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67aab5gsvs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_heading=h.s67aab5gsvsk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rmh5rm7fg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_heading=h.jrmh5rm7fg05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1whz8a84bx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_heading=h.o1whz8a84bx0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7u91qclbz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_heading=h.l7u91qclbzyv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gsrdyk6ne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_heading=h.agsrdyk6neuc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9r9yl9v1b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_heading=h.o9r9yl9v1bxh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0skbt3fo3j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_heading=h.h0skbt3fo3j2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cfks9gyim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_heading=h.scfks9gyimyi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npp0sgkj1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_heading=h.cnpp0sgkj1xg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5cfkhynsni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_heading=h.95cfkhynsnia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2"/>
        <w:keepNext w:val="1"/>
        <w:spacing w:after="360" w:before="360" w:lineRule="auto"/>
        <w:jc w:val="center"/>
        <w:rPr/>
      </w:pPr>
      <w:bookmarkStart w:colFirst="0" w:colLast="0" w:name="_heading=h.u95epirl2vw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0"/>
          <w:numId w:val="8"/>
        </w:numPr>
        <w:spacing w:after="0" w:before="360" w:lineRule="auto"/>
        <w:ind w:left="1578" w:hanging="360"/>
        <w:jc w:val="center"/>
        <w:rPr>
          <w:vertAlign w:val="baseline"/>
        </w:rPr>
      </w:pPr>
      <w:bookmarkStart w:colFirst="0" w:colLast="0" w:name="_heading=h.r77ncul45461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4"/>
        </w:numPr>
        <w:spacing w:after="240" w:before="240" w:lineRule="auto"/>
        <w:ind w:left="576" w:hanging="576"/>
        <w:rPr/>
      </w:pPr>
      <w:bookmarkStart w:colFirst="0" w:colLast="0" w:name="_heading=h.x2b9nz8aev5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otorgar la información necesaria para el entendimiento del caso de uso Identificar usuario. El cual, tiene como objetivo identificar a la persona que usa la aplicación antes de que entre.</w:t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4"/>
        </w:numPr>
        <w:spacing w:after="240" w:before="240" w:lineRule="auto"/>
        <w:ind w:left="576" w:hanging="576"/>
        <w:rPr/>
      </w:pPr>
      <w:bookmarkStart w:colFirst="0" w:colLast="0" w:name="_heading=h.bn3bm14jilrv" w:id="6"/>
      <w:bookmarkEnd w:id="6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caso de uso Registrar usuario se efectuará mediante una página web. Estará disponible tanto para móviles como computadoras personales.</w:t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4"/>
        </w:numPr>
        <w:spacing w:after="240" w:before="240" w:lineRule="auto"/>
        <w:ind w:left="576" w:hanging="576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u w:val="none"/>
        </w:rPr>
      </w:pPr>
      <w:bookmarkStart w:colFirst="0" w:colLast="0" w:name="_heading=h.bcsie3dyi2qb" w:id="8"/>
      <w:bookmarkEnd w:id="8"/>
      <w:r w:rsidDel="00000000" w:rsidR="00000000" w:rsidRPr="00000000">
        <w:rPr>
          <w:rtl w:val="0"/>
        </w:rPr>
        <w:t xml:space="preserve">SVC19: Sistema de vacunación Covid19.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38857jpsatdn" w:id="9"/>
      <w:bookmarkEnd w:id="9"/>
      <w:r w:rsidDel="00000000" w:rsidR="00000000" w:rsidRPr="00000000">
        <w:rPr>
          <w:rtl w:val="0"/>
        </w:rPr>
        <w:t xml:space="preserve">CU: Caso de uso.</w:t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qmvo6b44btk3" w:id="10"/>
      <w:bookmarkEnd w:id="10"/>
      <w:r w:rsidDel="00000000" w:rsidR="00000000" w:rsidRPr="00000000">
        <w:rPr>
          <w:rtl w:val="0"/>
        </w:rPr>
        <w:t xml:space="preserve">RENIEC: Registro Nacional de Identidad y Estado Civil.</w:t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lbdqj2rhg5po" w:id="11"/>
      <w:bookmarkEnd w:id="11"/>
      <w:r w:rsidDel="00000000" w:rsidR="00000000" w:rsidRPr="00000000">
        <w:rPr>
          <w:rtl w:val="0"/>
        </w:rPr>
        <w:t xml:space="preserve">DNI: Documento Nacional de Identidad.</w:t>
      </w:r>
    </w:p>
    <w:p w:rsidR="00000000" w:rsidDel="00000000" w:rsidP="00000000" w:rsidRDefault="00000000" w:rsidRPr="00000000" w14:paraId="00000057">
      <w:pPr>
        <w:pStyle w:val="Heading3"/>
        <w:numPr>
          <w:ilvl w:val="1"/>
          <w:numId w:val="4"/>
        </w:numPr>
        <w:spacing w:after="240" w:before="240" w:lineRule="auto"/>
        <w:ind w:left="576" w:hanging="576"/>
        <w:rPr/>
      </w:pPr>
      <w:bookmarkStart w:colFirst="0" w:colLast="0" w:name="_heading=h.f9zfl8fqvaq1" w:id="12"/>
      <w:bookmarkEnd w:id="12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  <w:t xml:space="preserve">No existen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1"/>
          <w:numId w:val="4"/>
        </w:numPr>
        <w:spacing w:after="240" w:before="240" w:lineRule="auto"/>
        <w:ind w:left="576" w:hanging="576"/>
        <w:rPr/>
      </w:pPr>
      <w:bookmarkStart w:colFirst="0" w:colLast="0" w:name="_heading=h.weg5wv5caa9a" w:id="13"/>
      <w:bookmarkEnd w:id="13"/>
      <w:r w:rsidDel="00000000" w:rsidR="00000000" w:rsidRPr="00000000">
        <w:rPr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Después de que el usuario escriba los datos necesarios para verificar su identidad. El sistema se encargará de corroborar esos datos y permitir o evitar la entrada a la aplicación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0"/>
          <w:numId w:val="8"/>
        </w:numPr>
        <w:spacing w:after="360" w:before="360" w:lineRule="auto"/>
        <w:ind w:left="1578" w:hanging="36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2s8eyo1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s67aab5gsvsk" w:id="16"/>
      <w:bookmarkEnd w:id="16"/>
      <w:r w:rsidDel="00000000" w:rsidR="00000000" w:rsidRPr="00000000">
        <w:rPr>
          <w:vertAlign w:val="baseline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3746637" cy="3149223"/>
            <wp:effectExtent b="25400" l="25400" r="25400" t="2540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637" cy="31492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Prototipo del Caso de uso: CU0</w:t>
      </w:r>
      <w:r w:rsidDel="00000000" w:rsidR="00000000" w:rsidRPr="00000000">
        <w:rPr>
          <w:b w:val="1"/>
          <w:sz w:val="18"/>
          <w:szCs w:val="18"/>
          <w:rtl w:val="0"/>
        </w:rPr>
        <w:t xml:space="preserve">1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 Identificación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jrmh5rm7fg05" w:id="17"/>
      <w:bookmarkEnd w:id="17"/>
      <w:r w:rsidDel="00000000" w:rsidR="00000000" w:rsidRPr="00000000">
        <w:rPr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bookmarkStart w:colFirst="0" w:colLast="0" w:name="_heading=h.3rdcrjn" w:id="18"/>
      <w:bookmarkEnd w:id="18"/>
      <w:r w:rsidDel="00000000" w:rsidR="00000000" w:rsidRPr="00000000">
        <w:rPr>
          <w:vertAlign w:val="baseline"/>
          <w:rtl w:val="0"/>
        </w:rPr>
        <w:t xml:space="preserve">Esta funcionalidad permitirá que </w:t>
      </w:r>
      <w:r w:rsidDel="00000000" w:rsidR="00000000" w:rsidRPr="00000000">
        <w:rPr>
          <w:rtl w:val="0"/>
        </w:rPr>
        <w:t xml:space="preserve">una persona con DNI se identifique en la aplicación web para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usar todas las funcionalidades de la misma.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o1whz8a84bx0" w:id="19"/>
      <w:bookmarkEnd w:id="19"/>
      <w:r w:rsidDel="00000000" w:rsidR="00000000" w:rsidRPr="00000000">
        <w:rPr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Persona no registrada: Con este nombre se ha generalizado a cualquier persona que aún no se haya identificado dentro de la aplicación.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VC19</w:t>
      </w:r>
      <w:r w:rsidDel="00000000" w:rsidR="00000000" w:rsidRPr="00000000">
        <w:rPr>
          <w:vertAlign w:val="baseline"/>
          <w:rtl w:val="0"/>
        </w:rPr>
        <w:t xml:space="preserve">: Sistema de </w:t>
      </w:r>
      <w:r w:rsidDel="00000000" w:rsidR="00000000" w:rsidRPr="00000000">
        <w:rPr>
          <w:rtl w:val="0"/>
        </w:rPr>
        <w:t xml:space="preserve">Vacunación Covid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l7u91qclbzyv" w:id="20"/>
      <w:bookmarkEnd w:id="20"/>
      <w:r w:rsidDel="00000000" w:rsidR="00000000" w:rsidRPr="00000000">
        <w:rPr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  <w:t xml:space="preserve">La persona está registrada en la RENIEC.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agsrdyk6neuc" w:id="21"/>
      <w:bookmarkEnd w:id="21"/>
      <w:r w:rsidDel="00000000" w:rsidR="00000000" w:rsidRPr="00000000">
        <w:rPr>
          <w:vertAlign w:val="baseline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  <w:t xml:space="preserve">La persona confirma su identidad en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o9r9yl9v1bxh" w:id="23"/>
      <w:bookmarkEnd w:id="23"/>
      <w:r w:rsidDel="00000000" w:rsidR="00000000" w:rsidRPr="00000000">
        <w:rPr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 la opción: “Registrate”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pantalla: “Verificar identidad”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DNI y su fecha de emisión de DNI.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comprueba estos datos con la base de datos.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página “Inicio”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h0skbt3fo3j2" w:id="24"/>
      <w:bookmarkEnd w:id="24"/>
      <w:r w:rsidDel="00000000" w:rsidR="00000000" w:rsidRPr="00000000">
        <w:rPr>
          <w:vertAlign w:val="baseline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 la opción: “Registrate”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pantalla: “Verificar identidad”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DNI y su fecha de emisión de DNI.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comprueba estos datos con la base de datos.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detecta datos erróneos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pantalla: “Error de identificación”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 redirige al usuario a la página “Inicio”</w:t>
      </w:r>
    </w:p>
    <w:p w:rsidR="00000000" w:rsidDel="00000000" w:rsidP="00000000" w:rsidRDefault="00000000" w:rsidRPr="00000000" w14:paraId="00000079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scfks9gyimyi" w:id="25"/>
      <w:bookmarkEnd w:id="25"/>
      <w:r w:rsidDel="00000000" w:rsidR="00000000" w:rsidRPr="00000000">
        <w:rPr>
          <w:vertAlign w:val="baseline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[EX1]: Validación de número de DNI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que el número de DNI se encuentra en el SVC19.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encuentra el número de DNI, el sistema evita que el usuario ingrese a la página de inicio.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[EX2]: Validación de fecha de emisión de DNI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que la fecha de emisión del DNI se encuentre en el SVC19 y sea del mismo DNI validado anteriormente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encuentra la fecha de emisión, o la encuentra pero no es la misma que el DNI validado, el sistema evita que el usuario ingrese a la página de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cnpp0sgkj1xg" w:id="26"/>
      <w:bookmarkEnd w:id="26"/>
      <w:r w:rsidDel="00000000" w:rsidR="00000000" w:rsidRPr="00000000">
        <w:rPr>
          <w:vertAlign w:val="baseline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ifc347ya5lpd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1"/>
        <w:numPr>
          <w:ilvl w:val="1"/>
          <w:numId w:val="8"/>
        </w:numPr>
        <w:spacing w:after="240" w:before="240" w:lineRule="auto"/>
        <w:ind w:left="426" w:hanging="568"/>
        <w:rPr/>
      </w:pPr>
      <w:bookmarkStart w:colFirst="0" w:colLast="0" w:name="_heading=h.95cfkhynsnia" w:id="28"/>
      <w:bookmarkEnd w:id="28"/>
      <w:r w:rsidDel="00000000" w:rsidR="00000000" w:rsidRPr="00000000">
        <w:rPr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86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Los envíos de información deben estar cifrados para evitar cualquier tipo de filtración de información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Fiabilidad</w:t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sistema posee una interfaz de diseño intuitiva y fácil de usar.</w:t>
      </w:r>
    </w:p>
    <w:p w:rsidR="00000000" w:rsidDel="00000000" w:rsidP="00000000" w:rsidRDefault="00000000" w:rsidRPr="00000000" w14:paraId="0000008A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las pantallas se encuentra distribuida toda la información necesaria para la </w:t>
      </w:r>
    </w:p>
    <w:p w:rsidR="00000000" w:rsidDel="00000000" w:rsidP="00000000" w:rsidRDefault="00000000" w:rsidRPr="00000000" w14:paraId="0000008B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8D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El sistema está activo los 7 días de la semana y las 24 horas del día. 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Si el sistema se cae por un ataque de DDOS o por un error en el sistema, este se levantará en un plazo máximo de 4 horas.</w:t>
      </w:r>
    </w:p>
    <w:p w:rsidR="00000000" w:rsidDel="00000000" w:rsidP="00000000" w:rsidRDefault="00000000" w:rsidRPr="00000000" w14:paraId="0000008F">
      <w:pPr>
        <w:spacing w:before="32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</w:t>
      </w:r>
    </w:p>
    <w:p w:rsidR="00000000" w:rsidDel="00000000" w:rsidP="00000000" w:rsidRDefault="00000000" w:rsidRPr="00000000" w14:paraId="00000090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caso de uso debe </w:t>
      </w:r>
      <w:r w:rsidDel="00000000" w:rsidR="00000000" w:rsidRPr="00000000">
        <w:rPr>
          <w:rtl w:val="0"/>
        </w:rPr>
        <w:t xml:space="preserve">ser encontrada y se puede acceder a ella a través de una computadora o un dispositivo móvil.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before="120" w:line="36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before="120"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1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1"/>
      <w:spacing w:after="120" w:before="120" w:line="240" w:lineRule="auto"/>
      <w:ind w:left="539" w:leftChars="-1" w:rightChars="0" w:hanging="53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3"/>
      </w:numPr>
      <w:suppressAutoHyphens w:val="1"/>
      <w:autoSpaceDE w:val="0"/>
      <w:autoSpaceDN w:val="0"/>
      <w:adjustRightInd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2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4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,Capitulo">
    <w:name w:val="Título,Capitulo"/>
    <w:basedOn w:val="Normal"/>
    <w:next w:val="Título1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n-US"/>
    </w:rPr>
  </w:style>
  <w:style w:type="paragraph" w:styleId="bizTitle">
    <w:name w:val="bizTitle"/>
    <w:basedOn w:val="Título,Capitulo"/>
    <w:next w:val="Título,Capitulo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bidi="ar-SA" w:eastAsia="es-ES" w:val="en-U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1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1"/>
    </w:pPr>
    <w:rPr>
      <w:rFonts w:ascii="Segoe UI Semilight" w:cs="Vrinda" w:eastAsia="Times New Roman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eastAsia="es-ES"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eastAsia="es-ES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before="0"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aG6V+q33fiJzJ6q0CvOWqBpnQ==">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2017-06-13T01:06:00Z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