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76E" w:rsidRDefault="00CC379C">
      <w:pPr>
        <w:jc w:val="center"/>
        <w:rPr>
          <w:b/>
          <w:sz w:val="28"/>
          <w:szCs w:val="28"/>
        </w:rPr>
      </w:pPr>
      <w:r>
        <w:rPr>
          <w:b/>
          <w:sz w:val="28"/>
          <w:szCs w:val="28"/>
        </w:rPr>
        <w:t>ECE 4011/ECE 4012 Project Summary</w:t>
      </w:r>
    </w:p>
    <w:p w:rsidR="003E276E" w:rsidRDefault="003E276E">
      <w:pPr>
        <w:rPr>
          <w:sz w:val="28"/>
          <w:szCs w:val="28"/>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3"/>
        <w:gridCol w:w="6767"/>
      </w:tblGrid>
      <w:tr w:rsidR="003E276E">
        <w:trPr>
          <w:trHeight w:val="560"/>
        </w:trPr>
        <w:tc>
          <w:tcPr>
            <w:tcW w:w="2583" w:type="dxa"/>
            <w:vAlign w:val="center"/>
          </w:tcPr>
          <w:p w:rsidR="003E276E" w:rsidRDefault="00CC379C">
            <w:pPr>
              <w:rPr>
                <w:b/>
              </w:rPr>
            </w:pPr>
            <w:r>
              <w:rPr>
                <w:b/>
              </w:rPr>
              <w:t>Project Title</w:t>
            </w:r>
          </w:p>
        </w:tc>
        <w:tc>
          <w:tcPr>
            <w:tcW w:w="6767" w:type="dxa"/>
            <w:tcBorders>
              <w:bottom w:val="single" w:sz="4" w:space="0" w:color="000000"/>
            </w:tcBorders>
            <w:vAlign w:val="center"/>
          </w:tcPr>
          <w:p w:rsidR="003E276E" w:rsidRDefault="00CC379C">
            <w:pPr>
              <w:rPr>
                <w:sz w:val="20"/>
                <w:szCs w:val="20"/>
              </w:rPr>
            </w:pPr>
            <w:r>
              <w:rPr>
                <w:sz w:val="20"/>
                <w:szCs w:val="20"/>
              </w:rPr>
              <w:t>MITLL High Ball</w:t>
            </w:r>
          </w:p>
        </w:tc>
      </w:tr>
      <w:tr w:rsidR="003E276E">
        <w:trPr>
          <w:trHeight w:val="100"/>
        </w:trPr>
        <w:tc>
          <w:tcPr>
            <w:tcW w:w="2583" w:type="dxa"/>
            <w:vMerge w:val="restart"/>
          </w:tcPr>
          <w:p w:rsidR="003E276E" w:rsidRDefault="00CC379C">
            <w:r>
              <w:rPr>
                <w:b/>
              </w:rPr>
              <w:t>Team Members</w:t>
            </w:r>
            <w:r>
              <w:br/>
              <w:t>(names and majors)</w:t>
            </w:r>
          </w:p>
        </w:tc>
        <w:tc>
          <w:tcPr>
            <w:tcW w:w="6767" w:type="dxa"/>
            <w:tcBorders>
              <w:bottom w:val="dotted" w:sz="4" w:space="0" w:color="000000"/>
            </w:tcBorders>
            <w:vAlign w:val="center"/>
          </w:tcPr>
          <w:p w:rsidR="003E276E" w:rsidRDefault="00CC379C">
            <w:pPr>
              <w:rPr>
                <w:sz w:val="20"/>
                <w:szCs w:val="20"/>
              </w:rPr>
            </w:pPr>
            <w:r>
              <w:rPr>
                <w:sz w:val="20"/>
                <w:szCs w:val="20"/>
              </w:rPr>
              <w:t>Mathew Manning (</w:t>
            </w:r>
            <w:proofErr w:type="spellStart"/>
            <w:r>
              <w:rPr>
                <w:sz w:val="20"/>
                <w:szCs w:val="20"/>
              </w:rPr>
              <w:t>CmpE</w:t>
            </w:r>
            <w:proofErr w:type="spellEnd"/>
            <w:r>
              <w:rPr>
                <w:sz w:val="20"/>
                <w:szCs w:val="20"/>
              </w:rPr>
              <w:t>)</w:t>
            </w:r>
          </w:p>
        </w:tc>
      </w:tr>
      <w:tr w:rsidR="003E276E">
        <w:trPr>
          <w:trHeight w:val="100"/>
        </w:trPr>
        <w:tc>
          <w:tcPr>
            <w:tcW w:w="2583" w:type="dxa"/>
            <w:vMerge/>
          </w:tcPr>
          <w:p w:rsidR="003E276E" w:rsidRDefault="003E276E">
            <w:pPr>
              <w:widowControl w:val="0"/>
              <w:pBdr>
                <w:top w:val="nil"/>
                <w:left w:val="nil"/>
                <w:bottom w:val="nil"/>
                <w:right w:val="nil"/>
                <w:between w:val="nil"/>
              </w:pBdr>
              <w:spacing w:line="276" w:lineRule="auto"/>
              <w:rPr>
                <w:sz w:val="20"/>
                <w:szCs w:val="20"/>
              </w:rPr>
            </w:pPr>
          </w:p>
        </w:tc>
        <w:tc>
          <w:tcPr>
            <w:tcW w:w="6767" w:type="dxa"/>
            <w:tcBorders>
              <w:top w:val="dotted" w:sz="4" w:space="0" w:color="000000"/>
              <w:bottom w:val="dotted" w:sz="4" w:space="0" w:color="000000"/>
            </w:tcBorders>
            <w:vAlign w:val="center"/>
          </w:tcPr>
          <w:p w:rsidR="003E276E" w:rsidRDefault="00CC379C">
            <w:pPr>
              <w:rPr>
                <w:sz w:val="20"/>
                <w:szCs w:val="20"/>
              </w:rPr>
            </w:pPr>
            <w:r>
              <w:rPr>
                <w:sz w:val="20"/>
                <w:szCs w:val="20"/>
              </w:rPr>
              <w:t>Brandon Redder (EE)</w:t>
            </w:r>
          </w:p>
        </w:tc>
      </w:tr>
      <w:tr w:rsidR="003E276E">
        <w:trPr>
          <w:trHeight w:val="100"/>
        </w:trPr>
        <w:tc>
          <w:tcPr>
            <w:tcW w:w="2583" w:type="dxa"/>
            <w:vMerge/>
          </w:tcPr>
          <w:p w:rsidR="003E276E" w:rsidRDefault="003E276E">
            <w:pPr>
              <w:widowControl w:val="0"/>
              <w:pBdr>
                <w:top w:val="nil"/>
                <w:left w:val="nil"/>
                <w:bottom w:val="nil"/>
                <w:right w:val="nil"/>
                <w:between w:val="nil"/>
              </w:pBdr>
              <w:spacing w:line="276" w:lineRule="auto"/>
              <w:rPr>
                <w:sz w:val="20"/>
                <w:szCs w:val="20"/>
              </w:rPr>
            </w:pPr>
          </w:p>
        </w:tc>
        <w:tc>
          <w:tcPr>
            <w:tcW w:w="6767" w:type="dxa"/>
            <w:tcBorders>
              <w:top w:val="dotted" w:sz="4" w:space="0" w:color="000000"/>
              <w:bottom w:val="dotted" w:sz="4" w:space="0" w:color="000000"/>
            </w:tcBorders>
            <w:vAlign w:val="center"/>
          </w:tcPr>
          <w:p w:rsidR="003E276E" w:rsidRDefault="00CC379C">
            <w:pPr>
              <w:rPr>
                <w:sz w:val="20"/>
                <w:szCs w:val="20"/>
              </w:rPr>
            </w:pPr>
            <w:r>
              <w:rPr>
                <w:sz w:val="20"/>
                <w:szCs w:val="20"/>
              </w:rPr>
              <w:t>David Richardson (EE)</w:t>
            </w:r>
          </w:p>
        </w:tc>
      </w:tr>
      <w:tr w:rsidR="003E276E">
        <w:trPr>
          <w:trHeight w:val="100"/>
        </w:trPr>
        <w:tc>
          <w:tcPr>
            <w:tcW w:w="2583" w:type="dxa"/>
            <w:vMerge/>
          </w:tcPr>
          <w:p w:rsidR="003E276E" w:rsidRDefault="003E276E">
            <w:pPr>
              <w:widowControl w:val="0"/>
              <w:pBdr>
                <w:top w:val="nil"/>
                <w:left w:val="nil"/>
                <w:bottom w:val="nil"/>
                <w:right w:val="nil"/>
                <w:between w:val="nil"/>
              </w:pBdr>
              <w:spacing w:line="276" w:lineRule="auto"/>
              <w:rPr>
                <w:sz w:val="20"/>
                <w:szCs w:val="20"/>
              </w:rPr>
            </w:pPr>
          </w:p>
        </w:tc>
        <w:tc>
          <w:tcPr>
            <w:tcW w:w="6767" w:type="dxa"/>
            <w:tcBorders>
              <w:top w:val="dotted" w:sz="4" w:space="0" w:color="000000"/>
              <w:bottom w:val="dotted" w:sz="4" w:space="0" w:color="000000"/>
            </w:tcBorders>
            <w:vAlign w:val="center"/>
          </w:tcPr>
          <w:p w:rsidR="003E276E" w:rsidRDefault="00CC379C">
            <w:pPr>
              <w:rPr>
                <w:sz w:val="20"/>
                <w:szCs w:val="20"/>
              </w:rPr>
            </w:pPr>
            <w:r>
              <w:rPr>
                <w:sz w:val="20"/>
                <w:szCs w:val="20"/>
              </w:rPr>
              <w:t>David Sanchez (EE)</w:t>
            </w:r>
          </w:p>
        </w:tc>
      </w:tr>
      <w:tr w:rsidR="003E276E">
        <w:trPr>
          <w:trHeight w:val="100"/>
        </w:trPr>
        <w:tc>
          <w:tcPr>
            <w:tcW w:w="2583" w:type="dxa"/>
            <w:vMerge/>
          </w:tcPr>
          <w:p w:rsidR="003E276E" w:rsidRDefault="003E276E">
            <w:pPr>
              <w:widowControl w:val="0"/>
              <w:pBdr>
                <w:top w:val="nil"/>
                <w:left w:val="nil"/>
                <w:bottom w:val="nil"/>
                <w:right w:val="nil"/>
                <w:between w:val="nil"/>
              </w:pBdr>
              <w:spacing w:line="276" w:lineRule="auto"/>
              <w:rPr>
                <w:sz w:val="20"/>
                <w:szCs w:val="20"/>
              </w:rPr>
            </w:pPr>
          </w:p>
        </w:tc>
        <w:tc>
          <w:tcPr>
            <w:tcW w:w="6767" w:type="dxa"/>
            <w:tcBorders>
              <w:top w:val="dotted" w:sz="4" w:space="0" w:color="000000"/>
              <w:bottom w:val="dotted" w:sz="4" w:space="0" w:color="000000"/>
            </w:tcBorders>
            <w:vAlign w:val="center"/>
          </w:tcPr>
          <w:p w:rsidR="003E276E" w:rsidRDefault="00CC379C">
            <w:pPr>
              <w:rPr>
                <w:sz w:val="20"/>
                <w:szCs w:val="20"/>
              </w:rPr>
            </w:pPr>
            <w:r>
              <w:rPr>
                <w:sz w:val="20"/>
                <w:szCs w:val="20"/>
              </w:rPr>
              <w:t>Kristine Scott (EE)</w:t>
            </w:r>
          </w:p>
        </w:tc>
      </w:tr>
      <w:tr w:rsidR="003E276E">
        <w:trPr>
          <w:trHeight w:val="100"/>
        </w:trPr>
        <w:tc>
          <w:tcPr>
            <w:tcW w:w="2583" w:type="dxa"/>
            <w:vMerge/>
          </w:tcPr>
          <w:p w:rsidR="003E276E" w:rsidRDefault="003E276E">
            <w:pPr>
              <w:widowControl w:val="0"/>
              <w:pBdr>
                <w:top w:val="nil"/>
                <w:left w:val="nil"/>
                <w:bottom w:val="nil"/>
                <w:right w:val="nil"/>
                <w:between w:val="nil"/>
              </w:pBdr>
              <w:spacing w:line="276" w:lineRule="auto"/>
              <w:rPr>
                <w:sz w:val="20"/>
                <w:szCs w:val="20"/>
              </w:rPr>
            </w:pPr>
          </w:p>
        </w:tc>
        <w:tc>
          <w:tcPr>
            <w:tcW w:w="6767" w:type="dxa"/>
            <w:tcBorders>
              <w:top w:val="dotted" w:sz="4" w:space="0" w:color="000000"/>
            </w:tcBorders>
            <w:vAlign w:val="center"/>
          </w:tcPr>
          <w:p w:rsidR="003E276E" w:rsidRDefault="00CC379C">
            <w:pPr>
              <w:rPr>
                <w:sz w:val="20"/>
                <w:szCs w:val="20"/>
              </w:rPr>
            </w:pPr>
            <w:r>
              <w:rPr>
                <w:sz w:val="20"/>
                <w:szCs w:val="20"/>
              </w:rPr>
              <w:t>Kyle Watters (EE)</w:t>
            </w:r>
          </w:p>
        </w:tc>
      </w:tr>
      <w:tr w:rsidR="003E276E">
        <w:trPr>
          <w:trHeight w:val="560"/>
        </w:trPr>
        <w:tc>
          <w:tcPr>
            <w:tcW w:w="2583" w:type="dxa"/>
            <w:vAlign w:val="center"/>
          </w:tcPr>
          <w:p w:rsidR="003E276E" w:rsidRDefault="00CC379C">
            <w:pPr>
              <w:rPr>
                <w:b/>
              </w:rPr>
            </w:pPr>
            <w:r>
              <w:rPr>
                <w:b/>
              </w:rPr>
              <w:t>Advisor / Section</w:t>
            </w:r>
          </w:p>
        </w:tc>
        <w:tc>
          <w:tcPr>
            <w:tcW w:w="6767" w:type="dxa"/>
            <w:vAlign w:val="center"/>
          </w:tcPr>
          <w:p w:rsidR="003E276E" w:rsidRDefault="00CC379C">
            <w:pPr>
              <w:rPr>
                <w:sz w:val="20"/>
                <w:szCs w:val="20"/>
              </w:rPr>
            </w:pPr>
            <w:r>
              <w:rPr>
                <w:sz w:val="20"/>
                <w:szCs w:val="20"/>
              </w:rPr>
              <w:t>Morris Cohen, Witt Smith – A05</w:t>
            </w:r>
          </w:p>
        </w:tc>
      </w:tr>
      <w:tr w:rsidR="003E276E">
        <w:trPr>
          <w:trHeight w:val="560"/>
        </w:trPr>
        <w:tc>
          <w:tcPr>
            <w:tcW w:w="2583" w:type="dxa"/>
            <w:vAlign w:val="center"/>
          </w:tcPr>
          <w:p w:rsidR="003E276E" w:rsidRDefault="00CC379C">
            <w:pPr>
              <w:rPr>
                <w:b/>
              </w:rPr>
            </w:pPr>
            <w:r>
              <w:rPr>
                <w:b/>
              </w:rPr>
              <w:t>Semester</w:t>
            </w:r>
          </w:p>
        </w:tc>
        <w:tc>
          <w:tcPr>
            <w:tcW w:w="6767" w:type="dxa"/>
            <w:vAlign w:val="center"/>
          </w:tcPr>
          <w:p w:rsidR="003E276E" w:rsidRDefault="00CC379C">
            <w:pPr>
              <w:rPr>
                <w:sz w:val="20"/>
                <w:szCs w:val="20"/>
              </w:rPr>
            </w:pPr>
            <w:r>
              <w:rPr>
                <w:sz w:val="20"/>
                <w:szCs w:val="20"/>
              </w:rPr>
              <w:t xml:space="preserve">Summer 2018 – ECE 4011 </w:t>
            </w:r>
          </w:p>
        </w:tc>
      </w:tr>
      <w:tr w:rsidR="003E276E">
        <w:trPr>
          <w:trHeight w:val="8640"/>
        </w:trPr>
        <w:tc>
          <w:tcPr>
            <w:tcW w:w="2583" w:type="dxa"/>
          </w:tcPr>
          <w:p w:rsidR="003E276E" w:rsidRDefault="00CC379C">
            <w:r>
              <w:rPr>
                <w:b/>
              </w:rPr>
              <w:t>Project Abstract</w:t>
            </w:r>
            <w:r>
              <w:br/>
              <w:t>(250-300 words)</w:t>
            </w:r>
          </w:p>
        </w:tc>
        <w:tc>
          <w:tcPr>
            <w:tcW w:w="6767" w:type="dxa"/>
          </w:tcPr>
          <w:p w:rsidR="003E276E" w:rsidRDefault="00CC379C">
            <w:pPr>
              <w:jc w:val="both"/>
              <w:rPr>
                <w:sz w:val="20"/>
                <w:szCs w:val="20"/>
              </w:rPr>
            </w:pPr>
            <w:bookmarkStart w:id="0" w:name="_8ct337nax4ro" w:colFirst="0" w:colLast="0"/>
            <w:bookmarkEnd w:id="0"/>
            <w:r>
              <w:rPr>
                <w:sz w:val="20"/>
                <w:szCs w:val="20"/>
              </w:rPr>
              <w:t xml:space="preserve">    High Altitude Balloons (HABs) are primarily used for capturing aerial imagery, observing atmospheric conditions, and conducting test in near-space condit</w:t>
            </w:r>
            <w:r>
              <w:rPr>
                <w:sz w:val="20"/>
                <w:szCs w:val="20"/>
              </w:rPr>
              <w:t>ions. HABs are less expensive than any other form of high altitude vehicle, they are only lightly regulated in the United States, and operating an HAB requires less training than any other unmanned aircraft. The largest drawbacks to HABs are the limited fl</w:t>
            </w:r>
            <w:r>
              <w:rPr>
                <w:sz w:val="20"/>
                <w:szCs w:val="20"/>
              </w:rPr>
              <w:t>ight times, lack of control over flight path, and low speed. Normally during ascension, the gas filling the balloon expands as atmospheric pressure drops until the balloon bursts, ending the flight and activating the parachute connected to the payload. The</w:t>
            </w:r>
            <w:r>
              <w:rPr>
                <w:sz w:val="20"/>
                <w:szCs w:val="20"/>
              </w:rPr>
              <w:t xml:space="preserve"> balloon’s path is reliant on wind steams, and the flight time is limited by rate of ascension. Teams across the country have designed altitude control systems for HABs that alternatively release gas or ballast from the system to keep the balloon within op</w:t>
            </w:r>
            <w:r>
              <w:rPr>
                <w:sz w:val="20"/>
                <w:szCs w:val="20"/>
              </w:rPr>
              <w:t>erating altitudes, increasing flight duration, but this project plans to go further. Wind speed and direction vary with altitude, making it possible to exert limited control of an HABs course by tracking wind conditions and directing the HAB into wind stre</w:t>
            </w:r>
            <w:r>
              <w:rPr>
                <w:sz w:val="20"/>
                <w:szCs w:val="20"/>
              </w:rPr>
              <w:t>ams whose direction most closely matches its intended course.</w:t>
            </w:r>
          </w:p>
          <w:p w:rsidR="003E276E" w:rsidRDefault="003E276E">
            <w:pPr>
              <w:jc w:val="both"/>
              <w:rPr>
                <w:sz w:val="20"/>
                <w:szCs w:val="20"/>
              </w:rPr>
            </w:pPr>
            <w:bookmarkStart w:id="1" w:name="_qpinzn1kcr01" w:colFirst="0" w:colLast="0"/>
            <w:bookmarkEnd w:id="1"/>
          </w:p>
          <w:p w:rsidR="003E276E" w:rsidRDefault="00CC379C">
            <w:pPr>
              <w:jc w:val="both"/>
              <w:rPr>
                <w:sz w:val="20"/>
                <w:szCs w:val="20"/>
              </w:rPr>
            </w:pPr>
            <w:r>
              <w:rPr>
                <w:sz w:val="20"/>
                <w:szCs w:val="20"/>
              </w:rPr>
              <w:t xml:space="preserve">     The importance of directing the course of the HAB is tied to the intended use of the system. The project focuses on designing an HAB system which will capture aerial images during and after natural disasters to help disaster relief teams track evolvin</w:t>
            </w:r>
            <w:r>
              <w:rPr>
                <w:sz w:val="20"/>
                <w:szCs w:val="20"/>
              </w:rPr>
              <w:t xml:space="preserve">g situations. Current </w:t>
            </w:r>
            <w:proofErr w:type="gramStart"/>
            <w:r>
              <w:rPr>
                <w:sz w:val="20"/>
                <w:szCs w:val="20"/>
              </w:rPr>
              <w:t>high altitude</w:t>
            </w:r>
            <w:proofErr w:type="gramEnd"/>
            <w:r>
              <w:rPr>
                <w:sz w:val="20"/>
                <w:szCs w:val="20"/>
              </w:rPr>
              <w:t xml:space="preserve"> balloons are impractical for this purpose because they cannot remain over the target area for long enough, and high altitude planes or drones are cost prohibitive. The project has the potential to improve the efficiency </w:t>
            </w:r>
            <w:r>
              <w:rPr>
                <w:sz w:val="20"/>
                <w:szCs w:val="20"/>
              </w:rPr>
              <w:t>of disaster relief teams when they are needed most.</w:t>
            </w:r>
          </w:p>
          <w:p w:rsidR="003E276E" w:rsidRDefault="003E276E">
            <w:pPr>
              <w:jc w:val="both"/>
              <w:rPr>
                <w:sz w:val="20"/>
                <w:szCs w:val="20"/>
              </w:rPr>
            </w:pPr>
          </w:p>
          <w:p w:rsidR="003E276E" w:rsidRDefault="00CC379C">
            <w:pPr>
              <w:jc w:val="both"/>
              <w:rPr>
                <w:sz w:val="20"/>
                <w:szCs w:val="20"/>
              </w:rPr>
            </w:pPr>
            <w:bookmarkStart w:id="2" w:name="_gjdgxs" w:colFirst="0" w:colLast="0"/>
            <w:bookmarkEnd w:id="2"/>
            <w:r>
              <w:rPr>
                <w:sz w:val="20"/>
                <w:szCs w:val="20"/>
              </w:rPr>
              <w:t xml:space="preserve">      </w:t>
            </w:r>
          </w:p>
        </w:tc>
      </w:tr>
    </w:tbl>
    <w:p w:rsidR="003E276E" w:rsidRDefault="00CC379C">
      <w:r>
        <w:br w:type="page"/>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1"/>
        <w:gridCol w:w="6759"/>
      </w:tblGrid>
      <w:tr w:rsidR="003E276E">
        <w:trPr>
          <w:trHeight w:val="560"/>
        </w:trPr>
        <w:tc>
          <w:tcPr>
            <w:tcW w:w="2591" w:type="dxa"/>
            <w:vAlign w:val="center"/>
          </w:tcPr>
          <w:p w:rsidR="003E276E" w:rsidRDefault="00CC379C">
            <w:pPr>
              <w:rPr>
                <w:b/>
              </w:rPr>
            </w:pPr>
            <w:r>
              <w:rPr>
                <w:b/>
              </w:rPr>
              <w:lastRenderedPageBreak/>
              <w:t>Project Title</w:t>
            </w:r>
          </w:p>
        </w:tc>
        <w:tc>
          <w:tcPr>
            <w:tcW w:w="6759" w:type="dxa"/>
            <w:vAlign w:val="center"/>
          </w:tcPr>
          <w:p w:rsidR="003E276E" w:rsidRDefault="00CC379C">
            <w:pPr>
              <w:rPr>
                <w:b/>
                <w:sz w:val="20"/>
                <w:szCs w:val="20"/>
              </w:rPr>
            </w:pPr>
            <w:r>
              <w:rPr>
                <w:sz w:val="20"/>
                <w:szCs w:val="20"/>
              </w:rPr>
              <w:t>MITLL High Ball</w:t>
            </w:r>
          </w:p>
        </w:tc>
      </w:tr>
      <w:tr w:rsidR="003E276E">
        <w:trPr>
          <w:trHeight w:val="2880"/>
        </w:trPr>
        <w:tc>
          <w:tcPr>
            <w:tcW w:w="2591" w:type="dxa"/>
          </w:tcPr>
          <w:p w:rsidR="003E276E" w:rsidRDefault="00CC379C">
            <w:r>
              <w:t xml:space="preserve">List </w:t>
            </w:r>
            <w:r>
              <w:rPr>
                <w:b/>
              </w:rPr>
              <w:t>codes</w:t>
            </w:r>
            <w:r>
              <w:t xml:space="preserve"> and </w:t>
            </w:r>
            <w:r>
              <w:rPr>
                <w:b/>
              </w:rPr>
              <w:t>standards</w:t>
            </w:r>
            <w:r>
              <w:t xml:space="preserve"> that significantly affect your project.  Briefly describe how they influenced your design.</w:t>
            </w:r>
          </w:p>
        </w:tc>
        <w:tc>
          <w:tcPr>
            <w:tcW w:w="6759" w:type="dxa"/>
          </w:tcPr>
          <w:p w:rsidR="003E276E" w:rsidRDefault="00CC379C">
            <w:pPr>
              <w:rPr>
                <w:sz w:val="20"/>
                <w:szCs w:val="20"/>
              </w:rPr>
            </w:pPr>
            <w:r>
              <w:rPr>
                <w:sz w:val="20"/>
                <w:szCs w:val="20"/>
              </w:rPr>
              <w:t>Federal Codes (FAA Regulations)</w:t>
            </w:r>
          </w:p>
          <w:p w:rsidR="003E276E" w:rsidRDefault="003E276E">
            <w:pPr>
              <w:rPr>
                <w:sz w:val="20"/>
                <w:szCs w:val="20"/>
              </w:rPr>
            </w:pPr>
          </w:p>
          <w:p w:rsidR="003E276E" w:rsidRDefault="00CC379C">
            <w:pPr>
              <w:rPr>
                <w:sz w:val="20"/>
                <w:szCs w:val="20"/>
              </w:rPr>
            </w:pPr>
            <w:r>
              <w:rPr>
                <w:sz w:val="20"/>
                <w:szCs w:val="20"/>
              </w:rPr>
              <w:t>(Title 14 CFR</w:t>
            </w:r>
            <w:r>
              <w:rPr>
                <w:sz w:val="20"/>
                <w:szCs w:val="20"/>
              </w:rPr>
              <w:t xml:space="preserve"> 101.1) General Applicability</w:t>
            </w:r>
          </w:p>
          <w:p w:rsidR="003E276E" w:rsidRDefault="00CC379C">
            <w:pPr>
              <w:rPr>
                <w:sz w:val="20"/>
                <w:szCs w:val="20"/>
              </w:rPr>
            </w:pPr>
            <w:r>
              <w:rPr>
                <w:sz w:val="20"/>
                <w:szCs w:val="20"/>
              </w:rPr>
              <w:t>This part prescribes rules governing the operation in the United States, of the following:</w:t>
            </w:r>
          </w:p>
          <w:p w:rsidR="003E276E" w:rsidRDefault="00CC379C">
            <w:pPr>
              <w:rPr>
                <w:sz w:val="20"/>
                <w:szCs w:val="20"/>
              </w:rPr>
            </w:pPr>
            <w:r>
              <w:rPr>
                <w:sz w:val="20"/>
                <w:szCs w:val="20"/>
              </w:rPr>
              <w:t>4) Except as provided for in § 101.7, any unmanned free balloon that -</w:t>
            </w:r>
          </w:p>
          <w:p w:rsidR="003E276E" w:rsidRDefault="00CC379C">
            <w:pPr>
              <w:ind w:left="720"/>
              <w:rPr>
                <w:sz w:val="20"/>
                <w:szCs w:val="20"/>
              </w:rPr>
            </w:pPr>
            <w:r>
              <w:rPr>
                <w:sz w:val="20"/>
                <w:szCs w:val="20"/>
              </w:rPr>
              <w:t>(</w:t>
            </w:r>
            <w:proofErr w:type="spellStart"/>
            <w:r>
              <w:rPr>
                <w:sz w:val="20"/>
                <w:szCs w:val="20"/>
              </w:rPr>
              <w:t>i</w:t>
            </w:r>
            <w:proofErr w:type="spellEnd"/>
            <w:r>
              <w:rPr>
                <w:sz w:val="20"/>
                <w:szCs w:val="20"/>
              </w:rPr>
              <w:t>) Carries a payload package that weighs more than four pounds and has a weight/size ratio of more than three ounces per square inch on any surface of the package, determined by dividing the total weight in ounces of the payload package by the area in squ</w:t>
            </w:r>
            <w:r>
              <w:rPr>
                <w:sz w:val="20"/>
                <w:szCs w:val="20"/>
              </w:rPr>
              <w:t>are inches of its smallest surface;</w:t>
            </w:r>
            <w:r>
              <w:rPr>
                <w:sz w:val="20"/>
                <w:szCs w:val="20"/>
              </w:rPr>
              <w:br/>
              <w:t>(ii) Carries a payload package that weighs more than six pounds;</w:t>
            </w:r>
            <w:r>
              <w:rPr>
                <w:sz w:val="20"/>
                <w:szCs w:val="20"/>
              </w:rPr>
              <w:br/>
              <w:t>(iii) Carries a payload, of two or more packages, that weighs more than 12 pounds; or</w:t>
            </w:r>
            <w:r>
              <w:rPr>
                <w:sz w:val="20"/>
                <w:szCs w:val="20"/>
              </w:rPr>
              <w:br/>
              <w:t>(iv) Uses a rope or other device for suspension of the payload that r</w:t>
            </w:r>
            <w:r>
              <w:rPr>
                <w:sz w:val="20"/>
                <w:szCs w:val="20"/>
              </w:rPr>
              <w:t>equires an impact force of more than 50 pounds to separate the suspended payload from the balloon.</w:t>
            </w:r>
          </w:p>
          <w:p w:rsidR="003E276E" w:rsidRDefault="003E276E">
            <w:pPr>
              <w:rPr>
                <w:sz w:val="20"/>
                <w:szCs w:val="20"/>
              </w:rPr>
            </w:pPr>
          </w:p>
          <w:p w:rsidR="003E276E" w:rsidRDefault="00CC379C">
            <w:pPr>
              <w:rPr>
                <w:sz w:val="20"/>
                <w:szCs w:val="20"/>
              </w:rPr>
            </w:pPr>
            <w:r>
              <w:rPr>
                <w:sz w:val="20"/>
                <w:szCs w:val="20"/>
              </w:rPr>
              <w:t>(Title 14 CFR 101.33) Operating Limitations</w:t>
            </w:r>
          </w:p>
          <w:p w:rsidR="003E276E" w:rsidRDefault="00CC379C">
            <w:pPr>
              <w:rPr>
                <w:sz w:val="20"/>
                <w:szCs w:val="20"/>
              </w:rPr>
            </w:pPr>
            <w:r>
              <w:rPr>
                <w:sz w:val="20"/>
                <w:szCs w:val="20"/>
              </w:rPr>
              <w:t>The balloon may not operate within: Class B, C, D, or E airspace, below 2,000 feet, clouds below 60,000 feet, ab</w:t>
            </w:r>
            <w:r>
              <w:rPr>
                <w:sz w:val="20"/>
                <w:szCs w:val="20"/>
              </w:rPr>
              <w:t>ove a populated area while below 1,000 feet, or in any manner which may cause hard to person(s) or property below.</w:t>
            </w:r>
          </w:p>
          <w:p w:rsidR="003E276E" w:rsidRDefault="003E276E">
            <w:pPr>
              <w:rPr>
                <w:sz w:val="20"/>
                <w:szCs w:val="20"/>
              </w:rPr>
            </w:pPr>
          </w:p>
          <w:p w:rsidR="003E276E" w:rsidRDefault="00CC379C">
            <w:pPr>
              <w:rPr>
                <w:sz w:val="20"/>
                <w:szCs w:val="20"/>
              </w:rPr>
            </w:pPr>
            <w:r>
              <w:rPr>
                <w:sz w:val="20"/>
                <w:szCs w:val="20"/>
              </w:rPr>
              <w:t>(Title 14 CFR 101.35) Equipment and Marking Requirements</w:t>
            </w:r>
          </w:p>
          <w:p w:rsidR="003E276E" w:rsidRDefault="00CC379C">
            <w:pPr>
              <w:rPr>
                <w:sz w:val="20"/>
                <w:szCs w:val="20"/>
              </w:rPr>
            </w:pPr>
            <w:r>
              <w:rPr>
                <w:sz w:val="20"/>
                <w:szCs w:val="20"/>
              </w:rPr>
              <w:t>The balloon must be equipped with two independent cutdown systems, radar reflective</w:t>
            </w:r>
            <w:r>
              <w:rPr>
                <w:sz w:val="20"/>
                <w:szCs w:val="20"/>
              </w:rPr>
              <w:t xml:space="preserve"> devices (or surfaces which echo radar operating in the 200 </w:t>
            </w:r>
            <w:proofErr w:type="spellStart"/>
            <w:r>
              <w:rPr>
                <w:sz w:val="20"/>
                <w:szCs w:val="20"/>
              </w:rPr>
              <w:t>MHz.</w:t>
            </w:r>
            <w:proofErr w:type="spellEnd"/>
            <w:r>
              <w:rPr>
                <w:sz w:val="20"/>
                <w:szCs w:val="20"/>
              </w:rPr>
              <w:t xml:space="preserve"> to 2700 </w:t>
            </w:r>
            <w:proofErr w:type="spellStart"/>
            <w:r>
              <w:rPr>
                <w:sz w:val="20"/>
                <w:szCs w:val="20"/>
              </w:rPr>
              <w:t>MHz.</w:t>
            </w:r>
            <w:proofErr w:type="spellEnd"/>
            <w:r>
              <w:rPr>
                <w:sz w:val="20"/>
                <w:szCs w:val="20"/>
              </w:rPr>
              <w:t xml:space="preserve"> frequency range). The balloon must be cutdown should conditions drop below minimums specified in 14 CFR 101.33. The balloon must be equipped with lights which are visible for at </w:t>
            </w:r>
            <w:r>
              <w:rPr>
                <w:sz w:val="20"/>
                <w:szCs w:val="20"/>
              </w:rPr>
              <w:t>least 5 miles and have a flashing frequency between (40 and 100 cycles per minute) to operate below 60,000 feet between sunset and sunrise.</w:t>
            </w:r>
          </w:p>
          <w:p w:rsidR="003E276E" w:rsidRDefault="003E276E">
            <w:pPr>
              <w:rPr>
                <w:sz w:val="20"/>
                <w:szCs w:val="20"/>
              </w:rPr>
            </w:pPr>
          </w:p>
          <w:p w:rsidR="003E276E" w:rsidRDefault="00CC379C">
            <w:pPr>
              <w:rPr>
                <w:sz w:val="20"/>
                <w:szCs w:val="20"/>
              </w:rPr>
            </w:pPr>
            <w:r>
              <w:rPr>
                <w:sz w:val="20"/>
                <w:szCs w:val="20"/>
              </w:rPr>
              <w:t>(Title 14 CFR 101.37) Notice Requirements</w:t>
            </w:r>
          </w:p>
          <w:p w:rsidR="003E276E" w:rsidRDefault="00CC379C">
            <w:pPr>
              <w:rPr>
                <w:sz w:val="20"/>
                <w:szCs w:val="20"/>
              </w:rPr>
            </w:pPr>
            <w:r>
              <w:rPr>
                <w:sz w:val="20"/>
                <w:szCs w:val="20"/>
              </w:rPr>
              <w:t>Between 6 and 24 hours before launch, the balloon’s operator must notify FAA ATC of balloon identification, estimated date/time of launch (+/- 30 minutes accuracy), location of launch site, cruising altitude, forecast trajectory, estimated time to cruising</w:t>
            </w:r>
            <w:r>
              <w:rPr>
                <w:sz w:val="20"/>
                <w:szCs w:val="20"/>
              </w:rPr>
              <w:t xml:space="preserve"> altitude, length and diameter of balloon, length of suspension device, weight of payload, duration of flight, forecast time and location of impact with surface of earth. FAA ATC must be notified of cancelation. FAA ATC must be notified immediately after l</w:t>
            </w:r>
            <w:r>
              <w:rPr>
                <w:sz w:val="20"/>
                <w:szCs w:val="20"/>
              </w:rPr>
              <w:t>aunch.</w:t>
            </w:r>
          </w:p>
          <w:p w:rsidR="003E276E" w:rsidRDefault="003E276E">
            <w:pPr>
              <w:rPr>
                <w:sz w:val="20"/>
                <w:szCs w:val="20"/>
              </w:rPr>
            </w:pPr>
          </w:p>
          <w:p w:rsidR="003E276E" w:rsidRDefault="00CC379C">
            <w:pPr>
              <w:rPr>
                <w:sz w:val="20"/>
                <w:szCs w:val="20"/>
              </w:rPr>
            </w:pPr>
            <w:r>
              <w:rPr>
                <w:sz w:val="20"/>
                <w:szCs w:val="20"/>
              </w:rPr>
              <w:t>(Title 14 CFR 101.39) Balloon Position Reports</w:t>
            </w:r>
          </w:p>
          <w:p w:rsidR="003E276E" w:rsidRDefault="00CC379C">
            <w:pPr>
              <w:rPr>
                <w:sz w:val="20"/>
                <w:szCs w:val="20"/>
              </w:rPr>
            </w:pPr>
            <w:r>
              <w:rPr>
                <w:sz w:val="20"/>
                <w:szCs w:val="20"/>
              </w:rPr>
              <w:t>The course of the balloon must be monitored with each position being recorded (at minimum) every 2 hours. Balloon position reports must forward to FAA ATC at request. One (1) hour before beginning desc</w:t>
            </w:r>
            <w:r>
              <w:rPr>
                <w:sz w:val="20"/>
                <w:szCs w:val="20"/>
              </w:rPr>
              <w:t xml:space="preserve">ent the operator must notify FAA ATC of current geographic position, altitude, forecast time of penetration of 60,000 feet, forecast trajectory for balance of flight, forecast time and location of impact with surface of earth. If a balloon position report </w:t>
            </w:r>
            <w:r>
              <w:rPr>
                <w:sz w:val="20"/>
                <w:szCs w:val="20"/>
              </w:rPr>
              <w:t xml:space="preserve">is not recorded for any </w:t>
            </w:r>
            <w:proofErr w:type="gramStart"/>
            <w:r>
              <w:rPr>
                <w:sz w:val="20"/>
                <w:szCs w:val="20"/>
              </w:rPr>
              <w:t>2 hour</w:t>
            </w:r>
            <w:proofErr w:type="gramEnd"/>
            <w:r>
              <w:rPr>
                <w:sz w:val="20"/>
                <w:szCs w:val="20"/>
              </w:rPr>
              <w:t xml:space="preserve"> time period, the operator shall immediately notify FAA ATC with the last recorded position and any revisions to the forecast trajectory. Upon re-establishment of tracking FAA ATC shall be notified.</w:t>
            </w:r>
            <w:r>
              <w:rPr>
                <w:sz w:val="20"/>
                <w:szCs w:val="20"/>
              </w:rPr>
              <w:br/>
            </w:r>
          </w:p>
          <w:p w:rsidR="003E276E" w:rsidRDefault="00CC379C">
            <w:pPr>
              <w:rPr>
                <w:sz w:val="20"/>
                <w:szCs w:val="20"/>
              </w:rPr>
            </w:pPr>
            <w:r>
              <w:rPr>
                <w:sz w:val="20"/>
                <w:szCs w:val="20"/>
              </w:rPr>
              <w:t>FCC Regulations for Cell P</w:t>
            </w:r>
            <w:r>
              <w:rPr>
                <w:sz w:val="20"/>
                <w:szCs w:val="20"/>
              </w:rPr>
              <w:t xml:space="preserve">hone and </w:t>
            </w:r>
            <w:proofErr w:type="spellStart"/>
            <w:r>
              <w:rPr>
                <w:sz w:val="20"/>
                <w:szCs w:val="20"/>
              </w:rPr>
              <w:t>Amatuer</w:t>
            </w:r>
            <w:proofErr w:type="spellEnd"/>
            <w:r>
              <w:rPr>
                <w:sz w:val="20"/>
                <w:szCs w:val="20"/>
              </w:rPr>
              <w:t xml:space="preserve"> Radio Communications</w:t>
            </w:r>
          </w:p>
          <w:p w:rsidR="003E276E" w:rsidRDefault="003E276E">
            <w:pPr>
              <w:rPr>
                <w:sz w:val="20"/>
                <w:szCs w:val="20"/>
              </w:rPr>
            </w:pPr>
          </w:p>
          <w:p w:rsidR="003E276E" w:rsidRDefault="00CC379C">
            <w:pPr>
              <w:rPr>
                <w:sz w:val="20"/>
                <w:szCs w:val="20"/>
              </w:rPr>
            </w:pPr>
            <w:r>
              <w:rPr>
                <w:sz w:val="20"/>
                <w:szCs w:val="20"/>
              </w:rPr>
              <w:lastRenderedPageBreak/>
              <w:t>(Title 47 CFR 22.925) Prohibition on airborne operation of cellular telephones.</w:t>
            </w:r>
            <w:r>
              <w:rPr>
                <w:sz w:val="20"/>
                <w:szCs w:val="20"/>
              </w:rPr>
              <w:br/>
              <w:t>Cellular telephones installed in or carried aboard airplanes, balloons or any other type of aircraft must not be operated while such airc</w:t>
            </w:r>
            <w:r>
              <w:rPr>
                <w:sz w:val="20"/>
                <w:szCs w:val="20"/>
              </w:rPr>
              <w:t>raft are airborne (not touching the ground). When any aircraft leaves the ground, all cellular telephones on board that aircraft must be turned off. The following notice must be posted on or near each cellular telephone installed in any aircraft:</w:t>
            </w:r>
            <w:r>
              <w:rPr>
                <w:sz w:val="20"/>
                <w:szCs w:val="20"/>
              </w:rPr>
              <w:br/>
            </w:r>
            <w:r>
              <w:rPr>
                <w:sz w:val="20"/>
                <w:szCs w:val="20"/>
              </w:rPr>
              <w:br/>
              <w:t>“The use</w:t>
            </w:r>
            <w:r>
              <w:rPr>
                <w:sz w:val="20"/>
                <w:szCs w:val="20"/>
              </w:rPr>
              <w:t xml:space="preserve"> of cellular telephones while this aircraft is airborne is prohibited by FCC rules, and the violation of this rule could result in suspension of service and/or a fine. The use of cellular telephones while this aircraft is on the ground is subject to FAA re</w:t>
            </w:r>
            <w:r>
              <w:rPr>
                <w:sz w:val="20"/>
                <w:szCs w:val="20"/>
              </w:rPr>
              <w:t>gulations.”</w:t>
            </w:r>
          </w:p>
          <w:p w:rsidR="003E276E" w:rsidRDefault="003E276E">
            <w:pPr>
              <w:rPr>
                <w:sz w:val="20"/>
                <w:szCs w:val="20"/>
              </w:rPr>
            </w:pPr>
          </w:p>
          <w:p w:rsidR="003E276E" w:rsidRDefault="00CC379C">
            <w:pPr>
              <w:rPr>
                <w:sz w:val="20"/>
                <w:szCs w:val="20"/>
              </w:rPr>
            </w:pPr>
            <w:r>
              <w:rPr>
                <w:sz w:val="20"/>
                <w:szCs w:val="20"/>
              </w:rPr>
              <w:t>(Title 47 CFR 97.113) Prohibited transmissions</w:t>
            </w:r>
          </w:p>
          <w:p w:rsidR="003E276E" w:rsidRDefault="00CC379C">
            <w:pPr>
              <w:rPr>
                <w:sz w:val="20"/>
                <w:szCs w:val="20"/>
              </w:rPr>
            </w:pPr>
            <w:r>
              <w:rPr>
                <w:sz w:val="20"/>
                <w:szCs w:val="20"/>
              </w:rPr>
              <w:t>(a) No amateur station shall transmit</w:t>
            </w:r>
          </w:p>
          <w:p w:rsidR="003E276E" w:rsidRDefault="00CC379C">
            <w:pPr>
              <w:ind w:left="720"/>
              <w:rPr>
                <w:sz w:val="20"/>
                <w:szCs w:val="20"/>
              </w:rPr>
            </w:pPr>
            <w:r>
              <w:rPr>
                <w:sz w:val="20"/>
                <w:szCs w:val="20"/>
              </w:rPr>
              <w:t>(2) Communications for hire or for material compensation, direct or</w:t>
            </w:r>
            <w:r>
              <w:rPr>
                <w:sz w:val="20"/>
                <w:szCs w:val="20"/>
              </w:rPr>
              <w:br/>
              <w:t>indirect, paid or promised, except as otherwise provided in these rules;</w:t>
            </w:r>
            <w:r>
              <w:rPr>
                <w:sz w:val="20"/>
                <w:szCs w:val="20"/>
              </w:rPr>
              <w:br/>
              <w:t>Page 4</w:t>
            </w:r>
            <w:r>
              <w:rPr>
                <w:sz w:val="20"/>
                <w:szCs w:val="20"/>
              </w:rPr>
              <w:br/>
              <w:t>(3) Commun</w:t>
            </w:r>
            <w:r>
              <w:rPr>
                <w:sz w:val="20"/>
                <w:szCs w:val="20"/>
              </w:rPr>
              <w:t>ications in which the station licensee or control operator</w:t>
            </w:r>
            <w:r>
              <w:rPr>
                <w:sz w:val="20"/>
                <w:szCs w:val="20"/>
              </w:rPr>
              <w:br/>
              <w:t>has a pecuniary interest, including communications on behalf of an</w:t>
            </w:r>
            <w:r>
              <w:rPr>
                <w:sz w:val="20"/>
                <w:szCs w:val="20"/>
              </w:rPr>
              <w:br/>
              <w:t>employer.</w:t>
            </w:r>
            <w:r>
              <w:rPr>
                <w:sz w:val="20"/>
                <w:szCs w:val="20"/>
              </w:rPr>
              <w:br/>
              <w:t>(5) Communications, on a regular basis, which could reasonably be</w:t>
            </w:r>
            <w:r>
              <w:rPr>
                <w:sz w:val="20"/>
                <w:szCs w:val="20"/>
              </w:rPr>
              <w:br/>
              <w:t>furnished alternatively through other radio services</w:t>
            </w:r>
          </w:p>
          <w:p w:rsidR="003E276E" w:rsidRDefault="003E276E">
            <w:pPr>
              <w:ind w:left="720"/>
              <w:rPr>
                <w:sz w:val="20"/>
                <w:szCs w:val="20"/>
              </w:rPr>
            </w:pPr>
          </w:p>
          <w:p w:rsidR="003E276E" w:rsidRDefault="00CC379C">
            <w:pPr>
              <w:rPr>
                <w:sz w:val="20"/>
                <w:szCs w:val="20"/>
              </w:rPr>
            </w:pPr>
            <w:r>
              <w:rPr>
                <w:sz w:val="20"/>
                <w:szCs w:val="20"/>
              </w:rPr>
              <w:t>Design Implications</w:t>
            </w:r>
          </w:p>
          <w:p w:rsidR="003E276E" w:rsidRDefault="003E276E">
            <w:pPr>
              <w:rPr>
                <w:sz w:val="20"/>
                <w:szCs w:val="20"/>
              </w:rPr>
            </w:pPr>
          </w:p>
          <w:p w:rsidR="003E276E" w:rsidRDefault="00CC379C">
            <w:pPr>
              <w:rPr>
                <w:sz w:val="20"/>
                <w:szCs w:val="20"/>
              </w:rPr>
            </w:pPr>
            <w:r>
              <w:rPr>
                <w:sz w:val="20"/>
                <w:szCs w:val="20"/>
              </w:rPr>
              <w:t xml:space="preserve">FAA regulations constrained the weight and weight per square inch of the design, and FCC regulations limited the form of communication. Assuming the altitude control system is </w:t>
            </w:r>
            <w:proofErr w:type="gramStart"/>
            <w:r>
              <w:rPr>
                <w:sz w:val="20"/>
                <w:szCs w:val="20"/>
              </w:rPr>
              <w:t>functional</w:t>
            </w:r>
            <w:proofErr w:type="gramEnd"/>
            <w:r>
              <w:rPr>
                <w:sz w:val="20"/>
                <w:szCs w:val="20"/>
              </w:rPr>
              <w:t xml:space="preserve"> and no hardware problems occur, a flight will be</w:t>
            </w:r>
            <w:r>
              <w:rPr>
                <w:sz w:val="20"/>
                <w:szCs w:val="20"/>
              </w:rPr>
              <w:t xml:space="preserve"> terminated when the battery dies or all of the ballast is used. The regulations relating to weight limit the size of the battery and the amount of ballast that can be used, which limit the maximum flight time. Our system will prioritize ballast over batte</w:t>
            </w:r>
            <w:r>
              <w:rPr>
                <w:sz w:val="20"/>
                <w:szCs w:val="20"/>
              </w:rPr>
              <w:t>ry weight since the position control will use ballast more often than pure altitude control systems. The limits on the weight per square inch affect the shape of the system, eliminating any structure with a thin profile, increasing the internal volume. The</w:t>
            </w:r>
            <w:r>
              <w:rPr>
                <w:sz w:val="20"/>
                <w:szCs w:val="20"/>
              </w:rPr>
              <w:t xml:space="preserve"> larger volume is harder to heat, so our design will section off areas of the frame containing components sensitive to temperature, humidity, and shock. Communication between the balloon and the ground station is already limited by the distance and possibl</w:t>
            </w:r>
            <w:r>
              <w:rPr>
                <w:sz w:val="20"/>
                <w:szCs w:val="20"/>
              </w:rPr>
              <w:t xml:space="preserve">e interference in the atmosphere, so regulations against cellular channels at high altitudes and amateur radio for commercial uses lead the team to utilizing satellite communications. </w:t>
            </w:r>
          </w:p>
          <w:p w:rsidR="003E276E" w:rsidRDefault="003E276E">
            <w:pPr>
              <w:rPr>
                <w:sz w:val="20"/>
                <w:szCs w:val="20"/>
              </w:rPr>
            </w:pPr>
          </w:p>
          <w:p w:rsidR="003E276E" w:rsidRDefault="003E276E">
            <w:pPr>
              <w:rPr>
                <w:sz w:val="20"/>
                <w:szCs w:val="20"/>
              </w:rPr>
            </w:pPr>
          </w:p>
          <w:p w:rsidR="003E276E" w:rsidRDefault="003E276E">
            <w:pPr>
              <w:rPr>
                <w:sz w:val="20"/>
                <w:szCs w:val="20"/>
              </w:rPr>
            </w:pPr>
          </w:p>
        </w:tc>
      </w:tr>
      <w:tr w:rsidR="003E276E">
        <w:trPr>
          <w:trHeight w:val="2880"/>
        </w:trPr>
        <w:tc>
          <w:tcPr>
            <w:tcW w:w="2591" w:type="dxa"/>
          </w:tcPr>
          <w:p w:rsidR="003E276E" w:rsidRDefault="00CC379C">
            <w:r>
              <w:lastRenderedPageBreak/>
              <w:t xml:space="preserve">List at least two significant </w:t>
            </w:r>
            <w:r>
              <w:rPr>
                <w:b/>
              </w:rPr>
              <w:t>realistic design constraints</w:t>
            </w:r>
            <w:r>
              <w:t xml:space="preserve"> that applied to your project.  Briefly describe how they affected your design.</w:t>
            </w:r>
          </w:p>
        </w:tc>
        <w:tc>
          <w:tcPr>
            <w:tcW w:w="6759" w:type="dxa"/>
          </w:tcPr>
          <w:p w:rsidR="003E276E" w:rsidRDefault="00CC379C">
            <w:pPr>
              <w:numPr>
                <w:ilvl w:val="0"/>
                <w:numId w:val="5"/>
              </w:numPr>
              <w:contextualSpacing/>
              <w:rPr>
                <w:sz w:val="20"/>
                <w:szCs w:val="20"/>
              </w:rPr>
            </w:pPr>
            <w:r>
              <w:rPr>
                <w:sz w:val="20"/>
                <w:szCs w:val="20"/>
              </w:rPr>
              <w:t xml:space="preserve">The payload must weigh less than 6 lbs. This </w:t>
            </w:r>
            <w:proofErr w:type="gramStart"/>
            <w:r>
              <w:rPr>
                <w:sz w:val="20"/>
                <w:szCs w:val="20"/>
              </w:rPr>
              <w:t>has to</w:t>
            </w:r>
            <w:proofErr w:type="gramEnd"/>
            <w:r>
              <w:rPr>
                <w:sz w:val="20"/>
                <w:szCs w:val="20"/>
              </w:rPr>
              <w:t xml:space="preserve"> be considered when choosing the materials for the structure, and the hardware used in the payload. The weight of the ballast</w:t>
            </w:r>
            <w:r>
              <w:rPr>
                <w:sz w:val="20"/>
                <w:szCs w:val="20"/>
              </w:rPr>
              <w:t xml:space="preserve"> and battery will directly limit the maximum flight duration. </w:t>
            </w:r>
          </w:p>
          <w:p w:rsidR="003E276E" w:rsidRDefault="00CC379C">
            <w:pPr>
              <w:numPr>
                <w:ilvl w:val="0"/>
                <w:numId w:val="5"/>
              </w:numPr>
              <w:contextualSpacing/>
              <w:rPr>
                <w:sz w:val="20"/>
                <w:szCs w:val="20"/>
              </w:rPr>
            </w:pPr>
            <w:r>
              <w:rPr>
                <w:sz w:val="20"/>
                <w:szCs w:val="20"/>
              </w:rPr>
              <w:t>Battery must last for the duration of the flight. The size of the battery and the power consumption of the electronics must be taken into consideration because the weight of the battery must be</w:t>
            </w:r>
            <w:r>
              <w:rPr>
                <w:sz w:val="20"/>
                <w:szCs w:val="20"/>
              </w:rPr>
              <w:t xml:space="preserve"> as small as possible. </w:t>
            </w:r>
          </w:p>
          <w:p w:rsidR="003E276E" w:rsidRDefault="00CC379C">
            <w:pPr>
              <w:numPr>
                <w:ilvl w:val="0"/>
                <w:numId w:val="5"/>
              </w:numPr>
              <w:contextualSpacing/>
              <w:rPr>
                <w:sz w:val="20"/>
                <w:szCs w:val="20"/>
              </w:rPr>
            </w:pPr>
            <w:r>
              <w:rPr>
                <w:sz w:val="20"/>
                <w:szCs w:val="20"/>
              </w:rPr>
              <w:t>The system must be reliable at altitudes up to 100,000 feet. At this altitude the pressure is 0.162 PSI and the temperature can fall as low as -57 ℃. To overcome these limitations our design utilizes an insulated frame, heating elem</w:t>
            </w:r>
            <w:r>
              <w:rPr>
                <w:sz w:val="20"/>
                <w:szCs w:val="20"/>
              </w:rPr>
              <w:t xml:space="preserve">ents, and components rated for low temperature conditions.  </w:t>
            </w:r>
          </w:p>
        </w:tc>
      </w:tr>
      <w:tr w:rsidR="003E276E">
        <w:trPr>
          <w:trHeight w:val="2880"/>
        </w:trPr>
        <w:tc>
          <w:tcPr>
            <w:tcW w:w="2591" w:type="dxa"/>
          </w:tcPr>
          <w:p w:rsidR="003E276E" w:rsidRDefault="00CC379C">
            <w:r>
              <w:lastRenderedPageBreak/>
              <w:t xml:space="preserve">Briefly explain two </w:t>
            </w:r>
            <w:r>
              <w:rPr>
                <w:b/>
              </w:rPr>
              <w:t>significant trade-offs</w:t>
            </w:r>
            <w:r>
              <w:t xml:space="preserve"> considered in your design, including options considered and the solution chosen.</w:t>
            </w:r>
          </w:p>
        </w:tc>
        <w:tc>
          <w:tcPr>
            <w:tcW w:w="6759" w:type="dxa"/>
          </w:tcPr>
          <w:p w:rsidR="003E276E" w:rsidRDefault="00CC379C">
            <w:pPr>
              <w:rPr>
                <w:sz w:val="20"/>
                <w:szCs w:val="20"/>
              </w:rPr>
            </w:pPr>
            <w:r>
              <w:rPr>
                <w:sz w:val="20"/>
                <w:szCs w:val="20"/>
              </w:rPr>
              <w:t>Ballast weight and battery. Both are necessary for long flights but si</w:t>
            </w:r>
            <w:r>
              <w:rPr>
                <w:sz w:val="20"/>
                <w:szCs w:val="20"/>
              </w:rPr>
              <w:t>nce weight is important there must be a good balance between the two. Battery must be efficiently used so that a larger battery is not needed.</w:t>
            </w:r>
          </w:p>
          <w:p w:rsidR="003E276E" w:rsidRDefault="003E276E">
            <w:pPr>
              <w:rPr>
                <w:sz w:val="20"/>
                <w:szCs w:val="20"/>
              </w:rPr>
            </w:pPr>
          </w:p>
          <w:p w:rsidR="003E276E" w:rsidRDefault="00CC379C">
            <w:pPr>
              <w:rPr>
                <w:sz w:val="20"/>
                <w:szCs w:val="20"/>
              </w:rPr>
            </w:pPr>
            <w:r>
              <w:rPr>
                <w:sz w:val="20"/>
                <w:szCs w:val="20"/>
              </w:rPr>
              <w:t xml:space="preserve">Insulation/waterproofing and weight. The payload </w:t>
            </w:r>
            <w:proofErr w:type="gramStart"/>
            <w:r>
              <w:rPr>
                <w:sz w:val="20"/>
                <w:szCs w:val="20"/>
              </w:rPr>
              <w:t>has to</w:t>
            </w:r>
            <w:proofErr w:type="gramEnd"/>
            <w:r>
              <w:rPr>
                <w:sz w:val="20"/>
                <w:szCs w:val="20"/>
              </w:rPr>
              <w:t xml:space="preserve"> have some kind of insulation and waterproofing to protec</w:t>
            </w:r>
            <w:r>
              <w:rPr>
                <w:sz w:val="20"/>
                <w:szCs w:val="20"/>
              </w:rPr>
              <w:t xml:space="preserve">t from cold temperatures and water damage but that would make the payload heavier. A </w:t>
            </w:r>
            <w:proofErr w:type="spellStart"/>
            <w:r>
              <w:rPr>
                <w:sz w:val="20"/>
                <w:szCs w:val="20"/>
              </w:rPr>
              <w:t>styrofoam</w:t>
            </w:r>
            <w:proofErr w:type="spellEnd"/>
            <w:r>
              <w:rPr>
                <w:sz w:val="20"/>
                <w:szCs w:val="20"/>
              </w:rPr>
              <w:t xml:space="preserve"> cooler seems like a good option to use.</w:t>
            </w:r>
          </w:p>
          <w:p w:rsidR="003E276E" w:rsidRDefault="003E276E">
            <w:pPr>
              <w:rPr>
                <w:sz w:val="20"/>
                <w:szCs w:val="20"/>
              </w:rPr>
            </w:pPr>
          </w:p>
          <w:p w:rsidR="003E276E" w:rsidRDefault="003E276E">
            <w:pPr>
              <w:rPr>
                <w:sz w:val="20"/>
                <w:szCs w:val="20"/>
              </w:rPr>
            </w:pPr>
          </w:p>
        </w:tc>
      </w:tr>
      <w:tr w:rsidR="003E276E">
        <w:trPr>
          <w:trHeight w:val="2880"/>
        </w:trPr>
        <w:tc>
          <w:tcPr>
            <w:tcW w:w="2591" w:type="dxa"/>
          </w:tcPr>
          <w:p w:rsidR="003E276E" w:rsidRDefault="00CC379C">
            <w:r>
              <w:t xml:space="preserve">Briefly describe the </w:t>
            </w:r>
            <w:r>
              <w:rPr>
                <w:b/>
              </w:rPr>
              <w:t>computing aspects</w:t>
            </w:r>
            <w:r>
              <w:t xml:space="preserve"> of your projects, specifically identifying </w:t>
            </w:r>
            <w:r>
              <w:rPr>
                <w:b/>
              </w:rPr>
              <w:t>hardware-software</w:t>
            </w:r>
            <w:r>
              <w:t xml:space="preserve"> tradeoffs, interfa</w:t>
            </w:r>
            <w:r>
              <w:t>ces, and/or interactions.</w:t>
            </w:r>
            <w:r>
              <w:br/>
            </w:r>
            <w:r>
              <w:br/>
            </w:r>
            <w:r>
              <w:rPr>
                <w:i/>
              </w:rPr>
              <w:t xml:space="preserve">Complete if applicable; required if team includes </w:t>
            </w:r>
            <w:proofErr w:type="spellStart"/>
            <w:r>
              <w:rPr>
                <w:i/>
              </w:rPr>
              <w:t>CmpE</w:t>
            </w:r>
            <w:proofErr w:type="spellEnd"/>
            <w:r>
              <w:rPr>
                <w:i/>
              </w:rPr>
              <w:t xml:space="preserve"> majors.</w:t>
            </w:r>
          </w:p>
        </w:tc>
        <w:tc>
          <w:tcPr>
            <w:tcW w:w="6759" w:type="dxa"/>
          </w:tcPr>
          <w:p w:rsidR="003E276E" w:rsidRDefault="00CC379C">
            <w:pPr>
              <w:rPr>
                <w:sz w:val="20"/>
                <w:szCs w:val="20"/>
              </w:rPr>
            </w:pPr>
            <w:r>
              <w:rPr>
                <w:sz w:val="20"/>
                <w:szCs w:val="20"/>
              </w:rPr>
              <w:t xml:space="preserve">Our project requires extensively developed software to ensure proper automation of altitude, communication between ground station and balloon, </w:t>
            </w:r>
            <w:proofErr w:type="gramStart"/>
            <w:r>
              <w:rPr>
                <w:sz w:val="20"/>
                <w:szCs w:val="20"/>
              </w:rPr>
              <w:t>and  proper</w:t>
            </w:r>
            <w:proofErr w:type="gramEnd"/>
            <w:r>
              <w:rPr>
                <w:sz w:val="20"/>
                <w:szCs w:val="20"/>
              </w:rPr>
              <w:t xml:space="preserve"> operation o</w:t>
            </w:r>
            <w:r>
              <w:rPr>
                <w:sz w:val="20"/>
                <w:szCs w:val="20"/>
              </w:rPr>
              <w:t>f onboard equipment. Any missed edge case in any of the three categories could lead to a catastrophic failure. Due to the nature of buying off the shelf products, our team will have to mesh the pre-existing subsystem frameworks in order to achieve our goal</w:t>
            </w:r>
            <w:r>
              <w:rPr>
                <w:sz w:val="20"/>
                <w:szCs w:val="20"/>
              </w:rPr>
              <w:t xml:space="preserve"> of an operational localized automated </w:t>
            </w:r>
            <w:proofErr w:type="gramStart"/>
            <w:r>
              <w:rPr>
                <w:sz w:val="20"/>
                <w:szCs w:val="20"/>
              </w:rPr>
              <w:t>high altitude</w:t>
            </w:r>
            <w:proofErr w:type="gramEnd"/>
            <w:r>
              <w:rPr>
                <w:sz w:val="20"/>
                <w:szCs w:val="20"/>
              </w:rPr>
              <w:t xml:space="preserve"> balloon.</w:t>
            </w:r>
          </w:p>
        </w:tc>
      </w:tr>
    </w:tbl>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p>
    <w:p w:rsidR="00CC379C" w:rsidRDefault="00CC379C">
      <w:pPr>
        <w:rPr>
          <w:sz w:val="20"/>
          <w:szCs w:val="20"/>
        </w:rPr>
      </w:pPr>
      <w:bookmarkStart w:id="3" w:name="_GoBack"/>
      <w:bookmarkEnd w:id="3"/>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rPr>
          <w:sz w:val="20"/>
          <w:szCs w:val="20"/>
        </w:rPr>
      </w:pPr>
    </w:p>
    <w:p w:rsidR="003E276E" w:rsidRDefault="003E276E">
      <w:pPr>
        <w:jc w:val="center"/>
        <w:rPr>
          <w:b/>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8"/>
        <w:gridCol w:w="6752"/>
      </w:tblGrid>
      <w:tr w:rsidR="003E276E">
        <w:trPr>
          <w:trHeight w:val="560"/>
        </w:trPr>
        <w:tc>
          <w:tcPr>
            <w:tcW w:w="2598" w:type="dxa"/>
            <w:vAlign w:val="center"/>
          </w:tcPr>
          <w:p w:rsidR="003E276E" w:rsidRDefault="00CC379C">
            <w:pPr>
              <w:rPr>
                <w:b/>
              </w:rPr>
            </w:pPr>
            <w:r>
              <w:rPr>
                <w:b/>
              </w:rPr>
              <w:lastRenderedPageBreak/>
              <w:t>Project Title</w:t>
            </w:r>
          </w:p>
        </w:tc>
        <w:tc>
          <w:tcPr>
            <w:tcW w:w="6752" w:type="dxa"/>
            <w:tcBorders>
              <w:bottom w:val="single" w:sz="4" w:space="0" w:color="000000"/>
            </w:tcBorders>
            <w:vAlign w:val="center"/>
          </w:tcPr>
          <w:p w:rsidR="003E276E" w:rsidRDefault="00CC379C">
            <w:pPr>
              <w:rPr>
                <w:sz w:val="20"/>
                <w:szCs w:val="20"/>
              </w:rPr>
            </w:pPr>
            <w:r>
              <w:rPr>
                <w:sz w:val="20"/>
                <w:szCs w:val="20"/>
              </w:rPr>
              <w:t>MITLL High Ball</w:t>
            </w:r>
          </w:p>
        </w:tc>
      </w:tr>
      <w:tr w:rsidR="003E276E">
        <w:trPr>
          <w:trHeight w:val="4020"/>
        </w:trPr>
        <w:tc>
          <w:tcPr>
            <w:tcW w:w="2598" w:type="dxa"/>
          </w:tcPr>
          <w:p w:rsidR="003E276E" w:rsidRDefault="00CC379C">
            <w:r>
              <w:t>Leadership Roles</w:t>
            </w:r>
          </w:p>
          <w:p w:rsidR="003E276E" w:rsidRDefault="00CC379C">
            <w:r>
              <w:t>(ECE4011 &amp; Forecasted for ECE4012)</w:t>
            </w:r>
          </w:p>
          <w:p w:rsidR="003E276E" w:rsidRDefault="00CC379C">
            <w:r>
              <w:t xml:space="preserve">(NOTE:  ECE4012 requires definition of additional leadership roles including: </w:t>
            </w:r>
          </w:p>
          <w:p w:rsidR="003E276E" w:rsidRDefault="00CC379C">
            <w:r>
              <w:t>1.Webmaster</w:t>
            </w:r>
          </w:p>
          <w:p w:rsidR="003E276E" w:rsidRDefault="00CC379C">
            <w:r>
              <w:t>2. Expo coordinator</w:t>
            </w:r>
          </w:p>
          <w:p w:rsidR="003E276E" w:rsidRDefault="00CC379C">
            <w:r>
              <w:t>3. Documentation</w:t>
            </w:r>
          </w:p>
        </w:tc>
        <w:tc>
          <w:tcPr>
            <w:tcW w:w="6752" w:type="dxa"/>
          </w:tcPr>
          <w:p w:rsidR="003E276E" w:rsidRDefault="00CC379C">
            <w:pPr>
              <w:rPr>
                <w:sz w:val="20"/>
                <w:szCs w:val="20"/>
              </w:rPr>
            </w:pPr>
            <w:r>
              <w:rPr>
                <w:sz w:val="20"/>
                <w:szCs w:val="20"/>
              </w:rPr>
              <w:t>Mathew Manning</w:t>
            </w:r>
          </w:p>
          <w:p w:rsidR="003E276E" w:rsidRDefault="00CC379C">
            <w:pPr>
              <w:numPr>
                <w:ilvl w:val="0"/>
                <w:numId w:val="2"/>
              </w:numPr>
              <w:contextualSpacing/>
              <w:rPr>
                <w:sz w:val="20"/>
                <w:szCs w:val="20"/>
              </w:rPr>
            </w:pPr>
            <w:r>
              <w:rPr>
                <w:sz w:val="20"/>
                <w:szCs w:val="20"/>
              </w:rPr>
              <w:t>Safety Officer and Embedded Systems Lead</w:t>
            </w:r>
          </w:p>
          <w:p w:rsidR="003E276E" w:rsidRDefault="003E276E">
            <w:pPr>
              <w:rPr>
                <w:sz w:val="20"/>
                <w:szCs w:val="20"/>
              </w:rPr>
            </w:pPr>
          </w:p>
          <w:p w:rsidR="003E276E" w:rsidRDefault="00CC379C">
            <w:pPr>
              <w:rPr>
                <w:sz w:val="20"/>
                <w:szCs w:val="20"/>
              </w:rPr>
            </w:pPr>
            <w:r>
              <w:rPr>
                <w:sz w:val="20"/>
                <w:szCs w:val="20"/>
              </w:rPr>
              <w:t>Brandon Redder</w:t>
            </w:r>
          </w:p>
          <w:p w:rsidR="003E276E" w:rsidRDefault="00CC379C">
            <w:pPr>
              <w:numPr>
                <w:ilvl w:val="0"/>
                <w:numId w:val="2"/>
              </w:numPr>
              <w:contextualSpacing/>
              <w:rPr>
                <w:sz w:val="20"/>
                <w:szCs w:val="20"/>
              </w:rPr>
            </w:pPr>
            <w:r>
              <w:rPr>
                <w:sz w:val="20"/>
                <w:szCs w:val="20"/>
              </w:rPr>
              <w:t>Webmaster, Communications Correspondent, and Hardware Assembly Lead</w:t>
            </w:r>
          </w:p>
          <w:p w:rsidR="003E276E" w:rsidRDefault="003E276E">
            <w:pPr>
              <w:rPr>
                <w:sz w:val="20"/>
                <w:szCs w:val="20"/>
              </w:rPr>
            </w:pPr>
          </w:p>
          <w:p w:rsidR="003E276E" w:rsidRDefault="00CC379C">
            <w:pPr>
              <w:rPr>
                <w:sz w:val="20"/>
                <w:szCs w:val="20"/>
              </w:rPr>
            </w:pPr>
            <w:r>
              <w:rPr>
                <w:sz w:val="20"/>
                <w:szCs w:val="20"/>
              </w:rPr>
              <w:t>David Richardson</w:t>
            </w:r>
          </w:p>
          <w:p w:rsidR="003E276E" w:rsidRDefault="00CC379C">
            <w:pPr>
              <w:numPr>
                <w:ilvl w:val="0"/>
                <w:numId w:val="6"/>
              </w:numPr>
              <w:contextualSpacing/>
              <w:rPr>
                <w:sz w:val="20"/>
                <w:szCs w:val="20"/>
              </w:rPr>
            </w:pPr>
            <w:r>
              <w:rPr>
                <w:sz w:val="20"/>
                <w:szCs w:val="20"/>
              </w:rPr>
              <w:t>Documentation and Software Lead</w:t>
            </w:r>
          </w:p>
          <w:p w:rsidR="003E276E" w:rsidRDefault="00CC379C">
            <w:pPr>
              <w:rPr>
                <w:sz w:val="20"/>
                <w:szCs w:val="20"/>
              </w:rPr>
            </w:pPr>
            <w:r>
              <w:rPr>
                <w:sz w:val="20"/>
                <w:szCs w:val="20"/>
              </w:rPr>
              <w:br/>
              <w:t>David Sanchez</w:t>
            </w:r>
          </w:p>
          <w:p w:rsidR="003E276E" w:rsidRDefault="00CC379C">
            <w:pPr>
              <w:numPr>
                <w:ilvl w:val="0"/>
                <w:numId w:val="4"/>
              </w:numPr>
              <w:contextualSpacing/>
              <w:rPr>
                <w:sz w:val="20"/>
                <w:szCs w:val="20"/>
              </w:rPr>
            </w:pPr>
            <w:r>
              <w:rPr>
                <w:sz w:val="20"/>
                <w:szCs w:val="20"/>
              </w:rPr>
              <w:t>Transportation and Communication System Lead</w:t>
            </w:r>
          </w:p>
          <w:p w:rsidR="003E276E" w:rsidRDefault="00CC379C">
            <w:pPr>
              <w:rPr>
                <w:sz w:val="20"/>
                <w:szCs w:val="20"/>
              </w:rPr>
            </w:pPr>
            <w:r>
              <w:rPr>
                <w:sz w:val="20"/>
                <w:szCs w:val="20"/>
              </w:rPr>
              <w:br/>
              <w:t>Kristine Scott</w:t>
            </w:r>
          </w:p>
          <w:p w:rsidR="003E276E" w:rsidRDefault="00CC379C">
            <w:pPr>
              <w:numPr>
                <w:ilvl w:val="0"/>
                <w:numId w:val="1"/>
              </w:numPr>
              <w:contextualSpacing/>
              <w:rPr>
                <w:sz w:val="20"/>
                <w:szCs w:val="20"/>
              </w:rPr>
            </w:pPr>
            <w:r>
              <w:rPr>
                <w:sz w:val="20"/>
                <w:szCs w:val="20"/>
              </w:rPr>
              <w:t>Expo Coordinator, GUI, and Sensor Integration Lead</w:t>
            </w:r>
          </w:p>
          <w:p w:rsidR="003E276E" w:rsidRDefault="00CC379C">
            <w:pPr>
              <w:rPr>
                <w:sz w:val="20"/>
                <w:szCs w:val="20"/>
              </w:rPr>
            </w:pPr>
            <w:r>
              <w:rPr>
                <w:sz w:val="20"/>
                <w:szCs w:val="20"/>
              </w:rPr>
              <w:br/>
              <w:t>Kyle Watters</w:t>
            </w:r>
          </w:p>
          <w:p w:rsidR="003E276E" w:rsidRDefault="00CC379C">
            <w:pPr>
              <w:numPr>
                <w:ilvl w:val="0"/>
                <w:numId w:val="3"/>
              </w:numPr>
              <w:contextualSpacing/>
              <w:rPr>
                <w:sz w:val="20"/>
                <w:szCs w:val="20"/>
              </w:rPr>
            </w:pPr>
            <w:r>
              <w:rPr>
                <w:sz w:val="20"/>
                <w:szCs w:val="20"/>
              </w:rPr>
              <w:t>Launch Preparation and Control System Lead</w:t>
            </w:r>
          </w:p>
          <w:p w:rsidR="003E276E" w:rsidRDefault="003E276E">
            <w:pPr>
              <w:spacing w:line="480" w:lineRule="auto"/>
              <w:rPr>
                <w:sz w:val="20"/>
                <w:szCs w:val="20"/>
              </w:rPr>
            </w:pPr>
          </w:p>
        </w:tc>
      </w:tr>
      <w:tr w:rsidR="003E276E">
        <w:trPr>
          <w:trHeight w:val="7540"/>
        </w:trPr>
        <w:tc>
          <w:tcPr>
            <w:tcW w:w="2598" w:type="dxa"/>
          </w:tcPr>
          <w:p w:rsidR="003E276E" w:rsidRDefault="00CC379C">
            <w:r>
              <w:t>International Program:</w:t>
            </w:r>
          </w:p>
          <w:p w:rsidR="003E276E" w:rsidRDefault="00CC379C">
            <w:r>
              <w:t>Global Issues</w:t>
            </w:r>
          </w:p>
          <w:p w:rsidR="003E276E" w:rsidRDefault="00CC379C">
            <w:r>
              <w:t>(Less than one page)</w:t>
            </w:r>
          </w:p>
          <w:p w:rsidR="003E276E" w:rsidRDefault="00CC379C">
            <w:r>
              <w:rPr>
                <w:sz w:val="20"/>
                <w:szCs w:val="20"/>
              </w:rPr>
              <w:t>(Only teams with one or more International Program participants need to complete this section)</w:t>
            </w:r>
          </w:p>
        </w:tc>
        <w:tc>
          <w:tcPr>
            <w:tcW w:w="6752" w:type="dxa"/>
          </w:tcPr>
          <w:p w:rsidR="003E276E" w:rsidRDefault="00CC379C">
            <w:pPr>
              <w:rPr>
                <w:sz w:val="20"/>
                <w:szCs w:val="20"/>
              </w:rPr>
            </w:pPr>
            <w:r>
              <w:rPr>
                <w:sz w:val="20"/>
                <w:szCs w:val="20"/>
              </w:rPr>
              <w:t>Not Applicable</w:t>
            </w:r>
          </w:p>
        </w:tc>
      </w:tr>
    </w:tbl>
    <w:p w:rsidR="003E276E" w:rsidRDefault="003E276E">
      <w:pPr>
        <w:rPr>
          <w:sz w:val="20"/>
          <w:szCs w:val="20"/>
        </w:rPr>
      </w:pPr>
    </w:p>
    <w:sectPr w:rsidR="003E276E">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39"/>
    <w:multiLevelType w:val="multilevel"/>
    <w:tmpl w:val="A2BEF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F448E"/>
    <w:multiLevelType w:val="multilevel"/>
    <w:tmpl w:val="5906C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AE67AE"/>
    <w:multiLevelType w:val="multilevel"/>
    <w:tmpl w:val="7D50E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36D08"/>
    <w:multiLevelType w:val="multilevel"/>
    <w:tmpl w:val="2980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FD5BCF"/>
    <w:multiLevelType w:val="multilevel"/>
    <w:tmpl w:val="D2523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A20BC7"/>
    <w:multiLevelType w:val="multilevel"/>
    <w:tmpl w:val="FCEED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276E"/>
    <w:rsid w:val="003E276E"/>
    <w:rsid w:val="00CC37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705"/>
  <w15:docId w15:val="{FF249B1D-62C7-403E-B4B1-1DBCDA24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ind w:left="1440" w:hanging="1440"/>
      <w:jc w:val="both"/>
      <w:outlineLvl w:val="0"/>
    </w:pPr>
    <w:rPr>
      <w:b/>
      <w:sz w:val="20"/>
      <w:szCs w:val="2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Watters, Kyle C</cp:lastModifiedBy>
  <cp:revision>2</cp:revision>
  <dcterms:created xsi:type="dcterms:W3CDTF">2018-07-21T01:37:00Z</dcterms:created>
  <dcterms:modified xsi:type="dcterms:W3CDTF">2018-07-21T01:38:00Z</dcterms:modified>
</cp:coreProperties>
</file>