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541F" w:rsidRDefault="006E541F" w:rsidP="006E541F">
      <w:pPr>
        <w:jc w:val="center"/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F3CDD6E" wp14:editId="0D07BF3F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916805" cy="1047600"/>
            <wp:effectExtent l="0" t="0" r="0" b="635"/>
            <wp:wrapSquare wrapText="bothSides"/>
            <wp:docPr id="7" name="Imagen 7" descr="Archivo:Escudo-facultad-ciencias-unam-escalable.svg - Wikipedia, la 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rchivo:Escudo-facultad-ciencias-unam-escalable.svg - Wikipedia, la  enciclopedia libr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6805" cy="104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7D409825" wp14:editId="3219AF7D">
            <wp:simplePos x="1076325" y="1343025"/>
            <wp:positionH relativeFrom="margin">
              <wp:align>left</wp:align>
            </wp:positionH>
            <wp:positionV relativeFrom="margin">
              <wp:align>top</wp:align>
            </wp:positionV>
            <wp:extent cx="1047750" cy="1047750"/>
            <wp:effectExtent l="0" t="0" r="0" b="0"/>
            <wp:wrapSquare wrapText="bothSides"/>
            <wp:docPr id="8" name="Imagen 8" descr="escudo-unam - Instituto de Ciencias de la Atmósfera y Cambio Climát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scudo-unam - Instituto de Ciencias de la Atmósfera y Cambio Climátic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28"/>
          <w:szCs w:val="28"/>
        </w:rPr>
        <w:t>UNIVERSIDAD NACIONAL AUTÓNOMA DE MÉXICO</w:t>
      </w:r>
    </w:p>
    <w:p w:rsidR="006E541F" w:rsidRDefault="006E541F" w:rsidP="006E541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FACULTAD DE CIENCIAS</w:t>
      </w:r>
    </w:p>
    <w:p w:rsidR="006E541F" w:rsidRDefault="006E541F" w:rsidP="006E541F">
      <w:pPr>
        <w:jc w:val="center"/>
        <w:rPr>
          <w:b/>
          <w:sz w:val="28"/>
          <w:szCs w:val="28"/>
        </w:rPr>
      </w:pPr>
    </w:p>
    <w:p w:rsidR="006E541F" w:rsidRDefault="006E541F" w:rsidP="006E541F">
      <w:pPr>
        <w:jc w:val="center"/>
        <w:rPr>
          <w:b/>
          <w:sz w:val="28"/>
          <w:szCs w:val="28"/>
        </w:rPr>
      </w:pPr>
    </w:p>
    <w:p w:rsidR="006E541F" w:rsidRDefault="006E541F" w:rsidP="006E541F">
      <w:pPr>
        <w:jc w:val="center"/>
        <w:rPr>
          <w:b/>
          <w:sz w:val="28"/>
          <w:szCs w:val="28"/>
        </w:rPr>
      </w:pPr>
    </w:p>
    <w:p w:rsidR="006E541F" w:rsidRDefault="006E541F" w:rsidP="006E541F">
      <w:pPr>
        <w:rPr>
          <w:b/>
          <w:sz w:val="28"/>
          <w:szCs w:val="28"/>
        </w:rPr>
      </w:pPr>
    </w:p>
    <w:p w:rsidR="006E541F" w:rsidRPr="00E9380A" w:rsidRDefault="006E541F" w:rsidP="006E541F">
      <w:pPr>
        <w:jc w:val="center"/>
        <w:rPr>
          <w:b/>
          <w:sz w:val="32"/>
          <w:szCs w:val="28"/>
        </w:rPr>
      </w:pPr>
      <w:r w:rsidRPr="00E9380A">
        <w:rPr>
          <w:b/>
          <w:sz w:val="32"/>
          <w:szCs w:val="28"/>
        </w:rPr>
        <w:t>A</w:t>
      </w:r>
      <w:r>
        <w:rPr>
          <w:b/>
          <w:sz w:val="32"/>
          <w:szCs w:val="28"/>
        </w:rPr>
        <w:t>dministración de Riesgos Financieros</w:t>
      </w:r>
    </w:p>
    <w:p w:rsidR="006E541F" w:rsidRPr="00E9380A" w:rsidRDefault="006E541F" w:rsidP="006E541F">
      <w:pPr>
        <w:jc w:val="center"/>
        <w:rPr>
          <w:b/>
          <w:sz w:val="32"/>
          <w:szCs w:val="28"/>
        </w:rPr>
      </w:pPr>
    </w:p>
    <w:p w:rsidR="006E541F" w:rsidRDefault="006E541F" w:rsidP="006E541F">
      <w:pPr>
        <w:jc w:val="center"/>
        <w:rPr>
          <w:b/>
          <w:sz w:val="32"/>
          <w:szCs w:val="28"/>
        </w:rPr>
      </w:pPr>
    </w:p>
    <w:p w:rsidR="006E541F" w:rsidRPr="00E9380A" w:rsidRDefault="006E541F" w:rsidP="006E541F">
      <w:pPr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>Tarea 1 – Simulación Histórica</w:t>
      </w:r>
    </w:p>
    <w:p w:rsidR="006E541F" w:rsidRPr="00E9380A" w:rsidRDefault="006E541F" w:rsidP="006E541F">
      <w:pPr>
        <w:jc w:val="center"/>
        <w:rPr>
          <w:b/>
          <w:sz w:val="32"/>
          <w:szCs w:val="28"/>
        </w:rPr>
      </w:pPr>
    </w:p>
    <w:p w:rsidR="006E541F" w:rsidRPr="00E9380A" w:rsidRDefault="006E541F" w:rsidP="006E541F">
      <w:pPr>
        <w:jc w:val="center"/>
        <w:rPr>
          <w:b/>
          <w:sz w:val="32"/>
          <w:szCs w:val="28"/>
        </w:rPr>
      </w:pPr>
    </w:p>
    <w:p w:rsidR="006E541F" w:rsidRDefault="006E541F" w:rsidP="006E541F">
      <w:pPr>
        <w:jc w:val="center"/>
        <w:rPr>
          <w:sz w:val="32"/>
          <w:szCs w:val="28"/>
        </w:rPr>
      </w:pPr>
      <w:r>
        <w:rPr>
          <w:b/>
          <w:sz w:val="32"/>
          <w:szCs w:val="28"/>
        </w:rPr>
        <w:t>Profesor</w:t>
      </w:r>
      <w:r w:rsidRPr="00E9380A">
        <w:rPr>
          <w:b/>
          <w:sz w:val="32"/>
          <w:szCs w:val="28"/>
        </w:rPr>
        <w:t xml:space="preserve">: </w:t>
      </w:r>
      <w:r>
        <w:rPr>
          <w:sz w:val="32"/>
          <w:szCs w:val="28"/>
        </w:rPr>
        <w:t>Christian Gabriel Miranda Ruiz</w:t>
      </w:r>
    </w:p>
    <w:p w:rsidR="006E541F" w:rsidRDefault="006E541F" w:rsidP="006E541F">
      <w:pPr>
        <w:jc w:val="center"/>
        <w:rPr>
          <w:sz w:val="32"/>
          <w:szCs w:val="28"/>
        </w:rPr>
      </w:pPr>
      <w:r>
        <w:rPr>
          <w:b/>
          <w:sz w:val="32"/>
          <w:szCs w:val="28"/>
        </w:rPr>
        <w:t xml:space="preserve">Ayudante: </w:t>
      </w:r>
      <w:r>
        <w:rPr>
          <w:sz w:val="32"/>
          <w:szCs w:val="28"/>
        </w:rPr>
        <w:t>Miguel Ángel Parra Ramírez</w:t>
      </w:r>
    </w:p>
    <w:p w:rsidR="006E541F" w:rsidRPr="006E541F" w:rsidRDefault="006E541F" w:rsidP="006E541F">
      <w:pPr>
        <w:jc w:val="center"/>
        <w:rPr>
          <w:sz w:val="32"/>
          <w:szCs w:val="28"/>
        </w:rPr>
      </w:pPr>
    </w:p>
    <w:p w:rsidR="006E541F" w:rsidRDefault="006E541F" w:rsidP="006E541F">
      <w:pPr>
        <w:jc w:val="center"/>
        <w:rPr>
          <w:sz w:val="32"/>
          <w:szCs w:val="28"/>
        </w:rPr>
      </w:pPr>
      <w:r w:rsidRPr="00E9380A">
        <w:rPr>
          <w:b/>
          <w:sz w:val="32"/>
          <w:szCs w:val="28"/>
        </w:rPr>
        <w:t>Alumno</w:t>
      </w:r>
      <w:r>
        <w:rPr>
          <w:b/>
          <w:sz w:val="32"/>
          <w:szCs w:val="28"/>
        </w:rPr>
        <w:t>s</w:t>
      </w:r>
      <w:r w:rsidRPr="00E9380A">
        <w:rPr>
          <w:b/>
          <w:sz w:val="32"/>
          <w:szCs w:val="28"/>
        </w:rPr>
        <w:t>:</w:t>
      </w:r>
    </w:p>
    <w:p w:rsidR="006E541F" w:rsidRDefault="006E541F" w:rsidP="006E541F">
      <w:pPr>
        <w:jc w:val="center"/>
        <w:rPr>
          <w:sz w:val="32"/>
          <w:szCs w:val="28"/>
        </w:rPr>
      </w:pPr>
      <w:r>
        <w:rPr>
          <w:sz w:val="32"/>
          <w:szCs w:val="28"/>
        </w:rPr>
        <w:t>Gutiérrez Díaz Astrid</w:t>
      </w:r>
    </w:p>
    <w:p w:rsidR="006E541F" w:rsidRDefault="006E541F" w:rsidP="006E541F">
      <w:pPr>
        <w:jc w:val="center"/>
        <w:rPr>
          <w:sz w:val="32"/>
          <w:szCs w:val="28"/>
        </w:rPr>
      </w:pPr>
      <w:r>
        <w:rPr>
          <w:sz w:val="32"/>
          <w:szCs w:val="28"/>
        </w:rPr>
        <w:t>Gutiérrez Nava Brandon Roberto</w:t>
      </w:r>
    </w:p>
    <w:p w:rsidR="006E541F" w:rsidRDefault="006E541F" w:rsidP="006E541F">
      <w:pPr>
        <w:jc w:val="center"/>
        <w:rPr>
          <w:sz w:val="32"/>
          <w:szCs w:val="28"/>
        </w:rPr>
      </w:pPr>
      <w:r>
        <w:rPr>
          <w:sz w:val="32"/>
          <w:szCs w:val="28"/>
        </w:rPr>
        <w:t>Ríos Galván Carlos Fernando</w:t>
      </w:r>
    </w:p>
    <w:p w:rsidR="006E541F" w:rsidRPr="00E9380A" w:rsidRDefault="006E541F" w:rsidP="006E541F">
      <w:pPr>
        <w:jc w:val="center"/>
        <w:rPr>
          <w:b/>
          <w:sz w:val="32"/>
          <w:szCs w:val="28"/>
        </w:rPr>
      </w:pPr>
      <w:r w:rsidRPr="00E9380A">
        <w:rPr>
          <w:b/>
          <w:sz w:val="32"/>
          <w:szCs w:val="28"/>
        </w:rPr>
        <w:t xml:space="preserve"> </w:t>
      </w:r>
    </w:p>
    <w:p w:rsidR="006E541F" w:rsidRDefault="006E541F">
      <w:pPr>
        <w:jc w:val="center"/>
        <w:rPr>
          <w:b/>
        </w:rPr>
      </w:pPr>
    </w:p>
    <w:p w:rsidR="006E541F" w:rsidRDefault="006E541F">
      <w:pPr>
        <w:rPr>
          <w:b/>
        </w:rPr>
      </w:pPr>
      <w:r>
        <w:rPr>
          <w:b/>
        </w:rPr>
        <w:br w:type="page"/>
      </w:r>
    </w:p>
    <w:p w:rsidR="004C15DC" w:rsidRPr="006E541F" w:rsidRDefault="006E541F">
      <w:pPr>
        <w:jc w:val="center"/>
        <w:rPr>
          <w:b/>
          <w:sz w:val="24"/>
        </w:rPr>
      </w:pPr>
      <w:r w:rsidRPr="006E541F">
        <w:rPr>
          <w:b/>
          <w:sz w:val="24"/>
        </w:rPr>
        <w:lastRenderedPageBreak/>
        <w:t xml:space="preserve">Comparación </w:t>
      </w:r>
      <w:proofErr w:type="spellStart"/>
      <w:r w:rsidRPr="006E541F">
        <w:rPr>
          <w:b/>
          <w:sz w:val="24"/>
        </w:rPr>
        <w:t>VaR</w:t>
      </w:r>
      <w:proofErr w:type="spellEnd"/>
      <w:r w:rsidRPr="006E541F">
        <w:rPr>
          <w:b/>
          <w:sz w:val="24"/>
        </w:rPr>
        <w:t xml:space="preserve"> y </w:t>
      </w:r>
      <w:proofErr w:type="spellStart"/>
      <w:r w:rsidRPr="006E541F">
        <w:rPr>
          <w:b/>
          <w:sz w:val="24"/>
        </w:rPr>
        <w:t>CVar</w:t>
      </w:r>
      <w:proofErr w:type="spellEnd"/>
      <w:r w:rsidRPr="006E541F">
        <w:rPr>
          <w:b/>
          <w:sz w:val="24"/>
        </w:rPr>
        <w:t xml:space="preserve"> del portafolio</w:t>
      </w:r>
    </w:p>
    <w:p w:rsidR="004C15DC" w:rsidRPr="006E541F" w:rsidRDefault="004C15DC">
      <w:pPr>
        <w:jc w:val="center"/>
        <w:rPr>
          <w:sz w:val="24"/>
        </w:rPr>
      </w:pPr>
    </w:p>
    <w:p w:rsidR="004C15DC" w:rsidRPr="006E541F" w:rsidRDefault="006E541F">
      <w:pPr>
        <w:numPr>
          <w:ilvl w:val="0"/>
          <w:numId w:val="2"/>
        </w:numPr>
        <w:jc w:val="both"/>
        <w:rPr>
          <w:sz w:val="24"/>
        </w:rPr>
      </w:pPr>
      <w:r w:rsidRPr="006E541F">
        <w:rPr>
          <w:b/>
          <w:sz w:val="24"/>
        </w:rPr>
        <w:t>Acciones:</w:t>
      </w:r>
      <w:r w:rsidRPr="006E541F">
        <w:rPr>
          <w:sz w:val="24"/>
        </w:rPr>
        <w:t xml:space="preserve"> Notamos que los valores del </w:t>
      </w:r>
      <w:proofErr w:type="spellStart"/>
      <w:r w:rsidRPr="006E541F">
        <w:rPr>
          <w:sz w:val="24"/>
        </w:rPr>
        <w:t>CVar</w:t>
      </w:r>
      <w:proofErr w:type="spellEnd"/>
      <w:r w:rsidRPr="006E541F">
        <w:rPr>
          <w:sz w:val="24"/>
        </w:rPr>
        <w:t xml:space="preserve"> tienen una estimación de pérdida más alta en comparación del </w:t>
      </w:r>
      <w:proofErr w:type="spellStart"/>
      <w:r w:rsidRPr="006E541F">
        <w:rPr>
          <w:sz w:val="24"/>
        </w:rPr>
        <w:t>VaR</w:t>
      </w:r>
      <w:proofErr w:type="spellEnd"/>
      <w:r w:rsidRPr="006E541F">
        <w:rPr>
          <w:sz w:val="24"/>
        </w:rPr>
        <w:t xml:space="preserve">, de manera general. Por ejemplo, en la acción </w:t>
      </w:r>
      <w:proofErr w:type="spellStart"/>
      <w:r w:rsidRPr="006E541F">
        <w:rPr>
          <w:sz w:val="24"/>
        </w:rPr>
        <w:t>GCarso</w:t>
      </w:r>
      <w:proofErr w:type="spellEnd"/>
      <w:r w:rsidRPr="006E541F">
        <w:rPr>
          <w:sz w:val="24"/>
        </w:rPr>
        <w:t xml:space="preserve">, la diferencia es de $2,226.29, comparando el </w:t>
      </w:r>
      <w:proofErr w:type="spellStart"/>
      <w:r w:rsidRPr="006E541F">
        <w:rPr>
          <w:sz w:val="24"/>
        </w:rPr>
        <w:t>CVaR</w:t>
      </w:r>
      <w:proofErr w:type="spellEnd"/>
      <w:r w:rsidRPr="006E541F">
        <w:rPr>
          <w:sz w:val="24"/>
        </w:rPr>
        <w:t xml:space="preserve"> y </w:t>
      </w:r>
      <w:proofErr w:type="spellStart"/>
      <w:r w:rsidRPr="006E541F">
        <w:rPr>
          <w:sz w:val="24"/>
        </w:rPr>
        <w:t>VaR</w:t>
      </w:r>
      <w:proofErr w:type="spellEnd"/>
      <w:r w:rsidRPr="006E541F">
        <w:rPr>
          <w:sz w:val="24"/>
        </w:rPr>
        <w:t xml:space="preserve"> sin alisado. Esto se mantiene incluso en el </w:t>
      </w:r>
      <w:proofErr w:type="spellStart"/>
      <w:r w:rsidRPr="006E541F">
        <w:rPr>
          <w:sz w:val="24"/>
        </w:rPr>
        <w:t>VaR</w:t>
      </w:r>
      <w:proofErr w:type="spellEnd"/>
      <w:r w:rsidRPr="006E541F">
        <w:rPr>
          <w:sz w:val="24"/>
        </w:rPr>
        <w:t xml:space="preserve"> del factor de riesgo total de acciones, donde el </w:t>
      </w:r>
      <w:proofErr w:type="spellStart"/>
      <w:r w:rsidRPr="006E541F">
        <w:rPr>
          <w:sz w:val="24"/>
        </w:rPr>
        <w:t>CVaR</w:t>
      </w:r>
      <w:proofErr w:type="spellEnd"/>
      <w:r w:rsidRPr="006E541F">
        <w:rPr>
          <w:sz w:val="24"/>
        </w:rPr>
        <w:t xml:space="preserve"> sin alisado es mayor que el </w:t>
      </w:r>
      <w:proofErr w:type="spellStart"/>
      <w:r w:rsidRPr="006E541F">
        <w:rPr>
          <w:sz w:val="24"/>
        </w:rPr>
        <w:t>VaR</w:t>
      </w:r>
      <w:proofErr w:type="spellEnd"/>
      <w:r w:rsidRPr="006E541F">
        <w:rPr>
          <w:sz w:val="24"/>
        </w:rPr>
        <w:t xml:space="preserve"> sin alisado por $2,085.69. Notamos lo mismo con el </w:t>
      </w:r>
      <w:proofErr w:type="spellStart"/>
      <w:r w:rsidRPr="006E541F">
        <w:rPr>
          <w:sz w:val="24"/>
        </w:rPr>
        <w:t>VaR</w:t>
      </w:r>
      <w:proofErr w:type="spellEnd"/>
      <w:r w:rsidRPr="006E541F">
        <w:rPr>
          <w:sz w:val="24"/>
        </w:rPr>
        <w:t xml:space="preserve"> con alisado, es menor que el sin alisado, pero el </w:t>
      </w:r>
      <w:proofErr w:type="spellStart"/>
      <w:r w:rsidRPr="006E541F">
        <w:rPr>
          <w:sz w:val="24"/>
        </w:rPr>
        <w:t>CVaR</w:t>
      </w:r>
      <w:proofErr w:type="spellEnd"/>
      <w:r w:rsidRPr="006E541F">
        <w:rPr>
          <w:sz w:val="24"/>
        </w:rPr>
        <w:t xml:space="preserve"> con alisado sigue siendo mayor que el </w:t>
      </w:r>
      <w:proofErr w:type="spellStart"/>
      <w:r w:rsidRPr="006E541F">
        <w:rPr>
          <w:sz w:val="24"/>
        </w:rPr>
        <w:t>VaR</w:t>
      </w:r>
      <w:proofErr w:type="spellEnd"/>
      <w:r w:rsidRPr="006E541F">
        <w:rPr>
          <w:sz w:val="24"/>
        </w:rPr>
        <w:t xml:space="preserve"> con alisado</w:t>
      </w:r>
    </w:p>
    <w:p w:rsidR="004C15DC" w:rsidRPr="006E541F" w:rsidRDefault="006E541F">
      <w:pPr>
        <w:numPr>
          <w:ilvl w:val="0"/>
          <w:numId w:val="2"/>
        </w:numPr>
        <w:jc w:val="both"/>
        <w:rPr>
          <w:sz w:val="24"/>
        </w:rPr>
      </w:pPr>
      <w:r w:rsidRPr="006E541F">
        <w:rPr>
          <w:b/>
          <w:sz w:val="24"/>
        </w:rPr>
        <w:t>Divis</w:t>
      </w:r>
      <w:r w:rsidRPr="006E541F">
        <w:rPr>
          <w:b/>
          <w:sz w:val="24"/>
        </w:rPr>
        <w:t>as:</w:t>
      </w:r>
      <w:r w:rsidRPr="006E541F">
        <w:rPr>
          <w:sz w:val="24"/>
        </w:rPr>
        <w:t xml:space="preserve"> El efecto anterior de las acciones, se repite de manera particular en cada divisa, pues el </w:t>
      </w:r>
      <w:proofErr w:type="spellStart"/>
      <w:r w:rsidRPr="006E541F">
        <w:rPr>
          <w:sz w:val="24"/>
        </w:rPr>
        <w:t>CVaR</w:t>
      </w:r>
      <w:proofErr w:type="spellEnd"/>
      <w:r w:rsidRPr="006E541F">
        <w:rPr>
          <w:sz w:val="24"/>
        </w:rPr>
        <w:t xml:space="preserve"> sin alisado es mayor que el </w:t>
      </w:r>
      <w:proofErr w:type="spellStart"/>
      <w:r w:rsidRPr="006E541F">
        <w:rPr>
          <w:sz w:val="24"/>
        </w:rPr>
        <w:t>VaR</w:t>
      </w:r>
      <w:proofErr w:type="spellEnd"/>
      <w:r w:rsidRPr="006E541F">
        <w:rPr>
          <w:sz w:val="24"/>
        </w:rPr>
        <w:t xml:space="preserve"> sin alisado, al igual que el </w:t>
      </w:r>
      <w:proofErr w:type="spellStart"/>
      <w:r w:rsidRPr="006E541F">
        <w:rPr>
          <w:sz w:val="24"/>
        </w:rPr>
        <w:t>CVaR</w:t>
      </w:r>
      <w:proofErr w:type="spellEnd"/>
      <w:r w:rsidRPr="006E541F">
        <w:rPr>
          <w:sz w:val="24"/>
        </w:rPr>
        <w:t xml:space="preserve"> con alisado es mayor que el </w:t>
      </w:r>
      <w:proofErr w:type="spellStart"/>
      <w:r w:rsidRPr="006E541F">
        <w:rPr>
          <w:sz w:val="24"/>
        </w:rPr>
        <w:t>VaR</w:t>
      </w:r>
      <w:proofErr w:type="spellEnd"/>
      <w:r w:rsidRPr="006E541F">
        <w:rPr>
          <w:sz w:val="24"/>
        </w:rPr>
        <w:t xml:space="preserve"> con alisado. Sin embargo, en el caso general, es decir, de</w:t>
      </w:r>
      <w:r w:rsidRPr="006E541F">
        <w:rPr>
          <w:sz w:val="24"/>
        </w:rPr>
        <w:t xml:space="preserve">l total de las divisas, el </w:t>
      </w:r>
      <w:proofErr w:type="spellStart"/>
      <w:r w:rsidRPr="006E541F">
        <w:rPr>
          <w:sz w:val="24"/>
        </w:rPr>
        <w:t>CVaR</w:t>
      </w:r>
      <w:proofErr w:type="spellEnd"/>
      <w:r w:rsidRPr="006E541F">
        <w:rPr>
          <w:sz w:val="24"/>
        </w:rPr>
        <w:t xml:space="preserve"> sin alisado es menor que el </w:t>
      </w:r>
      <w:proofErr w:type="spellStart"/>
      <w:r w:rsidRPr="006E541F">
        <w:rPr>
          <w:sz w:val="24"/>
        </w:rPr>
        <w:t>CVaR</w:t>
      </w:r>
      <w:proofErr w:type="spellEnd"/>
      <w:r w:rsidRPr="006E541F">
        <w:rPr>
          <w:sz w:val="24"/>
        </w:rPr>
        <w:t xml:space="preserve"> con alisado, lo mismo pasa con el </w:t>
      </w:r>
      <w:proofErr w:type="spellStart"/>
      <w:r w:rsidRPr="006E541F">
        <w:rPr>
          <w:sz w:val="24"/>
        </w:rPr>
        <w:t>VaR</w:t>
      </w:r>
      <w:proofErr w:type="spellEnd"/>
      <w:r w:rsidRPr="006E541F">
        <w:rPr>
          <w:sz w:val="24"/>
        </w:rPr>
        <w:t xml:space="preserve">, el alisado es mayor que el sin alisar. </w:t>
      </w:r>
    </w:p>
    <w:p w:rsidR="004C15DC" w:rsidRPr="006E541F" w:rsidRDefault="006E541F">
      <w:pPr>
        <w:ind w:left="720"/>
        <w:jc w:val="both"/>
        <w:rPr>
          <w:sz w:val="24"/>
        </w:rPr>
      </w:pPr>
      <w:r w:rsidRPr="006E541F">
        <w:rPr>
          <w:sz w:val="24"/>
        </w:rPr>
        <w:t xml:space="preserve"> Por ejemplo, para el caso particular de las divisas, el </w:t>
      </w:r>
      <w:proofErr w:type="spellStart"/>
      <w:r w:rsidRPr="006E541F">
        <w:rPr>
          <w:sz w:val="24"/>
        </w:rPr>
        <w:t>VaR</w:t>
      </w:r>
      <w:proofErr w:type="spellEnd"/>
      <w:r w:rsidRPr="006E541F">
        <w:rPr>
          <w:sz w:val="24"/>
        </w:rPr>
        <w:t xml:space="preserve"> sin alisado de la posición de euros es de $306.55, </w:t>
      </w:r>
      <w:r w:rsidRPr="006E541F">
        <w:rPr>
          <w:sz w:val="24"/>
        </w:rPr>
        <w:t xml:space="preserve">mientras que el </w:t>
      </w:r>
      <w:proofErr w:type="spellStart"/>
      <w:r w:rsidRPr="006E541F">
        <w:rPr>
          <w:sz w:val="24"/>
        </w:rPr>
        <w:t>Cvar</w:t>
      </w:r>
      <w:proofErr w:type="spellEnd"/>
      <w:r w:rsidRPr="006E541F">
        <w:rPr>
          <w:sz w:val="24"/>
        </w:rPr>
        <w:t xml:space="preserve"> es de $446.89, el cual es mayor.</w:t>
      </w:r>
    </w:p>
    <w:p w:rsidR="004C15DC" w:rsidRPr="006E541F" w:rsidRDefault="006E541F">
      <w:pPr>
        <w:numPr>
          <w:ilvl w:val="0"/>
          <w:numId w:val="2"/>
        </w:numPr>
        <w:jc w:val="both"/>
        <w:rPr>
          <w:b/>
          <w:sz w:val="24"/>
        </w:rPr>
      </w:pPr>
      <w:r w:rsidRPr="006E541F">
        <w:rPr>
          <w:b/>
          <w:sz w:val="24"/>
        </w:rPr>
        <w:t>Bonos:</w:t>
      </w:r>
    </w:p>
    <w:p w:rsidR="004C15DC" w:rsidRPr="006E541F" w:rsidRDefault="006E541F">
      <w:pPr>
        <w:numPr>
          <w:ilvl w:val="0"/>
          <w:numId w:val="3"/>
        </w:numPr>
        <w:jc w:val="both"/>
        <w:rPr>
          <w:sz w:val="24"/>
        </w:rPr>
      </w:pPr>
      <w:r w:rsidRPr="006E541F">
        <w:rPr>
          <w:sz w:val="24"/>
        </w:rPr>
        <w:t xml:space="preserve">Cete: El </w:t>
      </w:r>
      <w:proofErr w:type="spellStart"/>
      <w:r w:rsidRPr="006E541F">
        <w:rPr>
          <w:sz w:val="24"/>
        </w:rPr>
        <w:t>VaR</w:t>
      </w:r>
      <w:proofErr w:type="spellEnd"/>
      <w:r w:rsidRPr="006E541F">
        <w:rPr>
          <w:sz w:val="24"/>
        </w:rPr>
        <w:t xml:space="preserve"> de este instrumento es pequeño, ya que se toma en cuenta la tasa gubernamental y se comporta de la misma forma.</w:t>
      </w:r>
    </w:p>
    <w:p w:rsidR="004C15DC" w:rsidRPr="006E541F" w:rsidRDefault="006E541F">
      <w:pPr>
        <w:numPr>
          <w:ilvl w:val="0"/>
          <w:numId w:val="1"/>
        </w:numPr>
        <w:jc w:val="both"/>
        <w:rPr>
          <w:sz w:val="24"/>
        </w:rPr>
      </w:pPr>
      <w:r w:rsidRPr="006E541F">
        <w:rPr>
          <w:sz w:val="24"/>
        </w:rPr>
        <w:t>Bono M: El caso del bono M es particular, ya que la tasa está fija y n</w:t>
      </w:r>
      <w:r w:rsidRPr="006E541F">
        <w:rPr>
          <w:sz w:val="24"/>
        </w:rPr>
        <w:t xml:space="preserve">o hay un riesgo, porque sabemos cómo va a evolucionar en cada periodo de </w:t>
      </w:r>
      <w:proofErr w:type="spellStart"/>
      <w:r w:rsidRPr="006E541F">
        <w:rPr>
          <w:sz w:val="24"/>
        </w:rPr>
        <w:t>tiempo</w:t>
      </w:r>
      <w:proofErr w:type="gramStart"/>
      <w:r w:rsidRPr="006E541F">
        <w:rPr>
          <w:sz w:val="24"/>
        </w:rPr>
        <w:t>,por</w:t>
      </w:r>
      <w:proofErr w:type="spellEnd"/>
      <w:proofErr w:type="gramEnd"/>
      <w:r w:rsidRPr="006E541F">
        <w:rPr>
          <w:sz w:val="24"/>
        </w:rPr>
        <w:t xml:space="preserve"> lo que no tiene sentido hacer el cálculo del </w:t>
      </w:r>
      <w:proofErr w:type="spellStart"/>
      <w:r w:rsidRPr="006E541F">
        <w:rPr>
          <w:sz w:val="24"/>
        </w:rPr>
        <w:t>VaR</w:t>
      </w:r>
      <w:proofErr w:type="spellEnd"/>
      <w:r w:rsidRPr="006E541F">
        <w:rPr>
          <w:sz w:val="24"/>
        </w:rPr>
        <w:t xml:space="preserve"> y </w:t>
      </w:r>
      <w:proofErr w:type="spellStart"/>
      <w:r w:rsidRPr="006E541F">
        <w:rPr>
          <w:sz w:val="24"/>
        </w:rPr>
        <w:t>CVaR</w:t>
      </w:r>
      <w:proofErr w:type="spellEnd"/>
      <w:r w:rsidRPr="006E541F">
        <w:rPr>
          <w:sz w:val="24"/>
        </w:rPr>
        <w:t xml:space="preserve">. </w:t>
      </w:r>
    </w:p>
    <w:p w:rsidR="004C15DC" w:rsidRPr="006E541F" w:rsidRDefault="006E541F">
      <w:pPr>
        <w:numPr>
          <w:ilvl w:val="0"/>
          <w:numId w:val="2"/>
        </w:numPr>
        <w:jc w:val="both"/>
        <w:rPr>
          <w:sz w:val="24"/>
        </w:rPr>
      </w:pPr>
      <w:r w:rsidRPr="006E541F">
        <w:rPr>
          <w:b/>
          <w:sz w:val="24"/>
        </w:rPr>
        <w:t>Swaps:</w:t>
      </w:r>
      <w:r w:rsidRPr="006E541F">
        <w:rPr>
          <w:sz w:val="24"/>
        </w:rPr>
        <w:t xml:space="preserve"> El </w:t>
      </w:r>
      <w:proofErr w:type="spellStart"/>
      <w:r w:rsidRPr="006E541F">
        <w:rPr>
          <w:sz w:val="24"/>
        </w:rPr>
        <w:t>CVaR</w:t>
      </w:r>
      <w:proofErr w:type="spellEnd"/>
      <w:r w:rsidRPr="006E541F">
        <w:rPr>
          <w:sz w:val="24"/>
        </w:rPr>
        <w:t xml:space="preserve"> es bastante más alto, en este caso las posibles pérdidas son muy altas, debido a la gran cantidad d</w:t>
      </w:r>
      <w:r w:rsidRPr="006E541F">
        <w:rPr>
          <w:sz w:val="24"/>
        </w:rPr>
        <w:t>e contratos que se están contemplando.</w:t>
      </w:r>
    </w:p>
    <w:p w:rsidR="004C15DC" w:rsidRPr="006E541F" w:rsidRDefault="006E541F">
      <w:pPr>
        <w:numPr>
          <w:ilvl w:val="0"/>
          <w:numId w:val="2"/>
        </w:numPr>
        <w:jc w:val="both"/>
        <w:rPr>
          <w:sz w:val="24"/>
        </w:rPr>
      </w:pPr>
      <w:r w:rsidRPr="006E541F">
        <w:rPr>
          <w:b/>
          <w:sz w:val="24"/>
        </w:rPr>
        <w:t>Opciones:</w:t>
      </w:r>
      <w:r w:rsidRPr="006E541F">
        <w:rPr>
          <w:sz w:val="24"/>
        </w:rPr>
        <w:t xml:space="preserve"> Por la naturaleza de las opciones, los valores obtenidos aquí son muy pequeños, todos son muy cercanos a cero.</w:t>
      </w:r>
    </w:p>
    <w:p w:rsidR="004C15DC" w:rsidRPr="006E541F" w:rsidRDefault="004C15DC">
      <w:pPr>
        <w:ind w:left="720"/>
        <w:rPr>
          <w:sz w:val="24"/>
        </w:rPr>
      </w:pPr>
    </w:p>
    <w:p w:rsidR="004C15DC" w:rsidRPr="006E541F" w:rsidRDefault="006E541F">
      <w:pPr>
        <w:ind w:left="720"/>
        <w:jc w:val="center"/>
        <w:rPr>
          <w:sz w:val="24"/>
        </w:rPr>
      </w:pPr>
      <w:r w:rsidRPr="006E541F">
        <w:rPr>
          <w:b/>
          <w:sz w:val="24"/>
        </w:rPr>
        <w:t>Análisis</w:t>
      </w:r>
    </w:p>
    <w:p w:rsidR="004C15DC" w:rsidRPr="006E541F" w:rsidRDefault="006E541F">
      <w:pPr>
        <w:ind w:left="720"/>
        <w:jc w:val="both"/>
        <w:rPr>
          <w:sz w:val="24"/>
        </w:rPr>
      </w:pPr>
      <w:r w:rsidRPr="006E541F">
        <w:rPr>
          <w:sz w:val="24"/>
        </w:rPr>
        <w:t>Gran parte de nuestro portafolio está compuesto por Swaps, estos representan un gran p</w:t>
      </w:r>
      <w:r w:rsidRPr="006E541F">
        <w:rPr>
          <w:sz w:val="24"/>
        </w:rPr>
        <w:t>orcentaje en comparación con los demás instrumentos. Tanto el Swap largo como el corto, forman en conjunto más del 50% de nuestro portafolio. Mientras que el que tiene una menor valoración son las opciones. Así como se puede ver en la siguiente gráfica:</w:t>
      </w:r>
    </w:p>
    <w:p w:rsidR="004C15DC" w:rsidRPr="006E541F" w:rsidRDefault="006E541F">
      <w:pPr>
        <w:ind w:left="720"/>
        <w:jc w:val="center"/>
        <w:rPr>
          <w:sz w:val="24"/>
        </w:rPr>
      </w:pPr>
      <w:r w:rsidRPr="006E541F">
        <w:rPr>
          <w:noProof/>
          <w:sz w:val="24"/>
          <w:lang w:val="es-MX"/>
        </w:rPr>
        <w:lastRenderedPageBreak/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page">
              <wp:posOffset>1955800</wp:posOffset>
            </wp:positionH>
            <wp:positionV relativeFrom="page">
              <wp:posOffset>6975227</wp:posOffset>
            </wp:positionV>
            <wp:extent cx="3933825" cy="2405321"/>
            <wp:effectExtent l="0" t="0" r="0" b="0"/>
            <wp:wrapTopAndBottom distT="114300" distB="11430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4053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4C15DC" w:rsidRPr="006E541F" w:rsidRDefault="006E541F">
      <w:pPr>
        <w:ind w:left="720"/>
        <w:jc w:val="both"/>
        <w:rPr>
          <w:sz w:val="24"/>
        </w:rPr>
      </w:pPr>
      <w:r w:rsidRPr="006E541F">
        <w:rPr>
          <w:sz w:val="24"/>
        </w:rPr>
        <w:t xml:space="preserve">Dado que los Swaps representan un gran tamaño de nuestro portafolio y por la naturaleza del instrumento, estos también tienen un mayor </w:t>
      </w:r>
      <w:proofErr w:type="spellStart"/>
      <w:r w:rsidRPr="006E541F">
        <w:rPr>
          <w:sz w:val="24"/>
        </w:rPr>
        <w:t>VaR</w:t>
      </w:r>
      <w:proofErr w:type="spellEnd"/>
      <w:r w:rsidRPr="006E541F">
        <w:rPr>
          <w:sz w:val="24"/>
        </w:rPr>
        <w:t xml:space="preserve"> en comparación con los demás. Como se muestra en la siguiente gráfica</w:t>
      </w:r>
    </w:p>
    <w:p w:rsidR="004C15DC" w:rsidRPr="006E541F" w:rsidRDefault="006E541F">
      <w:pPr>
        <w:ind w:left="720"/>
        <w:jc w:val="both"/>
        <w:rPr>
          <w:sz w:val="24"/>
        </w:rPr>
      </w:pPr>
      <w:r w:rsidRPr="006E541F">
        <w:rPr>
          <w:noProof/>
          <w:sz w:val="24"/>
          <w:lang w:val="es-MX"/>
        </w:rPr>
        <w:drawing>
          <wp:inline distT="114300" distB="114300" distL="114300" distR="114300">
            <wp:extent cx="5731200" cy="3454400"/>
            <wp:effectExtent l="0" t="0" r="0" b="0"/>
            <wp:docPr id="1" name="image4.png" descr="Gráfic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Gráfico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5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C15DC" w:rsidRPr="006E541F" w:rsidRDefault="006E541F">
      <w:pPr>
        <w:ind w:left="720"/>
        <w:jc w:val="both"/>
        <w:rPr>
          <w:sz w:val="24"/>
        </w:rPr>
      </w:pPr>
      <w:r w:rsidRPr="006E541F">
        <w:rPr>
          <w:sz w:val="24"/>
        </w:rPr>
        <w:t xml:space="preserve">Además, se ha comentado que el </w:t>
      </w:r>
      <w:proofErr w:type="spellStart"/>
      <w:r w:rsidRPr="006E541F">
        <w:rPr>
          <w:sz w:val="24"/>
        </w:rPr>
        <w:t>CVaR</w:t>
      </w:r>
      <w:proofErr w:type="spellEnd"/>
      <w:r w:rsidRPr="006E541F">
        <w:rPr>
          <w:sz w:val="24"/>
        </w:rPr>
        <w:t xml:space="preserve"> es mayor </w:t>
      </w:r>
      <w:r w:rsidRPr="006E541F">
        <w:rPr>
          <w:sz w:val="24"/>
        </w:rPr>
        <w:t xml:space="preserve">al </w:t>
      </w:r>
      <w:proofErr w:type="spellStart"/>
      <w:r w:rsidRPr="006E541F">
        <w:rPr>
          <w:sz w:val="24"/>
        </w:rPr>
        <w:t>VaR</w:t>
      </w:r>
      <w:proofErr w:type="spellEnd"/>
      <w:r w:rsidRPr="006E541F">
        <w:rPr>
          <w:sz w:val="24"/>
        </w:rPr>
        <w:t xml:space="preserve">. Esto lo podemos ver reflejado en la siguiente gráfica. En donde el color naranja representa el </w:t>
      </w:r>
      <w:proofErr w:type="spellStart"/>
      <w:r w:rsidRPr="006E541F">
        <w:rPr>
          <w:sz w:val="24"/>
        </w:rPr>
        <w:t>CVaR</w:t>
      </w:r>
      <w:proofErr w:type="spellEnd"/>
      <w:r w:rsidRPr="006E541F">
        <w:rPr>
          <w:sz w:val="24"/>
        </w:rPr>
        <w:t xml:space="preserve"> con alisado del swap largo, mientras que el azul es el </w:t>
      </w:r>
      <w:proofErr w:type="spellStart"/>
      <w:r w:rsidRPr="006E541F">
        <w:rPr>
          <w:sz w:val="24"/>
        </w:rPr>
        <w:t>VaR</w:t>
      </w:r>
      <w:proofErr w:type="spellEnd"/>
      <w:r w:rsidRPr="006E541F">
        <w:rPr>
          <w:sz w:val="24"/>
        </w:rPr>
        <w:t xml:space="preserve"> con alisado. Notamos que el </w:t>
      </w:r>
      <w:proofErr w:type="spellStart"/>
      <w:r w:rsidRPr="006E541F">
        <w:rPr>
          <w:sz w:val="24"/>
        </w:rPr>
        <w:t>CVaR</w:t>
      </w:r>
      <w:proofErr w:type="spellEnd"/>
      <w:r w:rsidRPr="006E541F">
        <w:rPr>
          <w:sz w:val="24"/>
        </w:rPr>
        <w:t xml:space="preserve"> es notoriamente mayor al </w:t>
      </w:r>
      <w:proofErr w:type="spellStart"/>
      <w:r w:rsidRPr="006E541F">
        <w:rPr>
          <w:sz w:val="24"/>
        </w:rPr>
        <w:t>VaR</w:t>
      </w:r>
      <w:proofErr w:type="spellEnd"/>
    </w:p>
    <w:p w:rsidR="004C15DC" w:rsidRPr="006E541F" w:rsidRDefault="006E541F">
      <w:pPr>
        <w:ind w:left="720"/>
        <w:jc w:val="both"/>
        <w:rPr>
          <w:sz w:val="24"/>
        </w:rPr>
      </w:pPr>
      <w:r w:rsidRPr="006E541F">
        <w:rPr>
          <w:noProof/>
          <w:sz w:val="24"/>
          <w:lang w:val="es-MX"/>
        </w:rPr>
        <w:lastRenderedPageBreak/>
        <w:drawing>
          <wp:inline distT="114300" distB="114300" distL="114300" distR="114300">
            <wp:extent cx="5731200" cy="3543300"/>
            <wp:effectExtent l="0" t="0" r="0" b="0"/>
            <wp:docPr id="4" name="image1.png" descr="Gráfic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Gráfico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C15DC" w:rsidRPr="006E541F" w:rsidRDefault="006E541F">
      <w:pPr>
        <w:ind w:left="720"/>
        <w:jc w:val="both"/>
        <w:rPr>
          <w:sz w:val="24"/>
        </w:rPr>
      </w:pPr>
      <w:r w:rsidRPr="006E541F">
        <w:rPr>
          <w:sz w:val="24"/>
        </w:rPr>
        <w:t>Lo mismo se puede aprecia</w:t>
      </w:r>
      <w:r w:rsidRPr="006E541F">
        <w:rPr>
          <w:sz w:val="24"/>
        </w:rPr>
        <w:t xml:space="preserve">r en la siguiente gráfica del </w:t>
      </w:r>
      <w:proofErr w:type="spellStart"/>
      <w:r w:rsidRPr="006E541F">
        <w:rPr>
          <w:sz w:val="24"/>
        </w:rPr>
        <w:t>VaR</w:t>
      </w:r>
      <w:proofErr w:type="spellEnd"/>
      <w:r w:rsidRPr="006E541F">
        <w:rPr>
          <w:sz w:val="24"/>
        </w:rPr>
        <w:t xml:space="preserve"> y </w:t>
      </w:r>
      <w:proofErr w:type="spellStart"/>
      <w:r w:rsidRPr="006E541F">
        <w:rPr>
          <w:sz w:val="24"/>
        </w:rPr>
        <w:t>CVaR</w:t>
      </w:r>
      <w:proofErr w:type="spellEnd"/>
      <w:r w:rsidRPr="006E541F">
        <w:rPr>
          <w:sz w:val="24"/>
        </w:rPr>
        <w:t xml:space="preserve"> sin alisado de las divisas. </w:t>
      </w:r>
      <w:r w:rsidRPr="006E541F">
        <w:rPr>
          <w:noProof/>
          <w:sz w:val="24"/>
          <w:lang w:val="es-MX"/>
        </w:rPr>
        <w:drawing>
          <wp:inline distT="114300" distB="114300" distL="114300" distR="114300">
            <wp:extent cx="5731200" cy="3543300"/>
            <wp:effectExtent l="0" t="0" r="0" b="0"/>
            <wp:docPr id="3" name="image3.png" descr="Gráfic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áfico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C15DC" w:rsidRPr="006E541F" w:rsidRDefault="006E541F">
      <w:pPr>
        <w:ind w:left="720"/>
        <w:jc w:val="both"/>
        <w:rPr>
          <w:sz w:val="24"/>
        </w:rPr>
      </w:pPr>
      <w:r w:rsidRPr="006E541F">
        <w:rPr>
          <w:sz w:val="24"/>
        </w:rPr>
        <w:t xml:space="preserve">En conclusión, el instrumento que representa el mayor riesgo en nuestro portafolio son los Swaps, el cual tiene un </w:t>
      </w:r>
      <w:proofErr w:type="spellStart"/>
      <w:r w:rsidRPr="006E541F">
        <w:rPr>
          <w:sz w:val="24"/>
        </w:rPr>
        <w:t>VaR</w:t>
      </w:r>
      <w:proofErr w:type="spellEnd"/>
      <w:r w:rsidRPr="006E541F">
        <w:rPr>
          <w:sz w:val="24"/>
        </w:rPr>
        <w:t xml:space="preserve">, y por ende un </w:t>
      </w:r>
      <w:proofErr w:type="spellStart"/>
      <w:r w:rsidRPr="006E541F">
        <w:rPr>
          <w:sz w:val="24"/>
        </w:rPr>
        <w:t>CVaR</w:t>
      </w:r>
      <w:proofErr w:type="spellEnd"/>
      <w:r w:rsidRPr="006E541F">
        <w:rPr>
          <w:sz w:val="24"/>
        </w:rPr>
        <w:t>, altísimo. Mientras que el que representa un m</w:t>
      </w:r>
      <w:r w:rsidRPr="006E541F">
        <w:rPr>
          <w:sz w:val="24"/>
        </w:rPr>
        <w:t xml:space="preserve">enor riesgo es el Bono M, esto porque este bono tiene una tasa fija, así que sabemos cómo evolucionará a través del tiempo. </w:t>
      </w:r>
    </w:p>
    <w:p w:rsidR="004C15DC" w:rsidRPr="006E541F" w:rsidRDefault="006E541F" w:rsidP="006E541F">
      <w:pPr>
        <w:ind w:left="720"/>
        <w:jc w:val="both"/>
        <w:rPr>
          <w:sz w:val="24"/>
        </w:rPr>
      </w:pPr>
      <w:r w:rsidRPr="006E541F">
        <w:rPr>
          <w:sz w:val="24"/>
        </w:rPr>
        <w:t xml:space="preserve">  </w:t>
      </w:r>
      <w:bookmarkStart w:id="0" w:name="_GoBack"/>
      <w:bookmarkEnd w:id="0"/>
    </w:p>
    <w:sectPr w:rsidR="004C15DC" w:rsidRPr="006E541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4E6FA6"/>
    <w:multiLevelType w:val="multilevel"/>
    <w:tmpl w:val="105CEA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2AB5CA5"/>
    <w:multiLevelType w:val="multilevel"/>
    <w:tmpl w:val="DCF4002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ED76E39"/>
    <w:multiLevelType w:val="multilevel"/>
    <w:tmpl w:val="826042F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5DC"/>
    <w:rsid w:val="004C15DC"/>
    <w:rsid w:val="006E5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D56687-4AE0-4AE9-A0DF-37D556272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508</Words>
  <Characters>2798</Characters>
  <Application>Microsoft Office Word</Application>
  <DocSecurity>0</DocSecurity>
  <Lines>23</Lines>
  <Paragraphs>6</Paragraphs>
  <ScaleCrop>false</ScaleCrop>
  <Company>Microsoft</Company>
  <LinksUpToDate>false</LinksUpToDate>
  <CharactersWithSpaces>3300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Brandon Gutiérrez</cp:lastModifiedBy>
  <cp:revision>2</cp:revision>
  <dcterms:created xsi:type="dcterms:W3CDTF">2022-10-09T17:22:00Z</dcterms:created>
  <dcterms:modified xsi:type="dcterms:W3CDTF">2022-10-09T17:31:00Z</dcterms:modified>
</cp:coreProperties>
</file>