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 VaR y CvaR por Delta Normal, Delta Gamma Normal y Delta Gamma Cornish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Acciones: En el caso de las acciones, el método Delta Normal tiene una estimación de pérdida más alta por acción y a nivel portafolio que los métodos delta Gamma Normal y Delta Gamma Cornish en todas las acciones. De igual forma los cálculos del CvaR respetan esa desigualdad y las estimaciones del CvaR son mayores que las del VaR.</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Divisas: En las divisas podemos observar que el método Delta Normal tiene una mayor estimación de pérdida por divisas de manera individual, pero no es el caso de forma conjunta, en este caso los cálculos del VaR por Delta Gamma Normal y Delta Gamma Cornish son mayores. Lo mismo pasa con el CVaR. Este conserva la desigualdad que es mayor que el VaR en todos los casos.</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Bonos: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Cete: El VaR de este instrumento es pequeño, ya que se toma en cuenta la tasa gubernamental y se comporta de la misma forma en todos los métodos Delta. Conserva la desigualdad que el CVaR es mayor.</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Bono M: Como la tasa es fija, sabemos cómo se va a comportar el bono a lo largo del tiempo, es por esto que el VaR y CVaR por estos tres métodos es cero, al igual como lo fue por simulación histórica.</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Bono D: Los bonos tienen un peso bastante considerado en comparación con alguno de los siguientes instrumentos. El VaR por los tres métodos tienen valores muy parecidos. Sin embargo, estos aumentan en el CVaR, como era de esperarse.</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Futuros: El caso de los futuros de IPC son bastante altos en comparación con los futuros de Tipo de cambio, es por esto que representan una gran parte de nuestro portafolio. Además, el CVaR se mantiene superior al VaR.</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Swaps: a comparación del método de simulación histórica, ahora consideramos 1600 y 1200 swaps, es por esto que hay una gran diferencia con respecto al método de simulación histórica. Es por esto que tienen un valor mucho más pequeño que el de simulación histórica. Es así que representan una parte pequeña de nuestro portafolio, pero se sigue manteniendo que el CVaR es  mayor al VaR, como se esperaba. </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Opciones: las opciones son un instrumento financiero que nos permiten tener un riesgo bajo. Es por esto, que al igual que en simulación histórica, el VaR y CVaR por el método Delta-Normal, Delta Gama Norma y Cornish Fisher, se tiene un riesgo muy bajo. Sin embargo, el CVaR es ligeramente mayor. Además, el VaR por estos tres métodos es muy similar, cambia por algunos decimales. Es por esto que las opciones representan una proporción muy baja de nuestro riesgo.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