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del VaR, CVaR por la simulación de Monte Carlo.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Acciones: Obtuvimos que el VaR de las acciones de América Móvil y Walmart es mayor por el método de Cholesky normal, para las acciones de Gcarso no es así, es mayor el método empírico. A nivel portafolio, es mayor la estimación de pérdida para Cholesky normal que para Cholesky empírica. Comparando el VaR a nivel portafolio con el CVaR, este último es bastante más alto, en el caso de Cholesky empírico es casi el doble de la estimación  y para  Cholesky normal es mayor por casi $3,000.</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Divisas: En el caso de las divisas el cálculo del VaR por Cholesky empírica es mayor de manera individual y portafolio. Y comparado con el CVaR portafolio, es ligeramente mayor el CVaR con la estimación Cholesky normal, pero el VaR es ligeramente mayor por Cholesky empírica.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Bonos: </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Cete: Por estos métodos el cete se comporta de igual manera que con Delta Gamma y Simulación histórica, es mayor el CVaR</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Bono M: El bono M sabemos que es a tasa fija, es decir, conocemos cómo se va a comportar hasta su vencimiento, por lo que su VaR y CVaR es cero como en todos los otros métodos usados para la estimación de pérdidas.</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Bono D: En el caso de los Bonos D el CVaR también es mayor que el VaR en todos los casos, se hace notar más considerando la tasa gubernamental, ya que casi se va al doble que el VaR.</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Futuros: El VaR es menor que el CVaR en ambos casos, notemos que las altas estimaciones de pérdida es por la alta proporción que tienen los contratos del IPC en el portafolio, debido a su alto precio strike.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Swaps: En este caso el CVaR es mayor que el VaR. Como se consideraron 1600 y 1200 swaps sigue teniendo un valor pequeño, ligeramente mayor a los obtenidos con los métodos Delta Gamma.</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Opciones: Debido a la naturaleza del contrato, es muy baja la estimación que nos arroja el VaR y el CVaR en este caso, se sigue respetando que el CVaR es mayor. También podemos notar que los valores obtenidos con estos métodos, son ligeramente menores que los obtenidos con Delta Gamma.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