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69" w:lineRule="auto"/>
      </w:pPr>
      <w:r>
        <w:rPr>
          <w:rFonts w:ascii="Arial" w:hAnsi="Arial" w:eastAsia="Arial"/>
          <w:b/>
          <w:i w:val="0"/>
          <w:color w:val="BD8D2D"/>
          <w:sz w:val="16"/>
        </w:rPr>
        <w:t>CONFIDENTIAL PRELIMINARY DISCUSSION MATERIALS</w:t>
      </w:r>
    </w:p>
    <w:p>
      <w:pPr>
        <w:pStyle w:val="Title"/>
        <w:spacing w:before="0" w:after="60" w:line="269" w:lineRule="auto"/>
      </w:pPr>
      <w:r>
        <w:rPr>
          <w:rFonts w:ascii="Arial" w:hAnsi="Arial" w:eastAsia="Arial"/>
          <w:b/>
          <w:i w:val="0"/>
          <w:color w:val="8A4C00"/>
          <w:sz w:val="44"/>
          <w:highlight w:val="yellow"/>
        </w:rPr>
        <w:t>[COMPANY NAME]</w:t>
      </w:r>
    </w:p>
    <w:p>
      <w:pPr>
        <w:spacing w:before="0" w:after="160" w:line="269" w:lineRule="auto"/>
      </w:pPr>
      <w:r>
        <w:rPr>
          <w:rFonts w:ascii="Arial" w:hAnsi="Arial" w:eastAsia="Arial"/>
          <w:b w:val="0"/>
          <w:i w:val="0"/>
          <w:color w:val="8A4C00"/>
          <w:sz w:val="22"/>
          <w:highlight w:val="yellow"/>
        </w:rPr>
        <w:t>[Positioning adjective] oilfield services provider supporting [end markets / customer types] across [region]</w:t>
      </w:r>
    </w:p>
    <w:tbl>
      <w:tblPr>
        <w:tblW w:type="dxa" w:w="9936"/>
        <w:jc w:val="center"/>
        <w:tblLayout w:type="fixed"/>
        <w:tblLook w:firstColumn="1" w:firstRow="1" w:lastColumn="0" w:lastRow="0" w:noHBand="0" w:noVBand="1" w:val="04A0"/>
      </w:tblPr>
      <w:tblGrid>
        <w:gridCol w:w="9936"/>
      </w:tblGrid>
      <w:tr>
        <w:tc>
          <w:tcPr>
            <w:tcW w:type="dxa" w:w="9936"/>
            <w:shd w:fill="F3F5F6" w:val="clear"/>
            <w:tcBorders>
              <w:top w:val="single" w:sz="2" w:color="F3F5F6"/>
              <w:left w:val="single" w:sz="16" w:color="BD8D2D"/>
              <w:bottom w:val="single" w:sz="2" w:color="F3F5F6"/>
              <w:right w:val="single" w:sz="2" w:color="F3F5F6"/>
            </w:tcBorders>
            <w:tcMar>
              <w:top w:w="90" w:type="dxa"/>
              <w:start w:w="120" w:type="dxa"/>
              <w:bottom w:w="90" w:type="dxa"/>
              <w:end w:w="120" w:type="dxa"/>
            </w:tcMar>
          </w:tcPr>
          <w:p>
            <w:pPr>
              <w:spacing w:before="0" w:after="0" w:line="269" w:lineRule="auto"/>
            </w:pPr>
            <w:r/>
            <w:r>
              <w:rPr>
                <w:rFonts w:ascii="Arial" w:hAnsi="Arial" w:eastAsia="Arial"/>
                <w:b/>
                <w:i w:val="0"/>
                <w:color w:val="0F2F4F"/>
                <w:sz w:val="16"/>
              </w:rPr>
              <w:t xml:space="preserve">Purpose of this handout. </w:t>
            </w:r>
            <w:r>
              <w:rPr>
                <w:rFonts w:ascii="Arial" w:hAnsi="Arial" w:eastAsia="Arial"/>
                <w:b w:val="0"/>
                <w:i w:val="0"/>
                <w:sz w:val="16"/>
              </w:rPr>
              <w:t>This overview is intended solely to support an initial discussion regarding a potential ownership transition. It is not an offer, a letter of intent, a valuation statement, or a commitment to pursue a transaction. Detailed financial, customer, personnel, and commercial information will be considered only through a mutually agreed confidential process.</w:t>
            </w:r>
          </w:p>
        </w:tc>
      </w:tr>
    </w:tbl>
    <w:p>
      <w:pPr>
        <w:pStyle w:val="Heading2"/>
      </w:pPr>
      <w:r>
        <w:rPr>
          <w:rFonts w:ascii="Arial" w:hAnsi="Arial" w:eastAsia="Arial"/>
          <w:b/>
          <w:i w:val="0"/>
          <w:color w:val="0F2F4F"/>
          <w:sz w:val="22"/>
        </w:rPr>
        <w:t>Company at a Glance</w:t>
      </w:r>
    </w:p>
    <w:tbl>
      <w:tblPr>
        <w:tblW w:type="dxa" w:w="9936"/>
        <w:jc w:val="center"/>
        <w:tblLayout w:type="fixed"/>
        <w:tblLook w:firstColumn="1" w:firstRow="1" w:lastColumn="0" w:lastRow="0" w:noHBand="0" w:noVBand="1" w:val="04A0"/>
      </w:tblPr>
      <w:tblGrid>
        <w:gridCol w:w="4968"/>
        <w:gridCol w:w="4968"/>
      </w:tblGrid>
      <w:tr>
        <w:tc>
          <w:tcPr>
            <w:tcW w:type="dxa" w:w="2232"/>
            <w:vAlign w:val="center"/>
            <w:shd w:fill="F3F5F6" w:val="clea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0F2F4F"/>
                <w:sz w:val="17"/>
              </w:rPr>
              <w:t>Ownership</w:t>
            </w:r>
          </w:p>
        </w:tc>
        <w:tc>
          <w:tcPr>
            <w:tcW w:type="dxa" w:w="7703"/>
            <w:vAlign w:val="cente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color w:val="8A4C00"/>
                <w:sz w:val="17"/>
                <w:highlight w:val="yellow"/>
              </w:rPr>
              <w:t>Privately held, family-owned business led by [names / roles, if desired].</w:t>
            </w:r>
          </w:p>
        </w:tc>
      </w:tr>
      <w:tr>
        <w:tc>
          <w:tcPr>
            <w:tcW w:type="dxa" w:w="2232"/>
            <w:vAlign w:val="center"/>
            <w:shd w:fill="F3F5F6" w:val="clea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0F2F4F"/>
                <w:sz w:val="17"/>
              </w:rPr>
              <w:t>Established</w:t>
            </w:r>
          </w:p>
        </w:tc>
        <w:tc>
          <w:tcPr>
            <w:tcW w:type="dxa" w:w="7703"/>
            <w:vAlign w:val="cente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color w:val="8A4C00"/>
                <w:sz w:val="17"/>
                <w:highlight w:val="yellow"/>
              </w:rPr>
              <w:t>[year or “more than X years ago”], with a long-standing reputation for [safety / responsiveness / reliability / technical expertise].</w:t>
            </w:r>
          </w:p>
        </w:tc>
      </w:tr>
      <w:tr>
        <w:tc>
          <w:tcPr>
            <w:tcW w:type="dxa" w:w="2232"/>
            <w:vAlign w:val="center"/>
            <w:shd w:fill="F3F5F6" w:val="clea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0F2F4F"/>
                <w:sz w:val="17"/>
              </w:rPr>
              <w:t>Service Area</w:t>
            </w:r>
          </w:p>
        </w:tc>
        <w:tc>
          <w:tcPr>
            <w:tcW w:type="dxa" w:w="7703"/>
            <w:vAlign w:val="cente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color w:val="8A4C00"/>
                <w:sz w:val="17"/>
                <w:highlight w:val="yellow"/>
              </w:rPr>
              <w:t>[region(s) served], with operating capabilities in [basins / counties / states, stated broadly].</w:t>
            </w:r>
          </w:p>
        </w:tc>
      </w:tr>
      <w:tr>
        <w:tc>
          <w:tcPr>
            <w:tcW w:type="dxa" w:w="2232"/>
            <w:vAlign w:val="center"/>
            <w:shd w:fill="F3F5F6" w:val="clea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0F2F4F"/>
                <w:sz w:val="17"/>
              </w:rPr>
              <w:t>Core Services</w:t>
            </w:r>
          </w:p>
        </w:tc>
        <w:tc>
          <w:tcPr>
            <w:tcW w:type="dxa" w:w="7703"/>
            <w:vAlign w:val="cente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color w:val="8A4C00"/>
                <w:sz w:val="17"/>
                <w:highlight w:val="yellow"/>
              </w:rPr>
              <w:t>[service line 1]; [service line 2]; [service line 3].</w:t>
            </w:r>
          </w:p>
        </w:tc>
      </w:tr>
      <w:tr>
        <w:tc>
          <w:tcPr>
            <w:tcW w:type="dxa" w:w="2232"/>
            <w:vAlign w:val="center"/>
            <w:shd w:fill="F3F5F6" w:val="clea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0F2F4F"/>
                <w:sz w:val="17"/>
              </w:rPr>
              <w:t>Operating Platform</w:t>
            </w:r>
          </w:p>
        </w:tc>
        <w:tc>
          <w:tcPr>
            <w:tcW w:type="dxa" w:w="7703"/>
            <w:vAlign w:val="cente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color w:val="8A4C00"/>
                <w:sz w:val="17"/>
                <w:highlight w:val="yellow"/>
              </w:rPr>
              <w:t>[fleet / facilities / equipment / certifications / dispatch capability—describe at a high level].</w:t>
            </w:r>
          </w:p>
        </w:tc>
      </w:tr>
      <w:tr>
        <w:tc>
          <w:tcPr>
            <w:tcW w:type="dxa" w:w="2232"/>
            <w:vAlign w:val="center"/>
            <w:shd w:fill="F3F5F6" w:val="clea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0F2F4F"/>
                <w:sz w:val="17"/>
              </w:rPr>
              <w:t>Team &amp; Customers</w:t>
            </w:r>
          </w:p>
        </w:tc>
        <w:tc>
          <w:tcPr>
            <w:tcW w:type="dxa" w:w="7703"/>
            <w:vAlign w:val="center"/>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color w:val="8A4C00"/>
                <w:sz w:val="17"/>
                <w:highlight w:val="yellow"/>
              </w:rPr>
              <w:t>[team-size range] experienced employees serving a diversified base of [operator / midstream / industrial / other customer descriptors].</w:t>
            </w:r>
          </w:p>
        </w:tc>
      </w:tr>
    </w:tbl>
    <w:p>
      <w:pPr>
        <w:pStyle w:val="Heading2"/>
      </w:pPr>
      <w:r>
        <w:rPr>
          <w:rFonts w:ascii="Arial" w:hAnsi="Arial" w:eastAsia="Arial"/>
          <w:b/>
          <w:i w:val="0"/>
          <w:color w:val="0F2F4F"/>
          <w:sz w:val="22"/>
        </w:rPr>
        <w:t>Why the Business Merits Consideration</w:t>
      </w:r>
    </w:p>
    <w:tbl>
      <w:tblPr>
        <w:tblW w:type="dxa" w:w="9936"/>
        <w:jc w:val="center"/>
        <w:tblLayout w:type="fixed"/>
        <w:tblLook w:firstColumn="1" w:firstRow="1" w:lastColumn="0" w:lastRow="0" w:noHBand="0" w:noVBand="1" w:val="04A0"/>
      </w:tblPr>
      <w:tblGrid>
        <w:gridCol w:w="4968"/>
        <w:gridCol w:w="4968"/>
      </w:tblGrid>
      <w:tr>
        <w:tc>
          <w:tcPr>
            <w:tcW w:type="dxa" w:w="4968"/>
            <w:shd w:fill="F3F5F6" w:val="clear"/>
            <w:tcMar>
              <w:top w:w="95" w:type="dxa"/>
              <w:start w:w="110" w:type="dxa"/>
              <w:bottom w:w="95" w:type="dxa"/>
              <w:end w:w="110" w:type="dxa"/>
            </w:tcMar>
            <w:tcBorders>
              <w:top w:val="single" w:sz="16" w:color="0F2F4F"/>
              <w:left w:val="single" w:sz="4" w:color="D8DFE4"/>
              <w:bottom w:val="single" w:sz="4" w:color="D8DFE4"/>
              <w:right w:val="single" w:sz="4" w:color="D8DFE4"/>
            </w:tcBorders>
          </w:tcPr>
          <w:p>
            <w:pPr>
              <w:spacing w:before="0" w:after="0" w:line="269" w:lineRule="auto"/>
            </w:pPr>
            <w:r/>
            <w:r>
              <w:rPr>
                <w:rFonts w:ascii="Arial" w:hAnsi="Arial" w:eastAsia="Arial"/>
                <w:b/>
                <w:i w:val="0"/>
                <w:color w:val="8A4C00"/>
                <w:sz w:val="16"/>
                <w:highlight w:val="yellow"/>
              </w:rPr>
              <w:t>[Durable operating reputation]</w:t>
            </w:r>
          </w:p>
          <w:p>
            <w:pPr>
              <w:spacing w:before="40" w:after="0" w:line="269" w:lineRule="auto"/>
            </w:pPr>
            <w:r>
              <w:rPr>
                <w:rFonts w:ascii="Arial" w:hAnsi="Arial" w:eastAsia="Arial"/>
                <w:b w:val="0"/>
                <w:i w:val="0"/>
                <w:color w:val="8A4C00"/>
                <w:sz w:val="16"/>
                <w:highlight w:val="yellow"/>
              </w:rPr>
              <w:t>[Evidence: years in business, repeat business, safety record, response-time metric, or other factual proof.] This provides a buyer with [credible market position / dependable service platform].</w:t>
            </w:r>
          </w:p>
        </w:tc>
        <w:tc>
          <w:tcPr>
            <w:tcW w:type="dxa" w:w="4968"/>
            <w:shd w:fill="F3F5F6" w:val="clear"/>
            <w:tcMar>
              <w:top w:w="95" w:type="dxa"/>
              <w:start w:w="110" w:type="dxa"/>
              <w:bottom w:w="95" w:type="dxa"/>
              <w:end w:w="110" w:type="dxa"/>
            </w:tcMar>
            <w:tcBorders>
              <w:top w:val="single" w:sz="16" w:color="0F2F4F"/>
              <w:left w:val="single" w:sz="4" w:color="D8DFE4"/>
              <w:bottom w:val="single" w:sz="4" w:color="D8DFE4"/>
              <w:right w:val="single" w:sz="4" w:color="D8DFE4"/>
            </w:tcBorders>
          </w:tcPr>
          <w:p>
            <w:pPr>
              <w:spacing w:before="0" w:after="0" w:line="269" w:lineRule="auto"/>
            </w:pPr>
            <w:r/>
            <w:r>
              <w:rPr>
                <w:rFonts w:ascii="Arial" w:hAnsi="Arial" w:eastAsia="Arial"/>
                <w:b/>
                <w:i w:val="0"/>
                <w:color w:val="8A4C00"/>
                <w:sz w:val="16"/>
                <w:highlight w:val="yellow"/>
              </w:rPr>
              <w:t>[Differentiated service capability]</w:t>
            </w:r>
          </w:p>
          <w:p>
            <w:pPr>
              <w:spacing w:before="40" w:after="0" w:line="269" w:lineRule="auto"/>
            </w:pPr>
            <w:r>
              <w:rPr>
                <w:rFonts w:ascii="Arial" w:hAnsi="Arial" w:eastAsia="Arial"/>
                <w:b w:val="0"/>
                <w:i w:val="0"/>
                <w:color w:val="8A4C00"/>
                <w:sz w:val="16"/>
                <w:highlight w:val="yellow"/>
              </w:rPr>
              <w:t>[Evidence: specialized equipment, permits, technical expertise, certifications, capacity, or local operating knowledge.] This supports [customer value / defensible economics / expansion opportunity].</w:t>
            </w:r>
          </w:p>
        </w:tc>
      </w:tr>
      <w:tr>
        <w:tc>
          <w:tcPr>
            <w:tcW w:type="dxa" w:w="4968"/>
            <w:shd w:fill="F3F5F6" w:val="clear"/>
            <w:tcMar>
              <w:top w:w="95" w:type="dxa"/>
              <w:start w:w="110" w:type="dxa"/>
              <w:bottom w:w="95" w:type="dxa"/>
              <w:end w:w="110" w:type="dxa"/>
            </w:tcMar>
            <w:tcBorders>
              <w:top w:val="single" w:sz="16" w:color="0F2F4F"/>
              <w:left w:val="single" w:sz="4" w:color="D8DFE4"/>
              <w:bottom w:val="single" w:sz="4" w:color="D8DFE4"/>
              <w:right w:val="single" w:sz="4" w:color="D8DFE4"/>
            </w:tcBorders>
          </w:tcPr>
          <w:p>
            <w:pPr>
              <w:spacing w:before="0" w:after="0" w:line="269" w:lineRule="auto"/>
            </w:pPr>
            <w:r/>
            <w:r>
              <w:rPr>
                <w:rFonts w:ascii="Arial" w:hAnsi="Arial" w:eastAsia="Arial"/>
                <w:b/>
                <w:i w:val="0"/>
                <w:color w:val="8A4C00"/>
                <w:sz w:val="16"/>
                <w:highlight w:val="yellow"/>
              </w:rPr>
              <w:t>[Stable customer relationships]</w:t>
            </w:r>
          </w:p>
          <w:p>
            <w:pPr>
              <w:spacing w:before="40" w:after="0" w:line="269" w:lineRule="auto"/>
            </w:pPr>
            <w:r>
              <w:rPr>
                <w:rFonts w:ascii="Arial" w:hAnsi="Arial" w:eastAsia="Arial"/>
                <w:b w:val="0"/>
                <w:i w:val="0"/>
                <w:color w:val="8A4C00"/>
                <w:sz w:val="16"/>
                <w:highlight w:val="yellow"/>
              </w:rPr>
              <w:t>[Evidence: repeat revenue, customer-tenure range, diversified customer profile, contract/backlog indicator.] This provides visibility while maintaining prudent confidentiality around customer identities.</w:t>
            </w:r>
          </w:p>
        </w:tc>
        <w:tc>
          <w:tcPr>
            <w:tcW w:type="dxa" w:w="4968"/>
            <w:shd w:fill="F3F5F6" w:val="clear"/>
            <w:tcMar>
              <w:top w:w="95" w:type="dxa"/>
              <w:start w:w="110" w:type="dxa"/>
              <w:bottom w:w="95" w:type="dxa"/>
              <w:end w:w="110" w:type="dxa"/>
            </w:tcMar>
            <w:tcBorders>
              <w:top w:val="single" w:sz="16" w:color="0F2F4F"/>
              <w:left w:val="single" w:sz="4" w:color="D8DFE4"/>
              <w:bottom w:val="single" w:sz="4" w:color="D8DFE4"/>
              <w:right w:val="single" w:sz="4" w:color="D8DFE4"/>
            </w:tcBorders>
          </w:tcPr>
          <w:p>
            <w:pPr>
              <w:spacing w:before="0" w:after="0" w:line="269" w:lineRule="auto"/>
            </w:pPr>
            <w:r/>
            <w:r>
              <w:rPr>
                <w:rFonts w:ascii="Arial" w:hAnsi="Arial" w:eastAsia="Arial"/>
                <w:b/>
                <w:i w:val="0"/>
                <w:color w:val="8A4C00"/>
                <w:sz w:val="16"/>
                <w:highlight w:val="yellow"/>
              </w:rPr>
              <w:t>[Experienced family and operating team]</w:t>
            </w:r>
          </w:p>
          <w:p>
            <w:pPr>
              <w:spacing w:before="40" w:after="0" w:line="269" w:lineRule="auto"/>
            </w:pPr>
            <w:r>
              <w:rPr>
                <w:rFonts w:ascii="Arial" w:hAnsi="Arial" w:eastAsia="Arial"/>
                <w:b w:val="0"/>
                <w:i w:val="0"/>
                <w:color w:val="8A4C00"/>
                <w:sz w:val="16"/>
                <w:highlight w:val="yellow"/>
              </w:rPr>
              <w:t>[Evidence: average tenure, key leaders, succession depth, willingness to support a transition.] This can facilitate continuity after any transaction.</w:t>
            </w:r>
          </w:p>
        </w:tc>
      </w:tr>
    </w:tbl>
    <w:p>
      <w:pPr>
        <w:pStyle w:val="Heading2"/>
      </w:pPr>
      <w:r>
        <w:rPr>
          <w:rFonts w:ascii="Arial" w:hAnsi="Arial" w:eastAsia="Arial"/>
          <w:b/>
          <w:i w:val="0"/>
          <w:color w:val="0F2F4F"/>
          <w:sz w:val="22"/>
        </w:rPr>
        <w:t>Ownership Transition Discussion</w:t>
      </w:r>
    </w:p>
    <w:tbl>
      <w:tblPr>
        <w:tblW w:type="dxa" w:w="9936"/>
        <w:jc w:val="center"/>
        <w:tblLayout w:type="fixed"/>
        <w:tblLook w:firstColumn="1" w:firstRow="1" w:lastColumn="0" w:lastRow="0" w:noHBand="0" w:noVBand="1" w:val="04A0"/>
      </w:tblPr>
      <w:tblGrid>
        <w:gridCol w:w="9936"/>
      </w:tblGrid>
      <w:tr>
        <w:tc>
          <w:tcPr>
            <w:tcW w:type="dxa" w:w="9936"/>
            <w:shd w:fill="EAF0F5" w:val="clear"/>
            <w:tcMar>
              <w:top w:w="85" w:type="dxa"/>
              <w:start w:w="120" w:type="dxa"/>
              <w:bottom w:w="85" w:type="dxa"/>
              <w:end w:w="120" w:type="dxa"/>
            </w:tcMar>
            <w:tcBorders>
              <w:top w:val="single" w:sz="4" w:color="C9D7E2"/>
              <w:left w:val="single" w:sz="4" w:color="C9D7E2"/>
              <w:bottom w:val="single" w:sz="4" w:color="C9D7E2"/>
              <w:right w:val="single" w:sz="4" w:color="C9D7E2"/>
            </w:tcBorders>
          </w:tcPr>
          <w:p>
            <w:pPr>
              <w:spacing w:before="0" w:after="0" w:line="269" w:lineRule="auto"/>
            </w:pPr>
            <w:r/>
            <w:r>
              <w:rPr>
                <w:rFonts w:ascii="Arial" w:hAnsi="Arial" w:eastAsia="Arial"/>
                <w:b/>
                <w:i w:val="0"/>
                <w:color w:val="0F2F4F"/>
                <w:sz w:val="17"/>
              </w:rPr>
              <w:t xml:space="preserve">The family is open to a thoughtful discussion with a well-qualified buyer whose values, resources, and long-term plans align with the Company’s people, customers, and operating legacy. </w:t>
            </w:r>
            <w:r>
              <w:rPr>
                <w:rFonts w:ascii="Arial" w:hAnsi="Arial" w:eastAsia="Arial"/>
                <w:b w:val="0"/>
                <w:i w:val="0"/>
                <w:sz w:val="17"/>
              </w:rPr>
              <w:t>The owners are approaching this inquiry carefully and would welcome an initial exchange regarding strategic fit, transaction objectives, and an appropriate confidential next step.</w:t>
            </w:r>
          </w:p>
        </w:tc>
      </w:tr>
    </w:tbl>
    <w:p>
      <w:pPr>
        <w:spacing w:before="160" w:after="0" w:line="269" w:lineRule="auto"/>
      </w:pPr>
      <w:r>
        <w:rPr>
          <w:rFonts w:ascii="Arial" w:hAnsi="Arial" w:eastAsia="Arial"/>
          <w:b/>
          <w:i w:val="0"/>
          <w:color w:val="0F2F4F"/>
          <w:sz w:val="17"/>
        </w:rPr>
        <w:t xml:space="preserve">Primary Contact: </w:t>
      </w:r>
      <w:r>
        <w:rPr>
          <w:rFonts w:ascii="Arial" w:hAnsi="Arial" w:eastAsia="Arial"/>
          <w:b w:val="0"/>
          <w:i w:val="0"/>
          <w:color w:val="8A4C00"/>
          <w:sz w:val="17"/>
          <w:highlight w:val="yellow"/>
        </w:rPr>
        <w:t>[Name, title] | [Phone] | [Email]</w:t>
      </w:r>
    </w:p>
    <w:p>
      <w:r>
        <w:br w:type="page"/>
      </w:r>
    </w:p>
    <w:p>
      <w:pPr>
        <w:spacing w:before="0" w:after="200" w:line="269" w:lineRule="auto"/>
        <w:ind w:left="115" w:right="115"/>
        <w:shd w:fill="0F2F4F" w:val="clear"/>
      </w:pPr>
      <w:r>
        <w:rPr>
          <w:rFonts w:ascii="Arial" w:hAnsi="Arial" w:eastAsia="Arial"/>
          <w:b/>
          <w:i w:val="0"/>
          <w:color w:val="FFFFFF"/>
          <w:sz w:val="16"/>
        </w:rPr>
        <w:t>FAMILY-ONLY MATERIAL — DO NOT LEAVE WITH OR EMAIL TO THE BUYER</w:t>
      </w:r>
    </w:p>
    <w:p>
      <w:pPr>
        <w:spacing w:before="0" w:after="100" w:line="269" w:lineRule="auto"/>
      </w:pPr>
      <w:r>
        <w:rPr>
          <w:rFonts w:ascii="Arial" w:hAnsi="Arial" w:eastAsia="Arial"/>
          <w:b/>
          <w:i w:val="0"/>
          <w:color w:val="BD8D2D"/>
          <w:sz w:val="16"/>
        </w:rPr>
        <w:t>DINNER CONVERSATION GUIDE</w:t>
      </w:r>
    </w:p>
    <w:p>
      <w:pPr>
        <w:pStyle w:val="Title"/>
        <w:spacing w:before="0" w:after="60" w:line="269" w:lineRule="auto"/>
      </w:pPr>
      <w:r>
        <w:rPr>
          <w:rFonts w:ascii="Arial" w:hAnsi="Arial" w:eastAsia="Arial"/>
          <w:b/>
          <w:i w:val="0"/>
          <w:color w:val="0F2F4F"/>
          <w:sz w:val="44"/>
        </w:rPr>
        <w:t>Initial Buyer Meeting</w:t>
      </w:r>
    </w:p>
    <w:p>
      <w:pPr>
        <w:spacing w:before="0" w:after="200" w:line="269" w:lineRule="auto"/>
      </w:pPr>
      <w:r>
        <w:rPr>
          <w:rFonts w:ascii="Arial" w:hAnsi="Arial" w:eastAsia="Arial"/>
          <w:b w:val="0"/>
          <w:i w:val="0"/>
          <w:color w:val="465563"/>
          <w:sz w:val="22"/>
        </w:rPr>
        <w:t>A practical guide for a composed, credible first discussion—not a negotiation session.</w:t>
      </w:r>
    </w:p>
    <w:p>
      <w:pPr>
        <w:pStyle w:val="Heading2"/>
      </w:pPr>
      <w:r>
        <w:rPr>
          <w:rFonts w:ascii="Arial" w:hAnsi="Arial" w:eastAsia="Arial"/>
          <w:b/>
          <w:i w:val="0"/>
          <w:color w:val="0F2F4F"/>
          <w:sz w:val="22"/>
        </w:rPr>
        <w:t>What Success Looks Like</w:t>
      </w:r>
    </w:p>
    <w:p>
      <w:pPr>
        <w:spacing w:before="0" w:after="160" w:line="269" w:lineRule="auto"/>
      </w:pPr>
      <w:r>
        <w:rPr>
          <w:rFonts w:ascii="Arial" w:hAnsi="Arial" w:eastAsia="Arial"/>
          <w:b w:val="0"/>
          <w:i w:val="0"/>
          <w:sz w:val="18"/>
        </w:rPr>
        <w:t>By the end of dinner, the family should understand the buyer’s motivation, operating plans, capital and decision-making process, and view of management continuity. The family should also leave with agreement on a controlled next step, ideally a mutual confidentiality agreement before exchanging detailed information.</w:t>
      </w:r>
    </w:p>
    <w:tbl>
      <w:tblPr>
        <w:tblW w:type="dxa" w:w="9936"/>
        <w:jc w:val="center"/>
        <w:tblLayout w:type="fixed"/>
        <w:tblLook w:firstColumn="1" w:firstRow="1" w:lastColumn="0" w:lastRow="0" w:noHBand="0" w:noVBand="1" w:val="04A0"/>
      </w:tblPr>
      <w:tblGrid>
        <w:gridCol w:w="9936"/>
      </w:tblGrid>
      <w:tr>
        <w:tc>
          <w:tcPr>
            <w:tcW w:type="dxa" w:w="9936"/>
            <w:shd w:fill="F3F5F6" w:val="clear"/>
            <w:tcMar>
              <w:top w:w="85" w:type="dxa"/>
              <w:start w:w="120" w:type="dxa"/>
              <w:bottom w:w="85" w:type="dxa"/>
              <w:end w:w="120" w:type="dxa"/>
            </w:tcMar>
            <w:tcBorders>
              <w:top w:val="single" w:sz="4" w:color="F3F5F6"/>
              <w:left w:val="single" w:sz="16" w:color="BD8D2D"/>
              <w:bottom w:val="single" w:sz="4" w:color="F3F5F6"/>
              <w:right w:val="single" w:sz="4" w:color="F3F5F6"/>
            </w:tcBorders>
          </w:tcPr>
          <w:p>
            <w:pPr>
              <w:spacing w:before="0" w:after="0" w:line="269" w:lineRule="auto"/>
            </w:pPr>
            <w:r/>
            <w:r>
              <w:rPr>
                <w:rFonts w:ascii="Arial" w:hAnsi="Arial" w:eastAsia="Arial"/>
                <w:b/>
                <w:i w:val="0"/>
                <w:color w:val="0F2F4F"/>
                <w:sz w:val="17"/>
              </w:rPr>
              <w:t xml:space="preserve">Suggested roles: </w:t>
            </w:r>
            <w:r>
              <w:rPr>
                <w:rFonts w:ascii="Arial" w:hAnsi="Arial" w:eastAsia="Arial"/>
                <w:b w:val="0"/>
                <w:i w:val="0"/>
                <w:color w:val="8A4C00"/>
                <w:sz w:val="17"/>
                <w:highlight w:val="yellow"/>
              </w:rPr>
              <w:t>[Parent / Owner 1] opens with the history and legacy; [Parent / Owner 2] describes operations and people; [Sister] asks process questions and captures notes. Choose one person in advance to gently redirect any premature request for confidential details.</w:t>
            </w:r>
          </w:p>
        </w:tc>
      </w:tr>
    </w:tbl>
    <w:p>
      <w:pPr>
        <w:pStyle w:val="Heading2"/>
      </w:pPr>
      <w:r>
        <w:rPr>
          <w:rFonts w:ascii="Arial" w:hAnsi="Arial" w:eastAsia="Arial"/>
          <w:b/>
          <w:i w:val="0"/>
          <w:color w:val="0F2F4F"/>
          <w:sz w:val="22"/>
        </w:rPr>
        <w:t>Suggested Flow</w:t>
      </w:r>
    </w:p>
    <w:tbl>
      <w:tblPr>
        <w:tblW w:type="dxa" w:w="9936"/>
        <w:jc w:val="center"/>
        <w:tblLayout w:type="fixed"/>
        <w:tblLook w:firstColumn="1" w:firstRow="1" w:lastColumn="0" w:lastRow="0" w:noHBand="0" w:noVBand="1" w:val="04A0"/>
      </w:tblPr>
      <w:tblGrid>
        <w:gridCol w:w="4968"/>
        <w:gridCol w:w="4968"/>
      </w:tblGrid>
      <w:tr>
        <w:trPr>
          <w:tblHeader w:val="true"/>
        </w:trPr>
        <w:tc>
          <w:tcPr>
            <w:tcW w:type="dxa" w:w="2232"/>
            <w:shd w:fill="0F2F4F" w:val="clear"/>
            <w:tcMar>
              <w:top w:w="70" w:type="dxa"/>
              <w:start w:w="90" w:type="dxa"/>
              <w:bottom w:w="70" w:type="dxa"/>
              <w:end w:w="90" w:type="dxa"/>
            </w:tcMar>
          </w:tcPr>
          <w:p>
            <w:pPr>
              <w:spacing w:before="0" w:after="0" w:line="269" w:lineRule="auto"/>
            </w:pPr>
            <w:r/>
            <w:r>
              <w:rPr>
                <w:rFonts w:ascii="Arial" w:hAnsi="Arial" w:eastAsia="Arial"/>
                <w:b/>
                <w:i w:val="0"/>
                <w:color w:val="FFFFFF"/>
                <w:sz w:val="16"/>
              </w:rPr>
              <w:t>Discussion Stage</w:t>
            </w:r>
          </w:p>
        </w:tc>
        <w:tc>
          <w:tcPr>
            <w:tcW w:type="dxa" w:w="7703"/>
            <w:shd w:fill="0F2F4F" w:val="clear"/>
            <w:tcMar>
              <w:top w:w="70" w:type="dxa"/>
              <w:start w:w="90" w:type="dxa"/>
              <w:bottom w:w="70" w:type="dxa"/>
              <w:end w:w="90" w:type="dxa"/>
            </w:tcMar>
          </w:tcPr>
          <w:p>
            <w:pPr>
              <w:spacing w:before="0" w:after="0" w:line="269" w:lineRule="auto"/>
            </w:pPr>
            <w:r/>
            <w:r>
              <w:rPr>
                <w:rFonts w:ascii="Arial" w:hAnsi="Arial" w:eastAsia="Arial"/>
                <w:b/>
                <w:i w:val="0"/>
                <w:color w:val="FFFFFF"/>
                <w:sz w:val="16"/>
              </w:rPr>
              <w:t>Purpose and Suggested Approach</w:t>
            </w:r>
          </w:p>
        </w:tc>
      </w:tr>
      <w:tr>
        <w:tc>
          <w:tcPr>
            <w:tcW w:type="dxa" w:w="2232"/>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Opening</w:t>
            </w:r>
          </w:p>
        </w:tc>
        <w:tc>
          <w:tcPr>
            <w:tcW w:type="dxa" w:w="7703"/>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Thank the buyer for the interest. Establish that the family wants to understand the buyer’s goals before discussing a formal process.</w:t>
            </w:r>
          </w:p>
        </w:tc>
      </w:tr>
      <w:tr>
        <w:tc>
          <w:tcPr>
            <w:tcW w:type="dxa" w:w="2232"/>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Company Story</w:t>
            </w:r>
          </w:p>
        </w:tc>
        <w:tc>
          <w:tcPr>
            <w:tcW w:type="dxa" w:w="7703"/>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Describe the business in a concise narrative: why it was built, the services it performs, the people who make it work, and the reputation it has earned. Use the buyer-facing overview as the factual backbone.</w:t>
            </w:r>
          </w:p>
        </w:tc>
      </w:tr>
      <w:tr>
        <w:tc>
          <w:tcPr>
            <w:tcW w:type="dxa" w:w="2232"/>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Buyer Perspective</w:t>
            </w:r>
          </w:p>
        </w:tc>
        <w:tc>
          <w:tcPr>
            <w:tcW w:type="dxa" w:w="7703"/>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Invite the buyer to explain why the Company is of interest, how it would fit into the buyer’s organization, and what a successful acquisition would look like from their point of view.</w:t>
            </w:r>
          </w:p>
        </w:tc>
      </w:tr>
      <w:tr>
        <w:tc>
          <w:tcPr>
            <w:tcW w:type="dxa" w:w="2232"/>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Transition &amp; Values</w:t>
            </w:r>
          </w:p>
        </w:tc>
        <w:tc>
          <w:tcPr>
            <w:tcW w:type="dxa" w:w="7703"/>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Discuss customers, employees, safety culture, family legacy, and the expected involvement of current owners or leaders after closing—at a high level only.</w:t>
            </w:r>
          </w:p>
        </w:tc>
      </w:tr>
      <w:tr>
        <w:tc>
          <w:tcPr>
            <w:tcW w:type="dxa" w:w="2232"/>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Process &amp; Next Step</w:t>
            </w:r>
          </w:p>
        </w:tc>
        <w:tc>
          <w:tcPr>
            <w:tcW w:type="dxa" w:w="7703"/>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Confirm whether there is mutual interest. If so, propose a confidentiality agreement, followed by a staged information exchange and a later discussion of structure and economics.</w:t>
            </w:r>
          </w:p>
        </w:tc>
      </w:tr>
    </w:tbl>
    <w:p>
      <w:pPr>
        <w:pStyle w:val="Heading2"/>
      </w:pPr>
      <w:r>
        <w:rPr>
          <w:rFonts w:ascii="Arial" w:hAnsi="Arial" w:eastAsia="Arial"/>
          <w:b/>
          <w:i w:val="0"/>
          <w:color w:val="0F2F4F"/>
          <w:sz w:val="22"/>
        </w:rPr>
        <w:t>Opening Script</w:t>
      </w:r>
    </w:p>
    <w:tbl>
      <w:tblPr>
        <w:tblW w:type="dxa" w:w="9936"/>
        <w:jc w:val="center"/>
        <w:tblLayout w:type="fixed"/>
        <w:tblLook w:firstColumn="1" w:firstRow="1" w:lastColumn="0" w:lastRow="0" w:noHBand="0" w:noVBand="1" w:val="04A0"/>
      </w:tblPr>
      <w:tblGrid>
        <w:gridCol w:w="9936"/>
      </w:tblGrid>
      <w:tr>
        <w:tc>
          <w:tcPr>
            <w:tcW w:type="dxa" w:w="9936"/>
            <w:shd w:fill="EAF0F5" w:val="clear"/>
            <w:tcMar>
              <w:top w:w="90" w:type="dxa"/>
              <w:start w:w="120" w:type="dxa"/>
              <w:bottom w:w="90" w:type="dxa"/>
              <w:end w:w="120" w:type="dxa"/>
            </w:tcMar>
            <w:tcBorders>
              <w:top w:val="single" w:sz="4" w:color="C9D7E2"/>
              <w:left w:val="single" w:sz="4" w:color="C9D7E2"/>
              <w:bottom w:val="single" w:sz="4" w:color="C9D7E2"/>
              <w:right w:val="single" w:sz="4" w:color="C9D7E2"/>
            </w:tcBorders>
          </w:tcPr>
          <w:p>
            <w:pPr>
              <w:spacing w:before="0" w:after="0" w:line="269" w:lineRule="auto"/>
            </w:pPr>
            <w:r/>
            <w:r>
              <w:rPr>
                <w:rFonts w:ascii="Arial" w:hAnsi="Arial" w:eastAsia="Arial"/>
                <w:b w:val="0"/>
                <w:i w:val="0"/>
                <w:sz w:val="17"/>
              </w:rPr>
              <w:t xml:space="preserve">“We appreciate your interest in </w:t>
            </w:r>
            <w:r>
              <w:rPr>
                <w:rFonts w:ascii="Arial" w:hAnsi="Arial" w:eastAsia="Arial"/>
                <w:b w:val="0"/>
                <w:i w:val="0"/>
                <w:color w:val="8A4C00"/>
                <w:sz w:val="17"/>
                <w:highlight w:val="yellow"/>
              </w:rPr>
              <w:t>[Company Name]</w:t>
            </w:r>
            <w:r>
              <w:rPr>
                <w:rFonts w:ascii="Arial" w:hAnsi="Arial" w:eastAsia="Arial"/>
                <w:b w:val="0"/>
                <w:i w:val="0"/>
                <w:sz w:val="17"/>
              </w:rPr>
              <w:t xml:space="preserve">. Our family has spent </w:t>
            </w:r>
            <w:r>
              <w:rPr>
                <w:rFonts w:ascii="Arial" w:hAnsi="Arial" w:eastAsia="Arial"/>
                <w:b w:val="0"/>
                <w:i w:val="0"/>
                <w:color w:val="8A4C00"/>
                <w:sz w:val="17"/>
                <w:highlight w:val="yellow"/>
              </w:rPr>
              <w:t>[X]</w:t>
            </w:r>
            <w:r>
              <w:rPr>
                <w:rFonts w:ascii="Arial" w:hAnsi="Arial" w:eastAsia="Arial"/>
                <w:b w:val="0"/>
                <w:i w:val="0"/>
                <w:sz w:val="17"/>
              </w:rPr>
              <w:t xml:space="preserve"> years building a business that our employees and customers can rely on. We are willing to have a serious conversation with the right party, but we also want to be thoughtful about our people, customers, and legacy. Tonight, we would like to learn more about your interest and determine whether there is a fit worth exploring through a structured, confidential process.”</w:t>
            </w:r>
          </w:p>
        </w:tc>
      </w:tr>
    </w:tbl>
    <w:p>
      <w:pPr>
        <w:pStyle w:val="Heading2"/>
      </w:pPr>
      <w:r>
        <w:rPr>
          <w:rFonts w:ascii="Arial" w:hAnsi="Arial" w:eastAsia="Arial"/>
          <w:b/>
          <w:i w:val="0"/>
          <w:color w:val="0F2F4F"/>
          <w:sz w:val="22"/>
        </w:rPr>
        <w:t>Company Story: Four Points to Cover</w:t>
      </w:r>
    </w:p>
    <w:p>
      <w:pPr>
        <w:pStyle w:val="ListBullet"/>
        <w:spacing w:before="0" w:after="40" w:line="269" w:lineRule="auto"/>
      </w:pPr>
      <w:r>
        <w:rPr>
          <w:rFonts w:ascii="Arial" w:hAnsi="Arial" w:eastAsia="Arial"/>
          <w:b/>
          <w:i w:val="0"/>
          <w:color w:val="0F2F4F"/>
          <w:sz w:val="17"/>
        </w:rPr>
        <w:t>Origins and legacy:</w:t>
      </w:r>
      <w:r>
        <w:rPr>
          <w:rFonts w:ascii="Arial" w:hAnsi="Arial" w:eastAsia="Arial"/>
          <w:b w:val="0"/>
          <w:i w:val="0"/>
          <w:color w:val="8A4C00"/>
          <w:sz w:val="17"/>
          <w:highlight w:val="yellow"/>
        </w:rPr>
        <w:t xml:space="preserve"> [Why the company was founded and the family’s connection to it.]</w:t>
      </w:r>
    </w:p>
    <w:p>
      <w:pPr>
        <w:pStyle w:val="ListBullet"/>
        <w:spacing w:before="0" w:after="40" w:line="269" w:lineRule="auto"/>
      </w:pPr>
      <w:r>
        <w:rPr>
          <w:rFonts w:ascii="Arial" w:hAnsi="Arial" w:eastAsia="Arial"/>
          <w:b/>
          <w:i w:val="0"/>
          <w:color w:val="0F2F4F"/>
          <w:sz w:val="17"/>
        </w:rPr>
        <w:t>What the business does best:</w:t>
      </w:r>
      <w:r>
        <w:rPr>
          <w:rFonts w:ascii="Arial" w:hAnsi="Arial" w:eastAsia="Arial"/>
          <w:b w:val="0"/>
          <w:i w:val="0"/>
          <w:color w:val="8A4C00"/>
          <w:sz w:val="17"/>
          <w:highlight w:val="yellow"/>
        </w:rPr>
        <w:t xml:space="preserve"> [One or two highly credible service strengths, illustrated by a non-confidential example.]</w:t>
      </w:r>
    </w:p>
    <w:p>
      <w:pPr>
        <w:pStyle w:val="ListBullet"/>
        <w:spacing w:before="0" w:after="40" w:line="269" w:lineRule="auto"/>
      </w:pPr>
      <w:r>
        <w:rPr>
          <w:rFonts w:ascii="Arial" w:hAnsi="Arial" w:eastAsia="Arial"/>
          <w:b/>
          <w:i w:val="0"/>
          <w:color w:val="0F2F4F"/>
          <w:sz w:val="17"/>
        </w:rPr>
        <w:t>People and culture:</w:t>
      </w:r>
      <w:r>
        <w:rPr>
          <w:rFonts w:ascii="Arial" w:hAnsi="Arial" w:eastAsia="Arial"/>
          <w:b w:val="0"/>
          <w:i w:val="0"/>
          <w:color w:val="8A4C00"/>
          <w:sz w:val="17"/>
          <w:highlight w:val="yellow"/>
        </w:rPr>
        <w:t xml:space="preserve"> [Safety, reliability, retention, leadership, and the team’s role in the business.]</w:t>
      </w:r>
    </w:p>
    <w:p>
      <w:pPr>
        <w:pStyle w:val="ListBullet"/>
        <w:spacing w:before="0" w:after="40" w:line="269" w:lineRule="auto"/>
      </w:pPr>
      <w:r>
        <w:rPr>
          <w:rFonts w:ascii="Arial" w:hAnsi="Arial" w:eastAsia="Arial"/>
          <w:b/>
          <w:i w:val="0"/>
          <w:color w:val="0F2F4F"/>
          <w:sz w:val="17"/>
        </w:rPr>
        <w:t>Future opportunity:</w:t>
      </w:r>
      <w:r>
        <w:rPr>
          <w:rFonts w:ascii="Arial" w:hAnsi="Arial" w:eastAsia="Arial"/>
          <w:b w:val="0"/>
          <w:i w:val="0"/>
          <w:color w:val="8A4C00"/>
          <w:sz w:val="17"/>
          <w:highlight w:val="yellow"/>
        </w:rPr>
        <w:t xml:space="preserve"> [Where the company could grow with the right partner, without promising forecasts.]</w:t>
      </w:r>
    </w:p>
    <w:p>
      <w:r>
        <w:br w:type="page"/>
      </w:r>
    </w:p>
    <w:p>
      <w:pPr>
        <w:spacing w:before="0" w:after="200" w:line="269" w:lineRule="auto"/>
        <w:ind w:left="115" w:right="115"/>
        <w:shd w:fill="0F2F4F" w:val="clear"/>
      </w:pPr>
      <w:r>
        <w:rPr>
          <w:rFonts w:ascii="Arial" w:hAnsi="Arial" w:eastAsia="Arial"/>
          <w:b/>
          <w:i w:val="0"/>
          <w:color w:val="FFFFFF"/>
          <w:sz w:val="16"/>
        </w:rPr>
        <w:t>FAMILY-ONLY MATERIAL — DO NOT LEAVE WITH OR EMAIL TO THE BUYER</w:t>
      </w:r>
    </w:p>
    <w:p>
      <w:pPr>
        <w:spacing w:before="0" w:after="100" w:line="269" w:lineRule="auto"/>
      </w:pPr>
      <w:r>
        <w:rPr>
          <w:rFonts w:ascii="Arial" w:hAnsi="Arial" w:eastAsia="Arial"/>
          <w:b/>
          <w:i w:val="0"/>
          <w:color w:val="BD8D2D"/>
          <w:sz w:val="16"/>
        </w:rPr>
        <w:t>DISCUSSION QUESTIONS &amp; PROCESS CONTROLS</w:t>
      </w:r>
    </w:p>
    <w:p>
      <w:pPr>
        <w:pStyle w:val="Title"/>
        <w:spacing w:before="0" w:after="60" w:line="269" w:lineRule="auto"/>
      </w:pPr>
      <w:r>
        <w:rPr>
          <w:rFonts w:ascii="Arial" w:hAnsi="Arial" w:eastAsia="Arial"/>
          <w:b/>
          <w:i w:val="0"/>
          <w:color w:val="0F2F4F"/>
          <w:sz w:val="37"/>
        </w:rPr>
        <w:t>Questions to Ask—and Information to Hold Back</w:t>
      </w:r>
    </w:p>
    <w:p>
      <w:pPr>
        <w:pStyle w:val="Heading2"/>
      </w:pPr>
      <w:r>
        <w:rPr>
          <w:rFonts w:ascii="Arial" w:hAnsi="Arial" w:eastAsia="Arial"/>
          <w:b/>
          <w:i w:val="0"/>
          <w:color w:val="0F2F4F"/>
          <w:sz w:val="22"/>
        </w:rPr>
        <w:t>Questions for the Buyer</w:t>
      </w:r>
    </w:p>
    <w:p>
      <w:pPr>
        <w:pStyle w:val="ListBullet"/>
        <w:spacing w:before="0" w:after="40" w:line="269" w:lineRule="auto"/>
      </w:pPr>
      <w:r>
        <w:rPr>
          <w:rFonts w:ascii="Arial" w:hAnsi="Arial" w:eastAsia="Arial"/>
          <w:b/>
          <w:i w:val="0"/>
          <w:color w:val="0F2F4F"/>
          <w:sz w:val="17"/>
        </w:rPr>
        <w:t>Strategic rationale.</w:t>
      </w:r>
      <w:r>
        <w:rPr>
          <w:rFonts w:ascii="Arial" w:hAnsi="Arial" w:eastAsia="Arial"/>
          <w:b w:val="0"/>
          <w:i w:val="0"/>
          <w:sz w:val="17"/>
        </w:rPr>
        <w:t xml:space="preserve"> “What specifically makes our company attractive to you, and how would it fit within your existing business or investment plans?”</w:t>
      </w:r>
    </w:p>
    <w:p>
      <w:pPr>
        <w:pStyle w:val="ListBullet"/>
        <w:spacing w:before="0" w:after="40" w:line="269" w:lineRule="auto"/>
      </w:pPr>
      <w:r>
        <w:rPr>
          <w:rFonts w:ascii="Arial" w:hAnsi="Arial" w:eastAsia="Arial"/>
          <w:b/>
          <w:i w:val="0"/>
          <w:color w:val="0F2F4F"/>
          <w:sz w:val="17"/>
        </w:rPr>
        <w:t>Ownership and authority.</w:t>
      </w:r>
      <w:r>
        <w:rPr>
          <w:rFonts w:ascii="Arial" w:hAnsi="Arial" w:eastAsia="Arial"/>
          <w:b w:val="0"/>
          <w:i w:val="0"/>
          <w:sz w:val="17"/>
        </w:rPr>
        <w:t xml:space="preserve"> “Who would ultimately make the decision to acquire the company, and what approvals or financing would be required?”</w:t>
      </w:r>
    </w:p>
    <w:p>
      <w:pPr>
        <w:pStyle w:val="ListBullet"/>
        <w:spacing w:before="0" w:after="40" w:line="269" w:lineRule="auto"/>
      </w:pPr>
      <w:r>
        <w:rPr>
          <w:rFonts w:ascii="Arial" w:hAnsi="Arial" w:eastAsia="Arial"/>
          <w:b/>
          <w:i w:val="0"/>
          <w:color w:val="0F2F4F"/>
          <w:sz w:val="17"/>
        </w:rPr>
        <w:t>Operating plan.</w:t>
      </w:r>
      <w:r>
        <w:rPr>
          <w:rFonts w:ascii="Arial" w:hAnsi="Arial" w:eastAsia="Arial"/>
          <w:b w:val="0"/>
          <w:i w:val="0"/>
          <w:sz w:val="17"/>
        </w:rPr>
        <w:t xml:space="preserve"> “If an acquisition occurred, how do you envision serving our customers, maintaining our equipment and facilities, and supporting our employees?”</w:t>
      </w:r>
    </w:p>
    <w:p>
      <w:pPr>
        <w:pStyle w:val="ListBullet"/>
        <w:spacing w:before="0" w:after="40" w:line="269" w:lineRule="auto"/>
      </w:pPr>
      <w:r>
        <w:rPr>
          <w:rFonts w:ascii="Arial" w:hAnsi="Arial" w:eastAsia="Arial"/>
          <w:b/>
          <w:i w:val="0"/>
          <w:color w:val="0F2F4F"/>
          <w:sz w:val="17"/>
        </w:rPr>
        <w:t>People and transition.</w:t>
      </w:r>
      <w:r>
        <w:rPr>
          <w:rFonts w:ascii="Arial" w:hAnsi="Arial" w:eastAsia="Arial"/>
          <w:b w:val="0"/>
          <w:i w:val="0"/>
          <w:sz w:val="17"/>
        </w:rPr>
        <w:t xml:space="preserve"> “What role would you expect our current owners and key leaders to play during and after a transition? How do you typically approach employee continuity?”</w:t>
      </w:r>
    </w:p>
    <w:p>
      <w:pPr>
        <w:pStyle w:val="ListBullet"/>
        <w:spacing w:before="0" w:after="40" w:line="269" w:lineRule="auto"/>
      </w:pPr>
      <w:r>
        <w:rPr>
          <w:rFonts w:ascii="Arial" w:hAnsi="Arial" w:eastAsia="Arial"/>
          <w:b/>
          <w:i w:val="0"/>
          <w:color w:val="0F2F4F"/>
          <w:sz w:val="17"/>
        </w:rPr>
        <w:t>Transaction experience.</w:t>
      </w:r>
      <w:r>
        <w:rPr>
          <w:rFonts w:ascii="Arial" w:hAnsi="Arial" w:eastAsia="Arial"/>
          <w:b w:val="0"/>
          <w:i w:val="0"/>
          <w:sz w:val="17"/>
        </w:rPr>
        <w:t xml:space="preserve"> “Have you acquired similar businesses before? What did the transition look like for those owners, employees, and customers?”</w:t>
      </w:r>
    </w:p>
    <w:p>
      <w:pPr>
        <w:pStyle w:val="ListBullet"/>
        <w:spacing w:before="0" w:after="40" w:line="269" w:lineRule="auto"/>
      </w:pPr>
      <w:r>
        <w:rPr>
          <w:rFonts w:ascii="Arial" w:hAnsi="Arial" w:eastAsia="Arial"/>
          <w:b/>
          <w:i w:val="0"/>
          <w:color w:val="0F2F4F"/>
          <w:sz w:val="17"/>
        </w:rPr>
        <w:t>Process.</w:t>
      </w:r>
      <w:r>
        <w:rPr>
          <w:rFonts w:ascii="Arial" w:hAnsi="Arial" w:eastAsia="Arial"/>
          <w:b w:val="0"/>
          <w:i w:val="0"/>
          <w:sz w:val="17"/>
        </w:rPr>
        <w:t xml:space="preserve"> “What information would you need to assess fit initially, and would you be willing to begin with a mutual confidentiality agreement and a phased diligence process?”</w:t>
      </w:r>
    </w:p>
    <w:p>
      <w:pPr>
        <w:pStyle w:val="ListBullet"/>
        <w:spacing w:before="0" w:after="40" w:line="269" w:lineRule="auto"/>
      </w:pPr>
      <w:r>
        <w:rPr>
          <w:rFonts w:ascii="Arial" w:hAnsi="Arial" w:eastAsia="Arial"/>
          <w:b/>
          <w:i w:val="0"/>
          <w:color w:val="0F2F4F"/>
          <w:sz w:val="17"/>
        </w:rPr>
        <w:t>Economics—without negotiating prematurely.</w:t>
      </w:r>
      <w:r>
        <w:rPr>
          <w:rFonts w:ascii="Arial" w:hAnsi="Arial" w:eastAsia="Arial"/>
          <w:b w:val="0"/>
          <w:i w:val="0"/>
          <w:sz w:val="17"/>
        </w:rPr>
        <w:t xml:space="preserve"> “At the appropriate point, how do you typically think about value and transaction structure for a business like ours?”</w:t>
      </w:r>
    </w:p>
    <w:p>
      <w:pPr>
        <w:pStyle w:val="Heading2"/>
      </w:pPr>
      <w:r>
        <w:rPr>
          <w:rFonts w:ascii="Arial" w:hAnsi="Arial" w:eastAsia="Arial"/>
          <w:b/>
          <w:i w:val="0"/>
          <w:color w:val="0F2F4F"/>
          <w:sz w:val="22"/>
        </w:rPr>
        <w:t>Information to Reserve Until a Written Agreement Is in Place</w:t>
      </w:r>
    </w:p>
    <w:tbl>
      <w:tblPr>
        <w:tblW w:type="dxa" w:w="9936"/>
        <w:jc w:val="center"/>
        <w:tblLayout w:type="fixed"/>
        <w:tblLook w:firstColumn="1" w:firstRow="1" w:lastColumn="0" w:lastRow="0" w:noHBand="0" w:noVBand="1" w:val="04A0"/>
      </w:tblPr>
      <w:tblGrid>
        <w:gridCol w:w="4968"/>
        <w:gridCol w:w="4968"/>
      </w:tblGrid>
      <w:tr>
        <w:trPr>
          <w:tblHeader w:val="true"/>
        </w:trPr>
        <w:tc>
          <w:tcPr>
            <w:tcW w:type="dxa" w:w="1655"/>
            <w:shd w:fill="0F2F4F" w:val="clear"/>
            <w:tcMar>
              <w:top w:w="70" w:type="dxa"/>
              <w:start w:w="90" w:type="dxa"/>
              <w:bottom w:w="70" w:type="dxa"/>
              <w:end w:w="90" w:type="dxa"/>
            </w:tcMar>
          </w:tcPr>
          <w:p>
            <w:pPr>
              <w:spacing w:before="0" w:after="0" w:line="269" w:lineRule="auto"/>
            </w:pPr>
            <w:r/>
            <w:r>
              <w:rPr>
                <w:rFonts w:ascii="Arial" w:hAnsi="Arial" w:eastAsia="Arial"/>
                <w:b/>
                <w:i w:val="0"/>
                <w:color w:val="FFFFFF"/>
                <w:sz w:val="16"/>
              </w:rPr>
              <w:t>Hold Back</w:t>
            </w:r>
          </w:p>
        </w:tc>
        <w:tc>
          <w:tcPr>
            <w:tcW w:type="dxa" w:w="8280"/>
            <w:shd w:fill="0F2F4F" w:val="clear"/>
            <w:tcMar>
              <w:top w:w="70" w:type="dxa"/>
              <w:start w:w="90" w:type="dxa"/>
              <w:bottom w:w="70" w:type="dxa"/>
              <w:end w:w="90" w:type="dxa"/>
            </w:tcMar>
          </w:tcPr>
          <w:p>
            <w:pPr>
              <w:spacing w:before="0" w:after="0" w:line="269" w:lineRule="auto"/>
            </w:pPr>
            <w:r/>
            <w:r>
              <w:rPr>
                <w:rFonts w:ascii="Arial" w:hAnsi="Arial" w:eastAsia="Arial"/>
                <w:b/>
                <w:i w:val="0"/>
                <w:color w:val="FFFFFF"/>
                <w:sz w:val="16"/>
              </w:rPr>
              <w:t>Examples</w:t>
            </w:r>
          </w:p>
        </w:tc>
      </w:tr>
      <w:tr>
        <w:tc>
          <w:tcPr>
            <w:tcW w:type="dxa" w:w="1655"/>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Reserve</w:t>
            </w:r>
          </w:p>
        </w:tc>
        <w:tc>
          <w:tcPr>
            <w:tcW w:type="dxa" w:w="8280"/>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Named customer lists, customer-level revenue, pricing, terms, contacts, and contract copies.</w:t>
            </w:r>
          </w:p>
        </w:tc>
      </w:tr>
      <w:tr>
        <w:tc>
          <w:tcPr>
            <w:tcW w:type="dxa" w:w="1655"/>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Reserve</w:t>
            </w:r>
          </w:p>
        </w:tc>
        <w:tc>
          <w:tcPr>
            <w:tcW w:type="dxa" w:w="8280"/>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Detailed financial statements, tax returns, compensation information, bank information, and debt details.</w:t>
            </w:r>
          </w:p>
        </w:tc>
      </w:tr>
      <w:tr>
        <w:tc>
          <w:tcPr>
            <w:tcW w:type="dxa" w:w="1655"/>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Reserve</w:t>
            </w:r>
          </w:p>
        </w:tc>
        <w:tc>
          <w:tcPr>
            <w:tcW w:type="dxa" w:w="8280"/>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Exact equipment values, maintenance history, fleet IDs, insurance claims, and asset-level records.</w:t>
            </w:r>
          </w:p>
        </w:tc>
      </w:tr>
      <w:tr>
        <w:tc>
          <w:tcPr>
            <w:tcW w:type="dxa" w:w="1655"/>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Reserve</w:t>
            </w:r>
          </w:p>
        </w:tc>
        <w:tc>
          <w:tcPr>
            <w:tcW w:type="dxa" w:w="8280"/>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Employee compensation, personnel files, sensitive operating procedures, and vendor-specific arrangements.</w:t>
            </w:r>
          </w:p>
        </w:tc>
      </w:tr>
      <w:tr>
        <w:tc>
          <w:tcPr>
            <w:tcW w:type="dxa" w:w="1655"/>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i w:val="0"/>
                <w:color w:val="BD8D2D"/>
                <w:sz w:val="16"/>
              </w:rPr>
              <w:t>Reserve</w:t>
            </w:r>
          </w:p>
        </w:tc>
        <w:tc>
          <w:tcPr>
            <w:tcW w:type="dxa" w:w="8280"/>
            <w:tcMar>
              <w:top w:w="70" w:type="dxa"/>
              <w:start w:w="90" w:type="dxa"/>
              <w:bottom w:w="70" w:type="dxa"/>
              <w:end w:w="90" w:type="dxa"/>
            </w:tcMar>
            <w:tcBorders>
              <w:bottom w:val="single" w:sz="4" w:color="D8DFE4"/>
            </w:tcBorders>
          </w:tcPr>
          <w:p>
            <w:pPr>
              <w:spacing w:before="0" w:after="0" w:line="269" w:lineRule="auto"/>
            </w:pPr>
            <w:r/>
            <w:r>
              <w:rPr>
                <w:rFonts w:ascii="Arial" w:hAnsi="Arial" w:eastAsia="Arial"/>
                <w:b w:val="0"/>
                <w:i w:val="0"/>
                <w:sz w:val="16"/>
              </w:rPr>
              <w:t>Any commitment on price, exclusivity, timeline, post-closing role, or transaction structure.</w:t>
            </w:r>
          </w:p>
        </w:tc>
      </w:tr>
    </w:tbl>
    <w:tbl>
      <w:tblPr>
        <w:tblW w:type="dxa" w:w="9936"/>
        <w:jc w:val="center"/>
        <w:tblLayout w:type="fixed"/>
        <w:tblLook w:firstColumn="1" w:firstRow="1" w:lastColumn="0" w:lastRow="0" w:noHBand="0" w:noVBand="1" w:val="04A0"/>
      </w:tblPr>
      <w:tblGrid>
        <w:gridCol w:w="9936"/>
      </w:tblGrid>
      <w:tr>
        <w:tc>
          <w:tcPr>
            <w:tcW w:type="dxa" w:w="9936"/>
            <w:shd w:fill="FFF7E5" w:val="clear"/>
            <w:tcMar>
              <w:top w:w="85" w:type="dxa"/>
              <w:start w:w="120" w:type="dxa"/>
              <w:bottom w:w="85" w:type="dxa"/>
              <w:end w:w="120" w:type="dxa"/>
            </w:tcMar>
            <w:tcBorders>
              <w:top w:val="single" w:sz="4" w:color="EAD7A6"/>
              <w:left w:val="single" w:sz="4" w:color="EAD7A6"/>
              <w:bottom w:val="single" w:sz="4" w:color="EAD7A6"/>
              <w:right w:val="single" w:sz="4" w:color="EAD7A6"/>
            </w:tcBorders>
          </w:tcPr>
          <w:p>
            <w:pPr>
              <w:spacing w:before="0" w:after="0" w:line="269" w:lineRule="auto"/>
            </w:pPr>
            <w:r/>
            <w:r>
              <w:rPr>
                <w:rFonts w:ascii="Arial" w:hAnsi="Arial" w:eastAsia="Arial"/>
                <w:b/>
                <w:i w:val="0"/>
                <w:color w:val="0F2F4F"/>
                <w:sz w:val="17"/>
              </w:rPr>
              <w:t xml:space="preserve">A useful redirect if the conversation becomes too specific: </w:t>
            </w:r>
            <w:r>
              <w:rPr>
                <w:rFonts w:ascii="Arial" w:hAnsi="Arial" w:eastAsia="Arial"/>
                <w:b w:val="0"/>
                <w:i w:val="0"/>
                <w:sz w:val="17"/>
              </w:rPr>
              <w:t>“We are happy to address that in the right process. Before sharing detailed operational or financial information, we would want to put a mutual confidentiality agreement in place and make sure there is a genuine fit on both sides.”</w:t>
            </w:r>
          </w:p>
        </w:tc>
      </w:tr>
    </w:tbl>
    <w:p>
      <w:pPr>
        <w:pStyle w:val="Heading2"/>
      </w:pPr>
      <w:r>
        <w:rPr>
          <w:rFonts w:ascii="Arial" w:hAnsi="Arial" w:eastAsia="Arial"/>
          <w:b/>
          <w:i w:val="0"/>
          <w:color w:val="0F2F4F"/>
          <w:sz w:val="22"/>
        </w:rPr>
        <w:t>Proposed Next Step</w:t>
      </w:r>
    </w:p>
    <w:p>
      <w:pPr>
        <w:spacing w:before="0" w:after="140" w:line="269" w:lineRule="auto"/>
      </w:pPr>
      <w:r>
        <w:rPr>
          <w:rFonts w:ascii="Arial" w:hAnsi="Arial" w:eastAsia="Arial"/>
          <w:b w:val="0"/>
          <w:i w:val="0"/>
          <w:sz w:val="17"/>
        </w:rPr>
        <w:t>If the conversation is constructive, close with: “We believe there may be enough mutual interest to continue. Let’s have counsel or advisers exchange a simple mutual confidentiality agreement. Once that is in place, we can share a carefully selected initial information package and agree on a sensible path for further discussions.”</w:t>
      </w:r>
    </w:p>
    <w:p>
      <w:pPr>
        <w:pStyle w:val="Heading2"/>
      </w:pPr>
      <w:r>
        <w:rPr>
          <w:rFonts w:ascii="Arial" w:hAnsi="Arial" w:eastAsia="Arial"/>
          <w:b/>
          <w:i w:val="0"/>
          <w:color w:val="0F2F4F"/>
          <w:sz w:val="22"/>
        </w:rPr>
        <w:t>Immediate Post-Dinner Debrief</w:t>
      </w:r>
    </w:p>
    <w:tbl>
      <w:tblPr>
        <w:tblW w:type="dxa" w:w="9936"/>
        <w:jc w:val="center"/>
        <w:tblLayout w:type="fixed"/>
        <w:tblLook w:firstColumn="1" w:firstRow="1" w:lastColumn="0" w:lastRow="0" w:noHBand="0" w:noVBand="1" w:val="04A0"/>
      </w:tblPr>
      <w:tblGrid>
        <w:gridCol w:w="4968"/>
        <w:gridCol w:w="4968"/>
      </w:tblGrid>
      <w:tr>
        <w:trPr>
          <w:tblHeader w:val="true"/>
        </w:trPr>
        <w:tc>
          <w:tcPr>
            <w:tcW w:type="dxa" w:w="6623"/>
            <w:shd w:fill="0F2F4F" w:val="clear"/>
            <w:tcMar>
              <w:top w:w="70" w:type="dxa"/>
              <w:start w:w="90" w:type="dxa"/>
              <w:bottom w:w="70" w:type="dxa"/>
              <w:end w:w="90" w:type="dxa"/>
            </w:tcMar>
          </w:tcPr>
          <w:p>
            <w:pPr>
              <w:spacing w:before="0" w:after="0" w:line="269" w:lineRule="auto"/>
            </w:pPr>
            <w:r/>
            <w:r>
              <w:rPr>
                <w:rFonts w:ascii="Arial" w:hAnsi="Arial" w:eastAsia="Arial"/>
                <w:b/>
                <w:i w:val="0"/>
                <w:color w:val="FFFFFF"/>
                <w:sz w:val="16"/>
              </w:rPr>
              <w:t>Question</w:t>
            </w:r>
          </w:p>
        </w:tc>
        <w:tc>
          <w:tcPr>
            <w:tcW w:type="dxa" w:w="3311"/>
            <w:shd w:fill="0F2F4F" w:val="clear"/>
            <w:tcMar>
              <w:top w:w="70" w:type="dxa"/>
              <w:start w:w="90" w:type="dxa"/>
              <w:bottom w:w="70" w:type="dxa"/>
              <w:end w:w="90" w:type="dxa"/>
            </w:tcMar>
          </w:tcPr>
          <w:p>
            <w:pPr>
              <w:spacing w:before="0" w:after="0" w:line="269" w:lineRule="auto"/>
            </w:pPr>
            <w:r/>
            <w:r>
              <w:rPr>
                <w:rFonts w:ascii="Arial" w:hAnsi="Arial" w:eastAsia="Arial"/>
                <w:b/>
                <w:i w:val="0"/>
                <w:color w:val="FFFFFF"/>
                <w:sz w:val="16"/>
              </w:rPr>
              <w:t>Family Notes</w:t>
            </w:r>
          </w:p>
        </w:tc>
      </w:tr>
      <w:tr>
        <w:tc>
          <w:tcPr>
            <w:tcW w:type="dxa" w:w="6623"/>
            <w:tcMar>
              <w:top w:w="35" w:type="dxa"/>
              <w:start w:w="90" w:type="dxa"/>
              <w:bottom w:w="35" w:type="dxa"/>
              <w:end w:w="90" w:type="dxa"/>
            </w:tcMar>
            <w:tcBorders>
              <w:bottom w:val="single" w:sz="4" w:color="D8DFE4"/>
            </w:tcBorders>
          </w:tcPr>
          <w:p>
            <w:pPr>
              <w:spacing w:before="0" w:after="0" w:line="269" w:lineRule="auto"/>
            </w:pPr>
            <w:r/>
            <w:r>
              <w:rPr>
                <w:rFonts w:ascii="Arial" w:hAnsi="Arial" w:eastAsia="Arial"/>
                <w:b w:val="0"/>
                <w:i w:val="0"/>
                <w:sz w:val="15"/>
              </w:rPr>
              <w:t>Is the buyer credible and strategically motivated?</w:t>
            </w:r>
          </w:p>
        </w:tc>
        <w:tc>
          <w:tcPr>
            <w:tcW w:type="dxa" w:w="3311"/>
            <w:tcMar>
              <w:top w:w="35" w:type="dxa"/>
              <w:start w:w="90" w:type="dxa"/>
              <w:bottom w:w="35" w:type="dxa"/>
              <w:end w:w="90" w:type="dxa"/>
            </w:tcMar>
            <w:tcBorders>
              <w:bottom w:val="single" w:sz="4" w:color="D8DFE4"/>
            </w:tcBorders>
          </w:tcPr>
          <w:p>
            <w:pPr>
              <w:spacing w:before="0" w:after="0" w:line="269" w:lineRule="auto"/>
            </w:pPr>
            <w:r/>
          </w:p>
        </w:tc>
      </w:tr>
      <w:tr>
        <w:tc>
          <w:tcPr>
            <w:tcW w:type="dxa" w:w="6623"/>
            <w:tcMar>
              <w:top w:w="35" w:type="dxa"/>
              <w:start w:w="90" w:type="dxa"/>
              <w:bottom w:w="35" w:type="dxa"/>
              <w:end w:w="90" w:type="dxa"/>
            </w:tcMar>
            <w:tcBorders>
              <w:bottom w:val="single" w:sz="4" w:color="D8DFE4"/>
            </w:tcBorders>
          </w:tcPr>
          <w:p>
            <w:pPr>
              <w:spacing w:before="0" w:after="0" w:line="269" w:lineRule="auto"/>
            </w:pPr>
            <w:r/>
            <w:r>
              <w:rPr>
                <w:rFonts w:ascii="Arial" w:hAnsi="Arial" w:eastAsia="Arial"/>
                <w:b w:val="0"/>
                <w:i w:val="0"/>
                <w:sz w:val="15"/>
              </w:rPr>
              <w:t>Will the buyer protect employees, customers, and the family’s legacy?</w:t>
            </w:r>
          </w:p>
        </w:tc>
        <w:tc>
          <w:tcPr>
            <w:tcW w:type="dxa" w:w="3311"/>
            <w:tcMar>
              <w:top w:w="35" w:type="dxa"/>
              <w:start w:w="90" w:type="dxa"/>
              <w:bottom w:w="35" w:type="dxa"/>
              <w:end w:w="90" w:type="dxa"/>
            </w:tcMar>
            <w:tcBorders>
              <w:bottom w:val="single" w:sz="4" w:color="D8DFE4"/>
            </w:tcBorders>
          </w:tcPr>
          <w:p>
            <w:pPr>
              <w:spacing w:before="0" w:after="0" w:line="269" w:lineRule="auto"/>
            </w:pPr>
            <w:r/>
          </w:p>
        </w:tc>
      </w:tr>
      <w:tr>
        <w:tc>
          <w:tcPr>
            <w:tcW w:type="dxa" w:w="6623"/>
            <w:tcMar>
              <w:top w:w="35" w:type="dxa"/>
              <w:start w:w="90" w:type="dxa"/>
              <w:bottom w:w="35" w:type="dxa"/>
              <w:end w:w="90" w:type="dxa"/>
            </w:tcMar>
            <w:tcBorders>
              <w:bottom w:val="single" w:sz="4" w:color="D8DFE4"/>
            </w:tcBorders>
          </w:tcPr>
          <w:p>
            <w:pPr>
              <w:spacing w:before="0" w:after="0" w:line="269" w:lineRule="auto"/>
            </w:pPr>
            <w:r/>
            <w:r>
              <w:rPr>
                <w:rFonts w:ascii="Arial" w:hAnsi="Arial" w:eastAsia="Arial"/>
                <w:b w:val="0"/>
                <w:i w:val="0"/>
                <w:sz w:val="15"/>
              </w:rPr>
              <w:t>Does the buyer have authority and capacity to complete a transaction?</w:t>
            </w:r>
          </w:p>
        </w:tc>
        <w:tc>
          <w:tcPr>
            <w:tcW w:type="dxa" w:w="3311"/>
            <w:tcMar>
              <w:top w:w="35" w:type="dxa"/>
              <w:start w:w="90" w:type="dxa"/>
              <w:bottom w:w="35" w:type="dxa"/>
              <w:end w:w="90" w:type="dxa"/>
            </w:tcMar>
            <w:tcBorders>
              <w:bottom w:val="single" w:sz="4" w:color="D8DFE4"/>
            </w:tcBorders>
          </w:tcPr>
          <w:p>
            <w:pPr>
              <w:spacing w:before="0" w:after="0" w:line="269" w:lineRule="auto"/>
            </w:pPr>
            <w:r/>
          </w:p>
        </w:tc>
      </w:tr>
      <w:tr>
        <w:tc>
          <w:tcPr>
            <w:tcW w:type="dxa" w:w="6623"/>
            <w:tcMar>
              <w:top w:w="35" w:type="dxa"/>
              <w:start w:w="90" w:type="dxa"/>
              <w:bottom w:w="35" w:type="dxa"/>
              <w:end w:w="90" w:type="dxa"/>
            </w:tcMar>
            <w:tcBorders>
              <w:bottom w:val="single" w:sz="4" w:color="D8DFE4"/>
            </w:tcBorders>
          </w:tcPr>
          <w:p>
            <w:pPr>
              <w:spacing w:before="0" w:after="0" w:line="269" w:lineRule="auto"/>
            </w:pPr>
            <w:r/>
            <w:r>
              <w:rPr>
                <w:rFonts w:ascii="Arial" w:hAnsi="Arial" w:eastAsia="Arial"/>
                <w:b w:val="0"/>
                <w:i w:val="0"/>
                <w:sz w:val="15"/>
              </w:rPr>
              <w:t>Did the buyer respect confidentiality and avoid premature pressure?</w:t>
            </w:r>
          </w:p>
        </w:tc>
        <w:tc>
          <w:tcPr>
            <w:tcW w:type="dxa" w:w="3311"/>
            <w:tcMar>
              <w:top w:w="35" w:type="dxa"/>
              <w:start w:w="90" w:type="dxa"/>
              <w:bottom w:w="35" w:type="dxa"/>
              <w:end w:w="90" w:type="dxa"/>
            </w:tcMar>
            <w:tcBorders>
              <w:bottom w:val="single" w:sz="4" w:color="D8DFE4"/>
            </w:tcBorders>
          </w:tcPr>
          <w:p>
            <w:pPr>
              <w:spacing w:before="0" w:after="0" w:line="269" w:lineRule="auto"/>
            </w:pPr>
            <w:r/>
          </w:p>
        </w:tc>
      </w:tr>
      <w:tr>
        <w:tc>
          <w:tcPr>
            <w:tcW w:type="dxa" w:w="6623"/>
            <w:tcMar>
              <w:top w:w="35" w:type="dxa"/>
              <w:start w:w="90" w:type="dxa"/>
              <w:bottom w:w="35" w:type="dxa"/>
              <w:end w:w="90" w:type="dxa"/>
            </w:tcMar>
            <w:tcBorders>
              <w:bottom w:val="single" w:sz="4" w:color="D8DFE4"/>
            </w:tcBorders>
          </w:tcPr>
          <w:p>
            <w:pPr>
              <w:spacing w:before="0" w:after="0" w:line="269" w:lineRule="auto"/>
            </w:pPr>
            <w:r/>
            <w:r>
              <w:rPr>
                <w:rFonts w:ascii="Arial" w:hAnsi="Arial" w:eastAsia="Arial"/>
                <w:b w:val="0"/>
                <w:i w:val="0"/>
                <w:sz w:val="15"/>
              </w:rPr>
              <w:t>Should the family proceed to an NDA and professional guidance?</w:t>
            </w:r>
          </w:p>
        </w:tc>
        <w:tc>
          <w:tcPr>
            <w:tcW w:type="dxa" w:w="3311"/>
            <w:tcMar>
              <w:top w:w="35" w:type="dxa"/>
              <w:start w:w="90" w:type="dxa"/>
              <w:bottom w:w="35" w:type="dxa"/>
              <w:end w:w="90" w:type="dxa"/>
            </w:tcMar>
            <w:tcBorders>
              <w:bottom w:val="single" w:sz="4" w:color="D8DFE4"/>
            </w:tcBorders>
          </w:tcPr>
          <w:p>
            <w:pPr>
              <w:spacing w:before="0" w:after="0" w:line="269" w:lineRule="auto"/>
            </w:pPr>
            <w:r/>
          </w:p>
        </w:tc>
      </w:tr>
    </w:tbl>
    <w:p>
      <w:r>
        <w:br w:type="page"/>
      </w:r>
    </w:p>
    <w:p>
      <w:pPr>
        <w:spacing w:before="0" w:after="200" w:line="269" w:lineRule="auto"/>
        <w:ind w:left="115" w:right="115"/>
        <w:shd w:fill="0F2F4F" w:val="clear"/>
      </w:pPr>
      <w:r>
        <w:rPr>
          <w:rFonts w:ascii="Arial" w:hAnsi="Arial" w:eastAsia="Arial"/>
          <w:b/>
          <w:i w:val="0"/>
          <w:color w:val="FFFFFF"/>
          <w:sz w:val="16"/>
        </w:rPr>
        <w:t>FAMILY-ONLY MATERIAL — DO NOT LEAVE WITH OR EMAIL TO THE BUYER</w:t>
      </w:r>
    </w:p>
    <w:p>
      <w:pPr>
        <w:spacing w:before="0" w:after="100" w:line="269" w:lineRule="auto"/>
      </w:pPr>
      <w:r>
        <w:rPr>
          <w:rFonts w:ascii="Arial" w:hAnsi="Arial" w:eastAsia="Arial"/>
          <w:b/>
          <w:i w:val="0"/>
          <w:color w:val="BD8D2D"/>
          <w:sz w:val="16"/>
        </w:rPr>
        <w:t>FOLLOW-UP TEMPLATE</w:t>
      </w:r>
    </w:p>
    <w:p>
      <w:pPr>
        <w:pStyle w:val="Title"/>
        <w:spacing w:before="0" w:after="160" w:line="269" w:lineRule="auto"/>
      </w:pPr>
      <w:r>
        <w:rPr>
          <w:rFonts w:ascii="Arial" w:hAnsi="Arial" w:eastAsia="Arial"/>
          <w:b/>
          <w:i w:val="0"/>
          <w:color w:val="0F2F4F"/>
          <w:sz w:val="40"/>
        </w:rPr>
        <w:t>Thank-You Email</w:t>
      </w:r>
    </w:p>
    <w:tbl>
      <w:tblPr>
        <w:tblW w:type="dxa" w:w="9936"/>
        <w:jc w:val="center"/>
        <w:tblLayout w:type="fixed"/>
        <w:tblLook w:firstColumn="1" w:firstRow="1" w:lastColumn="0" w:lastRow="0" w:noHBand="0" w:noVBand="1" w:val="04A0"/>
      </w:tblPr>
      <w:tblGrid>
        <w:gridCol w:w="9936"/>
      </w:tblGrid>
      <w:tr>
        <w:tc>
          <w:tcPr>
            <w:tcW w:type="dxa" w:w="9936"/>
            <w:shd w:fill="F3F5F6" w:val="clear"/>
            <w:tcMar>
              <w:top w:w="120" w:type="dxa"/>
              <w:start w:w="150" w:type="dxa"/>
              <w:bottom w:w="120" w:type="dxa"/>
              <w:end w:w="150" w:type="dxa"/>
            </w:tcMar>
            <w:tcBorders>
              <w:top w:val="single" w:sz="4" w:color="D8DFE4"/>
              <w:left w:val="single" w:sz="4" w:color="D8DFE4"/>
              <w:bottom w:val="single" w:sz="4" w:color="D8DFE4"/>
              <w:right w:val="single" w:sz="4" w:color="D8DFE4"/>
            </w:tcBorders>
          </w:tcPr>
          <w:p>
            <w:pPr>
              <w:spacing w:before="0" w:after="0" w:line="269" w:lineRule="auto"/>
            </w:pPr>
            <w:r/>
            <w:r>
              <w:rPr>
                <w:rFonts w:ascii="Arial" w:hAnsi="Arial" w:eastAsia="Arial"/>
                <w:b/>
                <w:i w:val="0"/>
                <w:color w:val="0F2F4F"/>
                <w:sz w:val="18"/>
              </w:rPr>
              <w:t xml:space="preserve">Subject: </w:t>
            </w:r>
            <w:r>
              <w:rPr>
                <w:rFonts w:ascii="Arial" w:hAnsi="Arial" w:eastAsia="Arial"/>
                <w:b w:val="0"/>
                <w:i w:val="0"/>
                <w:sz w:val="18"/>
              </w:rPr>
              <w:t>Thank You for Meeting with Us</w:t>
            </w:r>
          </w:p>
          <w:p>
            <w:pPr>
              <w:spacing w:before="160" w:after="160" w:line="269" w:lineRule="auto"/>
            </w:pPr>
            <w:r>
              <w:rPr>
                <w:rFonts w:ascii="Arial" w:hAnsi="Arial" w:eastAsia="Arial"/>
                <w:b w:val="0"/>
                <w:i w:val="0"/>
                <w:color w:val="8A4C00"/>
                <w:sz w:val="18"/>
                <w:highlight w:val="yellow"/>
              </w:rPr>
              <w:t>Dear [Buyer Name],</w:t>
            </w:r>
          </w:p>
          <w:p>
            <w:pPr>
              <w:spacing w:before="0" w:after="160" w:line="269" w:lineRule="auto"/>
            </w:pPr>
            <w:r>
              <w:rPr>
                <w:rFonts w:ascii="Arial" w:hAnsi="Arial" w:eastAsia="Arial"/>
                <w:b w:val="0"/>
                <w:i w:val="0"/>
                <w:color w:val="8A4C00"/>
                <w:sz w:val="18"/>
                <w:highlight w:val="yellow"/>
              </w:rPr>
              <w:t>Thank you for taking the time to meet with our family and learn more about [Company Name]. We appreciated hearing about your interest and approach.</w:t>
            </w:r>
          </w:p>
          <w:p>
            <w:pPr>
              <w:spacing w:before="0" w:after="160" w:line="269" w:lineRule="auto"/>
            </w:pPr>
            <w:r>
              <w:rPr>
                <w:rFonts w:ascii="Arial" w:hAnsi="Arial" w:eastAsia="Arial"/>
                <w:b w:val="0"/>
                <w:i w:val="0"/>
                <w:sz w:val="18"/>
              </w:rPr>
              <w:t>We will reflect on the discussion and, if there is mutual interest in moving forward, would be open to having our respective advisers exchange a mutual confidentiality agreement and discuss an appropriate next step. We look forward to staying in touch.</w:t>
            </w:r>
          </w:p>
          <w:p>
            <w:pPr>
              <w:spacing w:before="0" w:after="80" w:line="269" w:lineRule="auto"/>
            </w:pPr>
            <w:r>
              <w:rPr>
                <w:rFonts w:ascii="Arial" w:hAnsi="Arial" w:eastAsia="Arial"/>
                <w:b w:val="0"/>
                <w:i w:val="0"/>
                <w:sz w:val="18"/>
              </w:rPr>
              <w:t>Sincerely,</w:t>
            </w:r>
          </w:p>
          <w:p>
            <w:pPr>
              <w:spacing w:before="0" w:after="0" w:line="269" w:lineRule="auto"/>
            </w:pPr>
            <w:r>
              <w:rPr>
                <w:rFonts w:ascii="Arial" w:hAnsi="Arial" w:eastAsia="Arial"/>
                <w:b w:val="0"/>
                <w:i w:val="0"/>
                <w:color w:val="8A4C00"/>
                <w:sz w:val="18"/>
                <w:highlight w:val="yellow"/>
              </w:rPr>
              <w:t>[Name]</w:t>
            </w:r>
          </w:p>
        </w:tc>
      </w:tr>
    </w:tbl>
    <w:p>
      <w:pPr>
        <w:pStyle w:val="Heading2"/>
      </w:pPr>
      <w:r>
        <w:rPr>
          <w:rFonts w:ascii="Arial" w:hAnsi="Arial" w:eastAsia="Arial"/>
          <w:b/>
          <w:i w:val="0"/>
          <w:color w:val="0F2F4F"/>
          <w:sz w:val="22"/>
        </w:rPr>
        <w:t>Before You Print</w:t>
      </w:r>
    </w:p>
    <w:p>
      <w:pPr>
        <w:pStyle w:val="ListBullet"/>
        <w:spacing w:before="0" w:after="60" w:line="269" w:lineRule="auto"/>
      </w:pPr>
      <w:r>
        <w:rPr>
          <w:rFonts w:ascii="Arial" w:hAnsi="Arial" w:eastAsia="Arial"/>
          <w:b w:val="0"/>
          <w:i w:val="0"/>
          <w:sz w:val="18"/>
        </w:rPr>
        <w:t>Replace every yellow-highlighted placeholder and delete any unused bracketed prompt.</w:t>
      </w:r>
    </w:p>
    <w:p>
      <w:pPr>
        <w:pStyle w:val="ListBullet"/>
        <w:spacing w:before="0" w:after="60" w:line="269" w:lineRule="auto"/>
      </w:pPr>
      <w:r>
        <w:rPr>
          <w:rFonts w:ascii="Arial" w:hAnsi="Arial" w:eastAsia="Arial"/>
          <w:b w:val="0"/>
          <w:i w:val="0"/>
          <w:sz w:val="18"/>
        </w:rPr>
        <w:t>Print only Page 1 as the buyer-facing leave-behind; keep Pages 2–4 with the family.</w:t>
      </w:r>
    </w:p>
    <w:p>
      <w:pPr>
        <w:pStyle w:val="ListBullet"/>
        <w:spacing w:before="0" w:after="60" w:line="269" w:lineRule="auto"/>
      </w:pPr>
      <w:r>
        <w:rPr>
          <w:rFonts w:ascii="Arial" w:hAnsi="Arial" w:eastAsia="Arial"/>
          <w:b w:val="0"/>
          <w:i w:val="0"/>
          <w:sz w:val="18"/>
        </w:rPr>
        <w:t>Verify that all claims are accurate and that the buyer-facing page contains no customer names, confidential figures, or promises.</w:t>
      </w:r>
    </w:p>
    <w:p>
      <w:pPr>
        <w:pStyle w:val="ListBullet"/>
        <w:spacing w:before="0" w:after="60" w:line="269" w:lineRule="auto"/>
      </w:pPr>
      <w:r>
        <w:rPr>
          <w:rFonts w:ascii="Arial" w:hAnsi="Arial" w:eastAsia="Arial"/>
          <w:b w:val="0"/>
          <w:i w:val="0"/>
          <w:sz w:val="18"/>
        </w:rPr>
        <w:t>Bring a business card or write the correct primary contact details on the leave-behind.</w:t>
      </w:r>
    </w:p>
    <w:p>
      <w:pPr>
        <w:pStyle w:val="ListBullet"/>
        <w:spacing w:before="0" w:after="60" w:line="269" w:lineRule="auto"/>
      </w:pPr>
      <w:r>
        <w:rPr>
          <w:rFonts w:ascii="Arial" w:hAnsi="Arial" w:eastAsia="Arial"/>
          <w:b w:val="0"/>
          <w:i w:val="0"/>
          <w:sz w:val="18"/>
        </w:rPr>
        <w:t>If discussion advances beyond an introductory conversation, involve qualified legal, tax, and transaction professionals before signing or committing to anything.</w:t>
      </w:r>
    </w:p>
    <w:tbl>
      <w:tblPr>
        <w:tblW w:type="dxa" w:w="9936"/>
        <w:jc w:val="center"/>
        <w:tblLayout w:type="fixed"/>
        <w:tblLook w:firstColumn="1" w:firstRow="1" w:lastColumn="0" w:lastRow="0" w:noHBand="0" w:noVBand="1" w:val="04A0"/>
      </w:tblPr>
      <w:tblGrid>
        <w:gridCol w:w="9936"/>
      </w:tblGrid>
      <w:tr>
        <w:tc>
          <w:tcPr>
            <w:tcW w:type="dxa" w:w="9936"/>
            <w:shd w:fill="EAF0F5" w:val="clear"/>
            <w:tcMar>
              <w:top w:w="100" w:type="dxa"/>
              <w:start w:w="130" w:type="dxa"/>
              <w:bottom w:w="100" w:type="dxa"/>
              <w:end w:w="130" w:type="dxa"/>
            </w:tcMar>
            <w:tcBorders>
              <w:top w:val="single" w:sz="4" w:color="C9D7E2"/>
              <w:left w:val="single" w:sz="4" w:color="C9D7E2"/>
              <w:bottom w:val="single" w:sz="4" w:color="C9D7E2"/>
              <w:right w:val="single" w:sz="4" w:color="C9D7E2"/>
            </w:tcBorders>
          </w:tcPr>
          <w:p>
            <w:pPr>
              <w:spacing w:before="0" w:after="0" w:line="269" w:lineRule="auto"/>
            </w:pPr>
            <w:r/>
            <w:r>
              <w:rPr>
                <w:rFonts w:ascii="Arial" w:hAnsi="Arial" w:eastAsia="Arial"/>
                <w:b/>
                <w:i w:val="0"/>
                <w:color w:val="0F2F4F"/>
                <w:sz w:val="17"/>
              </w:rPr>
              <w:t xml:space="preserve">Important: </w:t>
            </w:r>
            <w:r>
              <w:rPr>
                <w:rFonts w:ascii="Arial" w:hAnsi="Arial" w:eastAsia="Arial"/>
                <w:b w:val="0"/>
                <w:i w:val="0"/>
                <w:sz w:val="17"/>
              </w:rPr>
              <w:t>This packet is a conversation aid, not legal, tax, financial, or valuation advice. It should not be used as a substitute for a reviewed confidentiality agreement, letter of intent, or transaction document.</w:t>
            </w:r>
          </w:p>
        </w:tc>
      </w:tr>
    </w:tbl>
    <w:sectPr w:rsidR="00FC693F" w:rsidRPr="0006063C" w:rsidSect="00034616">
      <w:footerReference w:type="default" r:id="rId9"/>
      <w:pgSz w:w="12240" w:h="15840"/>
      <w:pgMar w:top="1123"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9" w:lineRule="auto"/>
      <w:jc w:val="center"/>
    </w:pPr>
    <w:r>
      <w:rPr>
        <w:rFonts w:ascii="Arial" w:hAnsi="Arial" w:eastAsia="Arial"/>
        <w:b w:val="0"/>
        <w:i w:val="0"/>
        <w:color w:val="465563"/>
        <w:sz w:val="15"/>
      </w:rPr>
      <w:t>For discussion purposes only | Confidential</w:t>
    </w:r>
    <w:r>
      <w:rPr>
        <w:rFonts w:ascii="Arial" w:hAnsi="Arial" w:eastAsia="Arial"/>
        <w:b w:val="0"/>
        <w:i w:val="0"/>
        <w:color w:val="465563"/>
        <w:sz w:val="15"/>
      </w:rPr>
      <w:t xml:space="preserve"> | Page </w:t>
    </w:r>
    <w:r>
      <w:rPr>
        <w:rFonts w:ascii="Arial" w:hAnsi="Arial" w:eastAsia="Arial"/>
        <w:color w:val="46556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b/>
      <w:bCs/>
      <w:color w:val="0F2F4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F2F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0F2F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Oil Service Company Buyer Meeting Packet</dc:title>
  <dc:subject>Confidential preliminary discussion materials</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