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C2F4A"/>
          <w:spacing w:val="60"/>
          <w:sz w:val="48"/>
          <w:szCs w:val="48"/>
        </w:rPr>
        <w:t xml:space="preserve">BRANDON SHUMACK</w:t>
      </w:r>
    </w:p>
    <w:p>
      <w:pPr>
        <w:spacing w:after="56" w:before="0"/>
        <w:jc w:val="center"/>
      </w:pPr>
      <w:r>
        <w:rPr>
          <w:rFonts w:ascii="Calibri" w:cs="Calibri" w:eastAsia="Calibri" w:hAnsi="Calibri"/>
          <w:color w:val="4A6FA5"/>
          <w:sz w:val="19"/>
          <w:szCs w:val="19"/>
        </w:rPr>
        <w:t xml:space="preserve">GRC &amp; Cybersecurity Professional  •  U.S. Navy Veteran  •  MICS Candidate, UC Berkeley</w:t>
      </w:r>
    </w:p>
    <w:p>
      <w:pPr>
        <w:pBdr>
          <w:bottom w:val="single" w:color="2563A8" w:sz="12" w:space="0"/>
        </w:pBdr>
        <w:spacing w:after="0" w:before="0"/>
      </w:pPr>
    </w:p>
    <w:p>
      <w:pPr>
        <w:spacing w:after="0" w:before="56"/>
        <w:jc w:val="center"/>
      </w:pPr>
      <w:r>
        <w:rPr>
          <w:rFonts w:ascii="Calibri" w:cs="Calibri" w:eastAsia="Calibri" w:hAnsi="Calibri"/>
          <w:color w:val="5A6A7A"/>
          <w:sz w:val="18"/>
          <w:szCs w:val="18"/>
        </w:rPr>
        <w:t xml:space="preserve">Ottawa, Ontario, Canada</w:t>
      </w:r>
      <w:r>
        <w:rPr>
          <w:rFonts w:ascii="Calibri" w:cs="Calibri" w:eastAsia="Calibri" w:hAnsi="Calibri"/>
          <w:color w:val="7A8A9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2563A8"/>
          <w:sz w:val="18"/>
          <w:szCs w:val="18"/>
        </w:rPr>
        <w:t xml:space="preserve">linkedin.com/in/brandon-shumack-092217239</w:t>
      </w:r>
    </w:p>
    <w:p>
      <w:pPr>
        <w:pBdr>
          <w:bottom w:val="single" w:color="2563A8" w:sz="6" w:space="3"/>
        </w:pBdr>
        <w:spacing w:after="72" w:before="200"/>
      </w:pPr>
      <w:r>
        <w:rPr>
          <w:rFonts w:ascii="Calibri" w:cs="Calibri" w:eastAsia="Calibri" w:hAnsi="Calibri"/>
          <w:b/>
          <w:bCs/>
          <w:color w:val="1C2F4A"/>
          <w:spacing w:val="40"/>
          <w:sz w:val="21"/>
          <w:szCs w:val="21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Cybersecurity and IT professional with 4+ years of active-duty DoD experience administering and securing enterprise networks for the U.S. Navy, supporting 2,000+ end users across classified and unclassified environments at 99.8% uptime. Demonstrated expertise in COMSEC management, DISA STIG hardening, RMF compliance, incident response, and IT policy development. Led and developed a 25-person IT team in high-stakes operational environments. Currently pursuing a Master of Information and Cybersecurity (MICS) at UC Berkeley, with a concentration in policy-driven governance, risk management frameworks, and cloud security architecture. Seeking GRC and cybersecurity compliance roles where military discipline, technical depth, and academic rigor drive measurable risk reduction.</w:t>
      </w:r>
    </w:p>
    <w:p>
      <w:pPr>
        <w:pBdr>
          <w:bottom w:val="single" w:color="2563A8" w:sz="6" w:space="3"/>
        </w:pBdr>
        <w:spacing w:after="72" w:before="200"/>
      </w:pPr>
      <w:r>
        <w:rPr>
          <w:rFonts w:ascii="Calibri" w:cs="Calibri" w:eastAsia="Calibri" w:hAnsi="Calibri"/>
          <w:b/>
          <w:bCs/>
          <w:color w:val="1C2F4A"/>
          <w:spacing w:val="4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color w:val="1C2F4A"/>
          <w:sz w:val="22"/>
          <w:szCs w:val="22"/>
        </w:rPr>
        <w:t xml:space="preserve">Career Break — Education &amp; Professional Development</w:t>
      </w:r>
      <w:r>
        <w:rPr>
          <w:rFonts w:ascii="Calibri" w:cs="Calibri" w:eastAsia="Calibri" w:hAnsi="Calibri"/>
          <w:i/>
          <w:iCs/>
          <w:color w:val="5A6A7A"/>
          <w:sz w:val="18"/>
          <w:szCs w:val="18"/>
        </w:rPr>
        <w:t xml:space="preserve">	Jan 2023 – Present</w:t>
      </w:r>
    </w:p>
    <w:p>
      <w:pPr>
        <w:spacing w:after="72" w:before="2"/>
      </w:pPr>
      <w:r>
        <w:rPr>
          <w:rFonts w:ascii="Calibri" w:cs="Calibri" w:eastAsia="Calibri" w:hAnsi="Calibri"/>
          <w:i w:val="false"/>
          <w:iCs w:val="false"/>
          <w:color w:val="4A6FA5"/>
          <w:sz w:val="19"/>
          <w:szCs w:val="19"/>
        </w:rPr>
        <w:t xml:space="preserve">Self-Directed  ·  Ottawa, Ontario, Canada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Completed a B.S. in Information Technology (Magna Cum Laude) at the University of Massachusetts Lowell and enrolled in the Master of Information and Cybersecurity (MICS) program at UC Berkeley.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MICS coursework concentrated in policy-driven governance, GRC program design, cloud security architecture, risk management frameworks (NIST CSF, ISO 27001), and advanced threat detection.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Inducted into Alpha Sigma Lambda national honor society, recognizing exceptional academic achievement among non-traditional students (top 20% of chapter; GPA 3.2+; 24+ graded semester hours).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color w:val="1C2F4A"/>
          <w:sz w:val="22"/>
          <w:szCs w:val="22"/>
        </w:rPr>
        <w:t xml:space="preserve">Information Systems Technician</w:t>
      </w:r>
      <w:r>
        <w:rPr>
          <w:rFonts w:ascii="Calibri" w:cs="Calibri" w:eastAsia="Calibri" w:hAnsi="Calibri"/>
          <w:i/>
          <w:iCs/>
          <w:color w:val="5A6A7A"/>
          <w:sz w:val="18"/>
          <w:szCs w:val="18"/>
        </w:rPr>
        <w:t xml:space="preserve">	Jan 2019 – Jan 2023</w:t>
      </w:r>
    </w:p>
    <w:p>
      <w:pPr>
        <w:spacing w:after="72" w:before="2"/>
      </w:pPr>
      <w:r>
        <w:rPr>
          <w:rFonts w:ascii="Calibri" w:cs="Calibri" w:eastAsia="Calibri" w:hAnsi="Calibri"/>
          <w:i w:val="false"/>
          <w:iCs w:val="false"/>
          <w:color w:val="4A6FA5"/>
          <w:sz w:val="19"/>
          <w:szCs w:val="19"/>
        </w:rPr>
        <w:t xml:space="preserve">U.S. Navy  ·  San Diego, CA  ·  Full-Time, Active Duty  ·  Honorable Discharge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Administered and secured enterprise networks supporting 2,000+ end users across classified and unclassified DoD environments, achieving 99.8% uptime for mission-critical communications infrastructure.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Installed, configured, hardened, and maintained 800+ Windows Server and Linux endpoints in full compliance with DISA STIG baselines, DoD configuration management standards, and established security policies.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Managed COMSEC materials and cryptographic key lifecycle in strict accordance with DoD operational security directives; maintained zero-deficiency audit records across all classified crypto asset transactions.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Contributed to the development and enforcement of IT security policies and procedures; supported RMF control assessments, audit documentation, and compliance reporting across the enterprise.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Configured and managed firewalls, IDS/IPS, VLANs, and network segmentation controls, implementing defense-in-depth strategies across LAN/WAN infrastructure (TCP/IP, DHCP, DNS, subnetting).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Enforced least-privilege access control and identity management across Active Directory environments using MFA/PKI frameworks; managed full user lifecycle to minimize insider risk and unauthorized access.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Executed structured incident response operations including event triage, root-cause analysis, containment, and formal case documentation aligned with SIEM workflows and DoD escalation SOPs.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Tracked and remediated system vulnerabilities in alignment with DoD patch timelines; conducted routine STIG-compliance scans and applied configuration controls to minimize attack surface.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Led, mentored, and coordinated a 25-person IT team; designed training programs, reinforced enterprise cyber hygiene standards, and maintained consistent performance under demanding operational conditions.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Applied Bash and PowerShell scripting to automate routine system maintenance, compliance checks, and monitoring workflows, improving operational efficiency and reducing manual error exposure.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color w:val="1C2F4A"/>
          <w:sz w:val="22"/>
          <w:szCs w:val="22"/>
        </w:rPr>
        <w:t xml:space="preserve">Grocery Stocker</w:t>
      </w:r>
      <w:r>
        <w:rPr>
          <w:rFonts w:ascii="Calibri" w:cs="Calibri" w:eastAsia="Calibri" w:hAnsi="Calibri"/>
          <w:i/>
          <w:iCs/>
          <w:color w:val="5A6A7A"/>
          <w:sz w:val="18"/>
          <w:szCs w:val="18"/>
        </w:rPr>
        <w:t xml:space="preserve">	Sep 2017 – Oct 2018</w:t>
      </w:r>
    </w:p>
    <w:p>
      <w:pPr>
        <w:spacing w:after="72" w:before="2"/>
      </w:pPr>
      <w:r>
        <w:rPr>
          <w:rFonts w:ascii="Calibri" w:cs="Calibri" w:eastAsia="Calibri" w:hAnsi="Calibri"/>
          <w:i w:val="false"/>
          <w:iCs w:val="false"/>
          <w:color w:val="4A6FA5"/>
          <w:sz w:val="19"/>
          <w:szCs w:val="19"/>
        </w:rPr>
        <w:t xml:space="preserve">Food Lion  ·  Lewisville, NC  ·  Part-Time</w:t>
      </w:r>
    </w:p>
    <w:p>
      <w:pPr>
        <w:pStyle w:val="ListParagraph"/>
        <w:numPr>
          <w:ilvl w:val="0"/>
          <w:numId w:val="2"/>
        </w:numPr>
        <w:spacing w:after="42" w:before="42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Maintained inventory accuracy, product presentation, and safety compliance in a high-volume retail environment; departed in good standing to pursue a career in the U.S. Navy.</w:t>
      </w:r>
    </w:p>
    <w:p>
      <w:pPr>
        <w:pBdr>
          <w:bottom w:val="single" w:color="2563A8" w:sz="6" w:space="3"/>
        </w:pBdr>
        <w:spacing w:after="72" w:before="200"/>
      </w:pPr>
      <w:r>
        <w:rPr>
          <w:rFonts w:ascii="Calibri" w:cs="Calibri" w:eastAsia="Calibri" w:hAnsi="Calibri"/>
          <w:b/>
          <w:bCs/>
          <w:color w:val="1C2F4A"/>
          <w:spacing w:val="4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 w:before="110"/>
      </w:pPr>
      <w:r>
        <w:rPr>
          <w:rFonts w:ascii="Calibri" w:cs="Calibri" w:eastAsia="Calibri" w:hAnsi="Calibri"/>
          <w:b/>
          <w:bCs/>
          <w:color w:val="1C2F4A"/>
          <w:sz w:val="21"/>
          <w:szCs w:val="21"/>
        </w:rPr>
        <w:t xml:space="preserve">Master of Information and Cybersecurity (MICS)</w:t>
      </w:r>
      <w:r>
        <w:rPr>
          <w:rFonts w:ascii="Calibri" w:cs="Calibri" w:eastAsia="Calibri" w:hAnsi="Calibri"/>
          <w:i/>
          <w:iCs/>
          <w:color w:val="5A6A7A"/>
          <w:sz w:val="18"/>
          <w:szCs w:val="18"/>
        </w:rPr>
        <w:t xml:space="preserve">	Aug 2025 – May 2027  (In Progress)</w:t>
      </w:r>
    </w:p>
    <w:p>
      <w:pPr>
        <w:spacing w:after="56" w:before="2"/>
      </w:pPr>
      <w:r>
        <w:rPr>
          <w:rFonts w:ascii="Calibri" w:cs="Calibri" w:eastAsia="Calibri" w:hAnsi="Calibri"/>
          <w:color w:val="4A6FA5"/>
          <w:sz w:val="19"/>
          <w:szCs w:val="19"/>
        </w:rPr>
        <w:t xml:space="preserve">UC Berkeley School of Information</w:t>
      </w:r>
      <w:r>
        <w:t xml:space="preserve"/>
      </w:r>
    </w:p>
    <w:p>
      <w:pPr>
        <w:spacing w:after="56" w:before="0"/>
      </w:pPr>
      <w:r>
        <w:rPr>
          <w:rFonts w:ascii="Calibri" w:cs="Calibri" w:eastAsia="Calibri" w:hAnsi="Calibri"/>
          <w:i/>
          <w:iCs/>
          <w:color w:val="7A8A99"/>
          <w:sz w:val="18"/>
          <w:szCs w:val="18"/>
        </w:rPr>
        <w:t xml:space="preserve">Concentration: Secure Infrastructure · Cloud Security Architecture · Policy-Driven Governance · Advanced Threat Detection</w:t>
      </w:r>
    </w:p>
    <w:p>
      <w:pPr>
        <w:tabs>
          <w:tab w:val="right" w:pos="9360"/>
        </w:tabs>
        <w:spacing w:after="0" w:before="110"/>
      </w:pPr>
      <w:r>
        <w:rPr>
          <w:rFonts w:ascii="Calibri" w:cs="Calibri" w:eastAsia="Calibri" w:hAnsi="Calibri"/>
          <w:b/>
          <w:bCs/>
          <w:color w:val="1C2F4A"/>
          <w:sz w:val="21"/>
          <w:szCs w:val="21"/>
        </w:rPr>
        <w:t xml:space="preserve">Bachelor of Science, Information Technology</w:t>
      </w:r>
      <w:r>
        <w:rPr>
          <w:rFonts w:ascii="Calibri" w:cs="Calibri" w:eastAsia="Calibri" w:hAnsi="Calibri"/>
          <w:i/>
          <w:iCs/>
          <w:color w:val="5A6A7A"/>
          <w:sz w:val="18"/>
          <w:szCs w:val="18"/>
        </w:rPr>
        <w:t xml:space="preserve">	Apr 2023 – Aug 2025</w:t>
      </w:r>
    </w:p>
    <w:p>
      <w:pPr>
        <w:spacing w:after="56" w:before="2"/>
      </w:pPr>
      <w:r>
        <w:rPr>
          <w:rFonts w:ascii="Calibri" w:cs="Calibri" w:eastAsia="Calibri" w:hAnsi="Calibri"/>
          <w:color w:val="4A6FA5"/>
          <w:sz w:val="19"/>
          <w:szCs w:val="19"/>
        </w:rPr>
        <w:t xml:space="preserve">University of Massachusetts Lowell</w:t>
      </w:r>
      <w:r>
        <w:t xml:space="preserve"/>
      </w:r>
    </w:p>
    <w:p>
      <w:pPr>
        <w:spacing w:after="56" w:before="0"/>
      </w:pPr>
      <w:r>
        <w:rPr>
          <w:rFonts w:ascii="Calibri" w:cs="Calibri" w:eastAsia="Calibri" w:hAnsi="Calibri"/>
          <w:i/>
          <w:iCs/>
          <w:color w:val="7A8A99"/>
          <w:sz w:val="18"/>
          <w:szCs w:val="18"/>
        </w:rPr>
        <w:t xml:space="preserve">Graduated Magna Cum Laude  ·  Alpha Sigma Lambda National Honor Society</w:t>
      </w:r>
    </w:p>
    <w:p>
      <w:pPr>
        <w:pBdr>
          <w:bottom w:val="single" w:color="2563A8" w:sz="6" w:space="3"/>
        </w:pBdr>
        <w:spacing w:after="72" w:before="200"/>
      </w:pPr>
      <w:r>
        <w:rPr>
          <w:rFonts w:ascii="Calibri" w:cs="Calibri" w:eastAsia="Calibri" w:hAnsi="Calibri"/>
          <w:b/>
          <w:bCs/>
          <w:color w:val="1C2F4A"/>
          <w:spacing w:val="40"/>
          <w:sz w:val="21"/>
          <w:szCs w:val="21"/>
        </w:rPr>
        <w:t xml:space="preserve">CORE COMPETENCIES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GRC &amp; Risk Management: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Risk Assessment, Policy Development &amp; Enforcement, RMF (Risk Management Framework), NIST CSF, ISO 27001, DISA STIG Compliance, Audit Documentation, Regulatory Compliance, Incident Reporting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Cybersecurity Operations: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Network Defense, Firewalls, IDS/IPS, COMSEC &amp; Cryptographic Key Management, Incident Response, SIEM Workflows, Vulnerability Management, Endpoint Security/EDR, Cryptography, Secure Communications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Identity &amp; Access Management: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Active Directory, Least-Privilege Enforcement, MFA/PKI, User Provisioning &amp; Deprovisioning, Access Control Policy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Systems &amp; Infrastructure: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Windows Server, Linux, LAN/WAN, TCP/IP, DHCP, DNS, VLANs, Network Administration, Configuration Management, Patch Management, STIG Hardening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Scripting &amp; Tooling: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Bash, PowerShell, Systems Monitoring, Compliance Automation</w:t>
      </w:r>
    </w:p>
    <w:p>
      <w:pPr>
        <w:spacing w:after="44" w:before="44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Leadership: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Team Leadership (25 Personnel), Mentorship &amp; Training, Technical Communication, Cross-Functional Collaboration</w:t>
      </w:r>
    </w:p>
    <w:p>
      <w:pPr>
        <w:pBdr>
          <w:bottom w:val="single" w:color="2563A8" w:sz="6" w:space="3"/>
        </w:pBdr>
        <w:spacing w:after="72" w:before="200"/>
      </w:pPr>
      <w:r>
        <w:rPr>
          <w:rFonts w:ascii="Calibri" w:cs="Calibri" w:eastAsia="Calibri" w:hAnsi="Calibri"/>
          <w:b/>
          <w:bCs/>
          <w:color w:val="1C2F4A"/>
          <w:spacing w:val="40"/>
          <w:sz w:val="21"/>
          <w:szCs w:val="21"/>
        </w:rPr>
        <w:t xml:space="preserve">MILITARY HONORS &amp; AWARDS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Good Conduct Medal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— Awarded for three consecutive years of honorable and faithful active duty service with zero disciplinary infractions, non-judicial punishments, or court-martial offenses.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Global War on Terrorism Expeditionary Medal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— Recognized for overseas deployment in direct service to the Global War on Terrorism.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Global War on Terrorism Service Medal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— Recognized for support of counter-terrorism operations in the War on Terror.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Humanitarian Service Medal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— Awarded for meritorious direct participation in a significant military humanitarian operation.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Sea Service Deployment Ribbon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— Awarded for military duty performed while forward-deployed aboard a U.S. Navy vessel at sea.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Navy Expert Rifle Medal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— Highest rifle qualification award in the U.S. Navy; achieved expert-level status on the M16/M4.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Navy Expert Pistol Medal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— Highest pistol qualification award in the U.S. Navy; achieved expert-level status on the M9.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/>
          <w:bCs/>
          <w:color w:val="1C2F4A"/>
          <w:sz w:val="19"/>
          <w:szCs w:val="19"/>
        </w:rPr>
        <w:t xml:space="preserve">National Defense Service Medal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— Awarded for active military service during a designated period of national emergency.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2026-05-21T00:45:22.322Z</dcterms:created>
  <dcterms:modified xsi:type="dcterms:W3CDTF">2026-05-21T00:45:22.322Z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