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1"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75CAEEB9" w:rsidR="00095EA2" w:rsidRPr="00E51C0F" w:rsidRDefault="00095EA2" w:rsidP="001C7D7E">
      <w:pPr>
        <w:pStyle w:val="DocVersion"/>
      </w:pPr>
      <w:r w:rsidRPr="00E51C0F">
        <w:t>Revision</w:t>
      </w:r>
      <w:r w:rsidR="000940CF">
        <w:t xml:space="preserve"> 1.6</w:t>
      </w:r>
    </w:p>
    <w:p w14:paraId="29C3F165" w14:textId="67C2BAFB" w:rsidR="008F09ED" w:rsidRDefault="001F64EF" w:rsidP="00DC38E0">
      <w:pPr>
        <w:pStyle w:val="DateTitlePage"/>
        <w:ind w:left="0"/>
        <w:rPr>
          <w:sz w:val="26"/>
        </w:rPr>
      </w:pPr>
      <w:r>
        <w:rPr>
          <w:sz w:val="26"/>
        </w:rPr>
        <w:t>March</w:t>
      </w:r>
      <w:bookmarkStart w:id="0" w:name="_GoBack"/>
      <w:bookmarkEnd w:id="0"/>
      <w:r w:rsidR="00CE7EC3">
        <w:rPr>
          <w:sz w:val="26"/>
        </w:rPr>
        <w:t xml:space="preserve">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r w:rsidR="00CE7EC3">
        <w:t xml:space="preserve">Towell,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1" w:name="_Toc413501253"/>
      <w:r w:rsidR="00457E41">
        <w:lastRenderedPageBreak/>
        <w:t>Table of Contents</w:t>
      </w:r>
      <w:bookmarkEnd w:id="1"/>
    </w:p>
    <w:p w14:paraId="5AA21069" w14:textId="77777777" w:rsidR="00F15FA6"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501253" w:history="1">
        <w:r w:rsidR="00F15FA6" w:rsidRPr="00F72997">
          <w:rPr>
            <w:rStyle w:val="Hyperlink"/>
            <w:noProof/>
          </w:rPr>
          <w:t>Table of Contents</w:t>
        </w:r>
        <w:r w:rsidR="00F15FA6">
          <w:rPr>
            <w:noProof/>
            <w:webHidden/>
          </w:rPr>
          <w:tab/>
        </w:r>
        <w:r w:rsidR="00F15FA6">
          <w:rPr>
            <w:noProof/>
            <w:webHidden/>
          </w:rPr>
          <w:fldChar w:fldCharType="begin"/>
        </w:r>
        <w:r w:rsidR="00F15FA6">
          <w:rPr>
            <w:noProof/>
            <w:webHidden/>
          </w:rPr>
          <w:instrText xml:space="preserve"> PAGEREF _Toc413501253 \h </w:instrText>
        </w:r>
        <w:r w:rsidR="00F15FA6">
          <w:rPr>
            <w:noProof/>
            <w:webHidden/>
          </w:rPr>
        </w:r>
        <w:r w:rsidR="00F15FA6">
          <w:rPr>
            <w:noProof/>
            <w:webHidden/>
          </w:rPr>
          <w:fldChar w:fldCharType="separate"/>
        </w:r>
        <w:r w:rsidR="00F15FA6">
          <w:rPr>
            <w:noProof/>
            <w:webHidden/>
          </w:rPr>
          <w:t>2</w:t>
        </w:r>
        <w:r w:rsidR="00F15FA6">
          <w:rPr>
            <w:noProof/>
            <w:webHidden/>
          </w:rPr>
          <w:fldChar w:fldCharType="end"/>
        </w:r>
      </w:hyperlink>
    </w:p>
    <w:p w14:paraId="165C763F" w14:textId="77777777" w:rsidR="00F15FA6" w:rsidRDefault="00C60E8E">
      <w:pPr>
        <w:pStyle w:val="TOC1"/>
        <w:tabs>
          <w:tab w:val="right" w:leader="dot" w:pos="8750"/>
        </w:tabs>
        <w:rPr>
          <w:rFonts w:asciiTheme="minorHAnsi" w:eastAsiaTheme="minorEastAsia" w:hAnsiTheme="minorHAnsi" w:cstheme="minorBidi"/>
          <w:noProof/>
          <w:lang w:bidi="ar-SA"/>
        </w:rPr>
      </w:pPr>
      <w:hyperlink w:anchor="_Toc413501254" w:history="1">
        <w:r w:rsidR="00F15FA6" w:rsidRPr="00F72997">
          <w:rPr>
            <w:rStyle w:val="Hyperlink"/>
            <w:noProof/>
          </w:rPr>
          <w:t>About this Document</w:t>
        </w:r>
        <w:r w:rsidR="00F15FA6">
          <w:rPr>
            <w:noProof/>
            <w:webHidden/>
          </w:rPr>
          <w:tab/>
        </w:r>
        <w:r w:rsidR="00F15FA6">
          <w:rPr>
            <w:noProof/>
            <w:webHidden/>
          </w:rPr>
          <w:fldChar w:fldCharType="begin"/>
        </w:r>
        <w:r w:rsidR="00F15FA6">
          <w:rPr>
            <w:noProof/>
            <w:webHidden/>
          </w:rPr>
          <w:instrText xml:space="preserve"> PAGEREF _Toc413501254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74310A27"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55" w:history="1">
        <w:r w:rsidR="00F15FA6" w:rsidRPr="00F72997">
          <w:rPr>
            <w:rStyle w:val="Hyperlink"/>
            <w:noProof/>
          </w:rPr>
          <w:t>Introduction, Purpose and Scope</w:t>
        </w:r>
        <w:r w:rsidR="00F15FA6">
          <w:rPr>
            <w:noProof/>
            <w:webHidden/>
          </w:rPr>
          <w:tab/>
        </w:r>
        <w:r w:rsidR="00F15FA6">
          <w:rPr>
            <w:noProof/>
            <w:webHidden/>
          </w:rPr>
          <w:fldChar w:fldCharType="begin"/>
        </w:r>
        <w:r w:rsidR="00F15FA6">
          <w:rPr>
            <w:noProof/>
            <w:webHidden/>
          </w:rPr>
          <w:instrText xml:space="preserve"> PAGEREF _Toc413501255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185F6E03"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56" w:history="1">
        <w:r w:rsidR="00F15FA6" w:rsidRPr="00F72997">
          <w:rPr>
            <w:rStyle w:val="Hyperlink"/>
            <w:noProof/>
          </w:rPr>
          <w:t>Document Revisions</w:t>
        </w:r>
        <w:r w:rsidR="00F15FA6">
          <w:rPr>
            <w:noProof/>
            <w:webHidden/>
          </w:rPr>
          <w:tab/>
        </w:r>
        <w:r w:rsidR="00F15FA6">
          <w:rPr>
            <w:noProof/>
            <w:webHidden/>
          </w:rPr>
          <w:fldChar w:fldCharType="begin"/>
        </w:r>
        <w:r w:rsidR="00F15FA6">
          <w:rPr>
            <w:noProof/>
            <w:webHidden/>
          </w:rPr>
          <w:instrText xml:space="preserve"> PAGEREF _Toc413501256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200C15AD"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57" w:history="1">
        <w:r w:rsidR="00F15FA6" w:rsidRPr="00F72997">
          <w:rPr>
            <w:rStyle w:val="Hyperlink"/>
            <w:noProof/>
          </w:rPr>
          <w:t>Abbreviations, Acronyms and Terminology</w:t>
        </w:r>
        <w:r w:rsidR="00F15FA6">
          <w:rPr>
            <w:noProof/>
            <w:webHidden/>
          </w:rPr>
          <w:tab/>
        </w:r>
        <w:r w:rsidR="00F15FA6">
          <w:rPr>
            <w:noProof/>
            <w:webHidden/>
          </w:rPr>
          <w:fldChar w:fldCharType="begin"/>
        </w:r>
        <w:r w:rsidR="00F15FA6">
          <w:rPr>
            <w:noProof/>
            <w:webHidden/>
          </w:rPr>
          <w:instrText xml:space="preserve"> PAGEREF _Toc413501257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0AA84440"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58" w:history="1">
        <w:r w:rsidR="00F15FA6" w:rsidRPr="00F72997">
          <w:rPr>
            <w:rStyle w:val="Hyperlink"/>
            <w:noProof/>
          </w:rPr>
          <w:t>Reference Documents</w:t>
        </w:r>
        <w:r w:rsidR="00F15FA6">
          <w:rPr>
            <w:noProof/>
            <w:webHidden/>
          </w:rPr>
          <w:tab/>
        </w:r>
        <w:r w:rsidR="00F15FA6">
          <w:rPr>
            <w:noProof/>
            <w:webHidden/>
          </w:rPr>
          <w:fldChar w:fldCharType="begin"/>
        </w:r>
        <w:r w:rsidR="00F15FA6">
          <w:rPr>
            <w:noProof/>
            <w:webHidden/>
          </w:rPr>
          <w:instrText xml:space="preserve"> PAGEREF _Toc413501258 \h </w:instrText>
        </w:r>
        <w:r w:rsidR="00F15FA6">
          <w:rPr>
            <w:noProof/>
            <w:webHidden/>
          </w:rPr>
        </w:r>
        <w:r w:rsidR="00F15FA6">
          <w:rPr>
            <w:noProof/>
            <w:webHidden/>
          </w:rPr>
          <w:fldChar w:fldCharType="separate"/>
        </w:r>
        <w:r w:rsidR="00F15FA6">
          <w:rPr>
            <w:noProof/>
            <w:webHidden/>
          </w:rPr>
          <w:t>4</w:t>
        </w:r>
        <w:r w:rsidR="00F15FA6">
          <w:rPr>
            <w:noProof/>
            <w:webHidden/>
          </w:rPr>
          <w:fldChar w:fldCharType="end"/>
        </w:r>
      </w:hyperlink>
    </w:p>
    <w:p w14:paraId="744EF9C7" w14:textId="77777777" w:rsidR="00F15FA6" w:rsidRDefault="00C60E8E">
      <w:pPr>
        <w:pStyle w:val="TOC1"/>
        <w:tabs>
          <w:tab w:val="right" w:leader="dot" w:pos="8750"/>
        </w:tabs>
        <w:rPr>
          <w:rFonts w:asciiTheme="minorHAnsi" w:eastAsiaTheme="minorEastAsia" w:hAnsiTheme="minorHAnsi" w:cstheme="minorBidi"/>
          <w:noProof/>
          <w:lang w:bidi="ar-SA"/>
        </w:rPr>
      </w:pPr>
      <w:hyperlink w:anchor="_Toc413501259" w:history="1">
        <w:r w:rsidR="00F15FA6" w:rsidRPr="00F72997">
          <w:rPr>
            <w:rStyle w:val="Hyperlink"/>
            <w:noProof/>
          </w:rPr>
          <w:t>Project Proposal</w:t>
        </w:r>
        <w:r w:rsidR="00F15FA6">
          <w:rPr>
            <w:noProof/>
            <w:webHidden/>
          </w:rPr>
          <w:tab/>
        </w:r>
        <w:r w:rsidR="00F15FA6">
          <w:rPr>
            <w:noProof/>
            <w:webHidden/>
          </w:rPr>
          <w:fldChar w:fldCharType="begin"/>
        </w:r>
        <w:r w:rsidR="00F15FA6">
          <w:rPr>
            <w:noProof/>
            <w:webHidden/>
          </w:rPr>
          <w:instrText xml:space="preserve"> PAGEREF _Toc413501259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4D13FC8"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60" w:history="1">
        <w:r w:rsidR="00F15FA6" w:rsidRPr="00F72997">
          <w:rPr>
            <w:rStyle w:val="Hyperlink"/>
            <w:noProof/>
          </w:rPr>
          <w:t>Background</w:t>
        </w:r>
        <w:r w:rsidR="00F15FA6">
          <w:rPr>
            <w:noProof/>
            <w:webHidden/>
          </w:rPr>
          <w:tab/>
        </w:r>
        <w:r w:rsidR="00F15FA6">
          <w:rPr>
            <w:noProof/>
            <w:webHidden/>
          </w:rPr>
          <w:fldChar w:fldCharType="begin"/>
        </w:r>
        <w:r w:rsidR="00F15FA6">
          <w:rPr>
            <w:noProof/>
            <w:webHidden/>
          </w:rPr>
          <w:instrText xml:space="preserve"> PAGEREF _Toc413501260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A889221"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61" w:history="1">
        <w:r w:rsidR="00F15FA6" w:rsidRPr="00F72997">
          <w:rPr>
            <w:rStyle w:val="Hyperlink"/>
            <w:noProof/>
          </w:rPr>
          <w:t>Problem Statement</w:t>
        </w:r>
        <w:r w:rsidR="00F15FA6">
          <w:rPr>
            <w:noProof/>
            <w:webHidden/>
          </w:rPr>
          <w:tab/>
        </w:r>
        <w:r w:rsidR="00F15FA6">
          <w:rPr>
            <w:noProof/>
            <w:webHidden/>
          </w:rPr>
          <w:fldChar w:fldCharType="begin"/>
        </w:r>
        <w:r w:rsidR="00F15FA6">
          <w:rPr>
            <w:noProof/>
            <w:webHidden/>
          </w:rPr>
          <w:instrText xml:space="preserve"> PAGEREF _Toc413501261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4C179432"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63" w:history="1">
        <w:r w:rsidR="00F15FA6" w:rsidRPr="00F72997">
          <w:rPr>
            <w:rStyle w:val="Hyperlink"/>
            <w:noProof/>
          </w:rPr>
          <w:t>Project Tasks</w:t>
        </w:r>
        <w:r w:rsidR="00F15FA6">
          <w:rPr>
            <w:noProof/>
            <w:webHidden/>
          </w:rPr>
          <w:tab/>
        </w:r>
        <w:r w:rsidR="00F15FA6">
          <w:rPr>
            <w:noProof/>
            <w:webHidden/>
          </w:rPr>
          <w:fldChar w:fldCharType="begin"/>
        </w:r>
        <w:r w:rsidR="00F15FA6">
          <w:rPr>
            <w:noProof/>
            <w:webHidden/>
          </w:rPr>
          <w:instrText xml:space="preserve"> PAGEREF _Toc413501263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F9D1F60"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64" w:history="1">
        <w:r w:rsidR="00F15FA6" w:rsidRPr="00F72997">
          <w:rPr>
            <w:rStyle w:val="Hyperlink"/>
            <w:noProof/>
          </w:rPr>
          <w:t>Improve Project Documentation</w:t>
        </w:r>
        <w:r w:rsidR="00F15FA6">
          <w:rPr>
            <w:noProof/>
            <w:webHidden/>
          </w:rPr>
          <w:tab/>
        </w:r>
        <w:r w:rsidR="00F15FA6">
          <w:rPr>
            <w:noProof/>
            <w:webHidden/>
          </w:rPr>
          <w:fldChar w:fldCharType="begin"/>
        </w:r>
        <w:r w:rsidR="00F15FA6">
          <w:rPr>
            <w:noProof/>
            <w:webHidden/>
          </w:rPr>
          <w:instrText xml:space="preserve"> PAGEREF _Toc413501264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09C97E38"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65" w:history="1">
        <w:r w:rsidR="00F15FA6" w:rsidRPr="00F72997">
          <w:rPr>
            <w:rStyle w:val="Hyperlink"/>
            <w:noProof/>
          </w:rPr>
          <w:t>Create Peripheral Boards</w:t>
        </w:r>
        <w:r w:rsidR="00F15FA6">
          <w:rPr>
            <w:noProof/>
            <w:webHidden/>
          </w:rPr>
          <w:tab/>
        </w:r>
        <w:r w:rsidR="00F15FA6">
          <w:rPr>
            <w:noProof/>
            <w:webHidden/>
          </w:rPr>
          <w:fldChar w:fldCharType="begin"/>
        </w:r>
        <w:r w:rsidR="00F15FA6">
          <w:rPr>
            <w:noProof/>
            <w:webHidden/>
          </w:rPr>
          <w:instrText xml:space="preserve"> PAGEREF _Toc413501265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1FBE3BE"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66" w:history="1">
        <w:r w:rsidR="00F15FA6" w:rsidRPr="00F72997">
          <w:rPr>
            <w:rStyle w:val="Hyperlink"/>
            <w:noProof/>
          </w:rPr>
          <w:t>Task Breakdown</w:t>
        </w:r>
        <w:r w:rsidR="00F15FA6">
          <w:rPr>
            <w:noProof/>
            <w:webHidden/>
          </w:rPr>
          <w:tab/>
        </w:r>
        <w:r w:rsidR="00F15FA6">
          <w:rPr>
            <w:noProof/>
            <w:webHidden/>
          </w:rPr>
          <w:fldChar w:fldCharType="begin"/>
        </w:r>
        <w:r w:rsidR="00F15FA6">
          <w:rPr>
            <w:noProof/>
            <w:webHidden/>
          </w:rPr>
          <w:instrText xml:space="preserve"> PAGEREF _Toc413501266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75CA8BF"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67" w:history="1">
        <w:r w:rsidR="00F15FA6" w:rsidRPr="00F72997">
          <w:rPr>
            <w:rStyle w:val="Hyperlink"/>
            <w:noProof/>
          </w:rPr>
          <w:t>Kris</w:t>
        </w:r>
        <w:r w:rsidR="00F15FA6">
          <w:rPr>
            <w:noProof/>
            <w:webHidden/>
          </w:rPr>
          <w:tab/>
        </w:r>
        <w:r w:rsidR="00F15FA6">
          <w:rPr>
            <w:noProof/>
            <w:webHidden/>
          </w:rPr>
          <w:fldChar w:fldCharType="begin"/>
        </w:r>
        <w:r w:rsidR="00F15FA6">
          <w:rPr>
            <w:noProof/>
            <w:webHidden/>
          </w:rPr>
          <w:instrText xml:space="preserve"> PAGEREF _Toc413501267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8C26E1F"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68" w:history="1">
        <w:r w:rsidR="00F15FA6" w:rsidRPr="00F72997">
          <w:rPr>
            <w:rStyle w:val="Hyperlink"/>
            <w:noProof/>
          </w:rPr>
          <w:t>Luis</w:t>
        </w:r>
        <w:r w:rsidR="00F15FA6">
          <w:rPr>
            <w:noProof/>
            <w:webHidden/>
          </w:rPr>
          <w:tab/>
        </w:r>
        <w:r w:rsidR="00F15FA6">
          <w:rPr>
            <w:noProof/>
            <w:webHidden/>
          </w:rPr>
          <w:fldChar w:fldCharType="begin"/>
        </w:r>
        <w:r w:rsidR="00F15FA6">
          <w:rPr>
            <w:noProof/>
            <w:webHidden/>
          </w:rPr>
          <w:instrText xml:space="preserve"> PAGEREF _Toc413501268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260760B9"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69" w:history="1">
        <w:r w:rsidR="00F15FA6" w:rsidRPr="00F72997">
          <w:rPr>
            <w:rStyle w:val="Hyperlink"/>
            <w:noProof/>
          </w:rPr>
          <w:t>Travis</w:t>
        </w:r>
        <w:r w:rsidR="00F15FA6">
          <w:rPr>
            <w:noProof/>
            <w:webHidden/>
          </w:rPr>
          <w:tab/>
        </w:r>
        <w:r w:rsidR="00F15FA6">
          <w:rPr>
            <w:noProof/>
            <w:webHidden/>
          </w:rPr>
          <w:fldChar w:fldCharType="begin"/>
        </w:r>
        <w:r w:rsidR="00F15FA6">
          <w:rPr>
            <w:noProof/>
            <w:webHidden/>
          </w:rPr>
          <w:instrText xml:space="preserve"> PAGEREF _Toc413501269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4165B4C"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70" w:history="1">
        <w:r w:rsidR="00F15FA6" w:rsidRPr="00F72997">
          <w:rPr>
            <w:rStyle w:val="Hyperlink"/>
            <w:noProof/>
          </w:rPr>
          <w:t>Brandon</w:t>
        </w:r>
        <w:r w:rsidR="00F15FA6">
          <w:rPr>
            <w:noProof/>
            <w:webHidden/>
          </w:rPr>
          <w:tab/>
        </w:r>
        <w:r w:rsidR="00F15FA6">
          <w:rPr>
            <w:noProof/>
            <w:webHidden/>
          </w:rPr>
          <w:fldChar w:fldCharType="begin"/>
        </w:r>
        <w:r w:rsidR="00F15FA6">
          <w:rPr>
            <w:noProof/>
            <w:webHidden/>
          </w:rPr>
          <w:instrText xml:space="preserve"> PAGEREF _Toc413501270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68B92E06" w14:textId="77777777" w:rsidR="00F15FA6" w:rsidRDefault="00C60E8E">
      <w:pPr>
        <w:pStyle w:val="TOC2"/>
        <w:tabs>
          <w:tab w:val="right" w:leader="dot" w:pos="8750"/>
        </w:tabs>
        <w:rPr>
          <w:rFonts w:asciiTheme="minorHAnsi" w:eastAsiaTheme="minorEastAsia" w:hAnsiTheme="minorHAnsi" w:cstheme="minorBidi"/>
          <w:noProof/>
          <w:lang w:bidi="ar-SA"/>
        </w:rPr>
      </w:pPr>
      <w:hyperlink w:anchor="_Toc413501271" w:history="1">
        <w:r w:rsidR="00F15FA6" w:rsidRPr="00F72997">
          <w:rPr>
            <w:rStyle w:val="Hyperlink"/>
            <w:noProof/>
          </w:rPr>
          <w:t>Project Timeline</w:t>
        </w:r>
        <w:r w:rsidR="00F15FA6">
          <w:rPr>
            <w:noProof/>
            <w:webHidden/>
          </w:rPr>
          <w:tab/>
        </w:r>
        <w:r w:rsidR="00F15FA6">
          <w:rPr>
            <w:noProof/>
            <w:webHidden/>
          </w:rPr>
          <w:fldChar w:fldCharType="begin"/>
        </w:r>
        <w:r w:rsidR="00F15FA6">
          <w:rPr>
            <w:noProof/>
            <w:webHidden/>
          </w:rPr>
          <w:instrText xml:space="preserve"> PAGEREF _Toc413501271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23279DF5"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72" w:history="1">
        <w:r w:rsidR="00F15FA6" w:rsidRPr="00F72997">
          <w:rPr>
            <w:rStyle w:val="Hyperlink"/>
            <w:noProof/>
          </w:rPr>
          <w:t>Experiments Expected Completion:</w:t>
        </w:r>
        <w:r w:rsidR="00F15FA6">
          <w:rPr>
            <w:noProof/>
            <w:webHidden/>
          </w:rPr>
          <w:tab/>
        </w:r>
        <w:r w:rsidR="00F15FA6">
          <w:rPr>
            <w:noProof/>
            <w:webHidden/>
          </w:rPr>
          <w:fldChar w:fldCharType="begin"/>
        </w:r>
        <w:r w:rsidR="00F15FA6">
          <w:rPr>
            <w:noProof/>
            <w:webHidden/>
          </w:rPr>
          <w:instrText xml:space="preserve"> PAGEREF _Toc413501272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41E38A8F"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73" w:history="1">
        <w:r w:rsidR="00F15FA6" w:rsidRPr="00F72997">
          <w:rPr>
            <w:rStyle w:val="Hyperlink"/>
            <w:noProof/>
          </w:rPr>
          <w:t>Website Expected Completion: Mid May – End of May</w:t>
        </w:r>
        <w:r w:rsidR="00F15FA6">
          <w:rPr>
            <w:noProof/>
            <w:webHidden/>
          </w:rPr>
          <w:tab/>
        </w:r>
        <w:r w:rsidR="00F15FA6">
          <w:rPr>
            <w:noProof/>
            <w:webHidden/>
          </w:rPr>
          <w:fldChar w:fldCharType="begin"/>
        </w:r>
        <w:r w:rsidR="00F15FA6">
          <w:rPr>
            <w:noProof/>
            <w:webHidden/>
          </w:rPr>
          <w:instrText xml:space="preserve"> PAGEREF _Toc413501273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51475F86" w14:textId="77777777" w:rsidR="00F15FA6" w:rsidRDefault="00C60E8E">
      <w:pPr>
        <w:pStyle w:val="TOC3"/>
        <w:tabs>
          <w:tab w:val="right" w:leader="dot" w:pos="8750"/>
        </w:tabs>
        <w:rPr>
          <w:rFonts w:asciiTheme="minorHAnsi" w:eastAsiaTheme="minorEastAsia" w:hAnsiTheme="minorHAnsi" w:cstheme="minorBidi"/>
          <w:noProof/>
          <w:lang w:bidi="ar-SA"/>
        </w:rPr>
      </w:pPr>
      <w:hyperlink w:anchor="_Toc413501274" w:history="1">
        <w:r w:rsidR="00F15FA6" w:rsidRPr="00F72997">
          <w:rPr>
            <w:rStyle w:val="Hyperlink"/>
            <w:noProof/>
          </w:rPr>
          <w:t>Promotion Expected Completion: Mid May</w:t>
        </w:r>
        <w:r w:rsidR="00F15FA6">
          <w:rPr>
            <w:noProof/>
            <w:webHidden/>
          </w:rPr>
          <w:tab/>
        </w:r>
        <w:r w:rsidR="00F15FA6">
          <w:rPr>
            <w:noProof/>
            <w:webHidden/>
          </w:rPr>
          <w:fldChar w:fldCharType="begin"/>
        </w:r>
        <w:r w:rsidR="00F15FA6">
          <w:rPr>
            <w:noProof/>
            <w:webHidden/>
          </w:rPr>
          <w:instrText xml:space="preserve"> PAGEREF _Toc413501274 \h </w:instrText>
        </w:r>
        <w:r w:rsidR="00F15FA6">
          <w:rPr>
            <w:noProof/>
            <w:webHidden/>
          </w:rPr>
        </w:r>
        <w:r w:rsidR="00F15FA6">
          <w:rPr>
            <w:noProof/>
            <w:webHidden/>
          </w:rPr>
          <w:fldChar w:fldCharType="separate"/>
        </w:r>
        <w:r w:rsidR="00F15FA6">
          <w:rPr>
            <w:noProof/>
            <w:webHidden/>
          </w:rPr>
          <w:t>8</w:t>
        </w:r>
        <w:r w:rsidR="00F15FA6">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2" w:name="_Toc199684163"/>
      <w:bookmarkStart w:id="3" w:name="_Ref219444802"/>
      <w:bookmarkStart w:id="4" w:name="_Ref219444935"/>
      <w:bookmarkStart w:id="5" w:name="_Ref219444936"/>
      <w:bookmarkStart w:id="6" w:name="_Ref219444977"/>
      <w:bookmarkStart w:id="7" w:name="_Ref219445037"/>
      <w:bookmarkStart w:id="8" w:name="_Ref228618053"/>
      <w:bookmarkStart w:id="9" w:name="_Toc413501254"/>
      <w:r>
        <w:lastRenderedPageBreak/>
        <w:t xml:space="preserve">About this </w:t>
      </w:r>
      <w:r w:rsidRPr="001F4001">
        <w:t>Document</w:t>
      </w:r>
      <w:bookmarkEnd w:id="2"/>
      <w:bookmarkEnd w:id="3"/>
      <w:bookmarkEnd w:id="4"/>
      <w:bookmarkEnd w:id="5"/>
      <w:bookmarkEnd w:id="6"/>
      <w:bookmarkEnd w:id="7"/>
      <w:bookmarkEnd w:id="8"/>
      <w:bookmarkEnd w:id="9"/>
    </w:p>
    <w:p w14:paraId="0FE2D3DB" w14:textId="77777777" w:rsidR="001F4001" w:rsidRDefault="00C52D02" w:rsidP="00E3405D">
      <w:pPr>
        <w:pStyle w:val="Heading2"/>
      </w:pPr>
      <w:bookmarkStart w:id="10" w:name="_Toc199684164"/>
      <w:bookmarkStart w:id="11" w:name="_Toc413501255"/>
      <w:r>
        <w:t xml:space="preserve">Introduction, </w:t>
      </w:r>
      <w:r w:rsidR="001F4001">
        <w:t>Purpose and Scope</w:t>
      </w:r>
      <w:bookmarkEnd w:id="10"/>
      <w:bookmarkEnd w:id="11"/>
    </w:p>
    <w:p w14:paraId="0BE63721" w14:textId="77777777" w:rsidR="00422A1D" w:rsidRDefault="006F00B4" w:rsidP="00422A1D">
      <w:bookmarkStart w:id="12"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3" w:name="_Toc413501256"/>
      <w:r>
        <w:t>Document Revisions</w:t>
      </w:r>
      <w:bookmarkEnd w:id="12"/>
      <w:bookmarkEnd w:id="13"/>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Brandon Towell,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05352FA3" w:rsidR="00C52D02" w:rsidRPr="002E5DBB" w:rsidRDefault="000940CF" w:rsidP="002E5DBB">
            <w:pPr>
              <w:spacing w:after="0" w:line="240" w:lineRule="auto"/>
              <w:jc w:val="center"/>
              <w:rPr>
                <w:b/>
                <w:bCs/>
              </w:rPr>
            </w:pPr>
            <w:r>
              <w:rPr>
                <w:b/>
                <w:bCs/>
              </w:rPr>
              <w:t>1.6</w:t>
            </w:r>
          </w:p>
        </w:tc>
        <w:tc>
          <w:tcPr>
            <w:tcW w:w="1528" w:type="dxa"/>
          </w:tcPr>
          <w:p w14:paraId="67CDD02E" w14:textId="64714094" w:rsidR="00C52D02" w:rsidRDefault="000940CF" w:rsidP="002E5DBB">
            <w:pPr>
              <w:spacing w:after="0" w:line="240" w:lineRule="auto"/>
              <w:jc w:val="center"/>
            </w:pPr>
            <w:r>
              <w:t>3/14/2015</w:t>
            </w:r>
          </w:p>
        </w:tc>
        <w:tc>
          <w:tcPr>
            <w:tcW w:w="1980" w:type="dxa"/>
          </w:tcPr>
          <w:p w14:paraId="5DB85032" w14:textId="67C748BA" w:rsidR="00C52D02" w:rsidRDefault="000940CF" w:rsidP="002E5DBB">
            <w:pPr>
              <w:spacing w:after="0" w:line="240" w:lineRule="auto"/>
            </w:pPr>
            <w:r>
              <w:t>Travis Berger</w:t>
            </w:r>
          </w:p>
        </w:tc>
        <w:tc>
          <w:tcPr>
            <w:tcW w:w="4608" w:type="dxa"/>
          </w:tcPr>
          <w:p w14:paraId="02E9860E" w14:textId="633DF50A" w:rsidR="00C52D02" w:rsidRDefault="000940CF" w:rsidP="002E5DBB">
            <w:pPr>
              <w:spacing w:after="0" w:line="240" w:lineRule="auto"/>
            </w:pPr>
            <w:r>
              <w:t>Added Experiment Details.</w:t>
            </w:r>
          </w:p>
        </w:tc>
      </w:tr>
    </w:tbl>
    <w:p w14:paraId="4AEAD0D1" w14:textId="77777777" w:rsidR="00C52D02" w:rsidRDefault="00C52D02" w:rsidP="00C52D02">
      <w:pPr>
        <w:pStyle w:val="Caption"/>
      </w:pPr>
      <w:bookmarkStart w:id="14" w:name="_Ref223766446"/>
      <w:bookmarkStart w:id="15"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4"/>
      <w:r>
        <w:t xml:space="preserve"> – Document Revisions</w:t>
      </w:r>
      <w:bookmarkEnd w:id="15"/>
    </w:p>
    <w:p w14:paraId="2D59C3EF" w14:textId="77777777" w:rsidR="00B878B3" w:rsidRPr="00B878B3" w:rsidRDefault="00B878B3" w:rsidP="00B878B3">
      <w:bookmarkStart w:id="16" w:name="_Toc199684166"/>
    </w:p>
    <w:p w14:paraId="67BE71C7" w14:textId="77777777" w:rsidR="001F4001" w:rsidRDefault="002D24DD" w:rsidP="00E3405D">
      <w:pPr>
        <w:pStyle w:val="Heading2"/>
      </w:pPr>
      <w:bookmarkStart w:id="17" w:name="_Abbreviations,_Acronyms_and"/>
      <w:bookmarkStart w:id="18" w:name="_Toc413501257"/>
      <w:bookmarkEnd w:id="17"/>
      <w:r>
        <w:t xml:space="preserve">Abbreviations, </w:t>
      </w:r>
      <w:r w:rsidR="001F4001">
        <w:t>Acronyms</w:t>
      </w:r>
      <w:r>
        <w:t xml:space="preserve"> and </w:t>
      </w:r>
      <w:r w:rsidR="00AE270C">
        <w:t>Terminology</w:t>
      </w:r>
      <w:bookmarkEnd w:id="16"/>
      <w:bookmarkEnd w:id="18"/>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9" w:name="_Toc413501258"/>
      <w:r>
        <w:lastRenderedPageBreak/>
        <w:t>Reference Documents</w:t>
      </w:r>
      <w:bookmarkEnd w:id="19"/>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20" w:name="_Ref206248820"/>
          </w:p>
        </w:tc>
        <w:bookmarkEnd w:id="20"/>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1"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1"/>
    </w:p>
    <w:p w14:paraId="7CD744A4" w14:textId="77777777" w:rsidR="00AB5DDE" w:rsidRDefault="004F39AC" w:rsidP="00226C1F">
      <w:pPr>
        <w:pStyle w:val="Heading1"/>
      </w:pPr>
      <w:bookmarkStart w:id="22" w:name="_Toc252829656"/>
      <w:bookmarkStart w:id="23" w:name="_Toc252829657"/>
      <w:bookmarkStart w:id="24" w:name="_Toc413501259"/>
      <w:bookmarkEnd w:id="22"/>
      <w:bookmarkEnd w:id="23"/>
      <w:r>
        <w:lastRenderedPageBreak/>
        <w:t>Project Proposal</w:t>
      </w:r>
      <w:bookmarkEnd w:id="24"/>
      <w:r>
        <w:t xml:space="preserve"> </w:t>
      </w:r>
    </w:p>
    <w:p w14:paraId="02BC62C9" w14:textId="36BD8126" w:rsidR="00B90843" w:rsidRDefault="00B90843" w:rsidP="00B90843">
      <w:pPr>
        <w:pStyle w:val="Heading2"/>
      </w:pPr>
      <w:bookmarkStart w:id="25" w:name="_Toc413501260"/>
      <w:r>
        <w:t>Background</w:t>
      </w:r>
      <w:bookmarkEnd w:id="25"/>
    </w:p>
    <w:p w14:paraId="2CA450D3" w14:textId="4E17C7CA"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r w:rsidR="00186D66">
        <w:rPr>
          <w:color w:val="1F497D" w:themeColor="text2"/>
        </w:rPr>
        <w:t>members’</w:t>
      </w:r>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6" w:name="_Toc413501261"/>
      <w:r>
        <w:t>Problem Statement</w:t>
      </w:r>
      <w:bookmarkEnd w:id="26"/>
    </w:p>
    <w:p w14:paraId="4C8D85CE" w14:textId="01585FD0" w:rsidR="00783E27" w:rsidRPr="00D75CD6" w:rsidRDefault="000940CF" w:rsidP="00F15FA6">
      <w:pPr>
        <w:pStyle w:val="Heading2"/>
        <w:ind w:left="0" w:firstLine="0"/>
        <w:jc w:val="both"/>
        <w:rPr>
          <w:rFonts w:asciiTheme="minorHAnsi" w:hAnsiTheme="minorHAnsi"/>
          <w:b w:val="0"/>
          <w:sz w:val="22"/>
        </w:rPr>
      </w:pPr>
      <w:r>
        <w:rPr>
          <w:rFonts w:asciiTheme="minorHAnsi" w:hAnsiTheme="minorHAnsi"/>
          <w:b w:val="0"/>
          <w:color w:val="1F497D" w:themeColor="text2"/>
          <w:sz w:val="22"/>
        </w:rPr>
        <w:t xml:space="preserve">To aid in further development of the E3VB board three experiments will be created that demonstrate common signal degradation issues in PCB manufacturing. The experiments will be on one or more peripheral board(s) that is/are totally independent from the E3VB. Each experiment will have documentation that explains the experiment. </w:t>
      </w:r>
      <w:r w:rsidR="003E6826">
        <w:rPr>
          <w:rFonts w:asciiTheme="minorHAnsi" w:hAnsiTheme="minorHAnsi"/>
          <w:b w:val="0"/>
          <w:color w:val="1F497D" w:themeColor="text2"/>
          <w:sz w:val="22"/>
        </w:rPr>
        <w:t xml:space="preserve">The experiments will be intended for senior level </w:t>
      </w:r>
      <w:r w:rsidR="009A4CE6">
        <w:rPr>
          <w:rFonts w:asciiTheme="minorHAnsi" w:hAnsiTheme="minorHAnsi"/>
          <w:b w:val="0"/>
          <w:color w:val="1F497D" w:themeColor="text2"/>
          <w:sz w:val="22"/>
        </w:rPr>
        <w:t>Electrical Engineering students and the ne</w:t>
      </w:r>
      <w:r w:rsidR="00C528CE">
        <w:rPr>
          <w:rFonts w:asciiTheme="minorHAnsi" w:hAnsiTheme="minorHAnsi"/>
          <w:b w:val="0"/>
          <w:color w:val="1F497D" w:themeColor="text2"/>
          <w:sz w:val="22"/>
        </w:rPr>
        <w:t xml:space="preserve">cessary equipment will be available at major EE Universities. </w:t>
      </w:r>
    </w:p>
    <w:p w14:paraId="499877D2" w14:textId="47E28099" w:rsidR="00035586" w:rsidRPr="00035586" w:rsidRDefault="00035586" w:rsidP="00035586">
      <w:pPr>
        <w:pStyle w:val="Heading2"/>
      </w:pPr>
      <w:bookmarkStart w:id="27" w:name="_Toc413501263"/>
      <w:r>
        <w:t>Project Tasks</w:t>
      </w:r>
      <w:bookmarkEnd w:id="27"/>
    </w:p>
    <w:p w14:paraId="375A922B" w14:textId="18D112C1" w:rsidR="00880D23" w:rsidRDefault="000940CF" w:rsidP="00035586">
      <w:pPr>
        <w:pStyle w:val="Heading3"/>
      </w:pPr>
      <w:r>
        <w:t>Experiments</w:t>
      </w:r>
    </w:p>
    <w:p w14:paraId="2430E343" w14:textId="6EC2AFB1" w:rsidR="00E867C7" w:rsidRDefault="000940CF" w:rsidP="000940CF">
      <w:pPr>
        <w:pStyle w:val="ListParagraph"/>
        <w:numPr>
          <w:ilvl w:val="0"/>
          <w:numId w:val="8"/>
        </w:numPr>
        <w:spacing w:after="0" w:line="240" w:lineRule="auto"/>
        <w:rPr>
          <w:color w:val="1F497D" w:themeColor="text2"/>
        </w:rPr>
      </w:pPr>
      <w:bookmarkStart w:id="28" w:name="_Toc245453070"/>
      <w:r>
        <w:rPr>
          <w:color w:val="1F497D" w:themeColor="text2"/>
        </w:rPr>
        <w:t>Mixed Signal Ground Technique</w:t>
      </w:r>
    </w:p>
    <w:p w14:paraId="27C940AB" w14:textId="77777777" w:rsidR="000940CF" w:rsidRDefault="000940CF" w:rsidP="000940CF">
      <w:pPr>
        <w:pStyle w:val="ListParagraph"/>
        <w:spacing w:after="0" w:line="240" w:lineRule="auto"/>
        <w:rPr>
          <w:color w:val="1F497D" w:themeColor="text2"/>
        </w:rPr>
      </w:pPr>
    </w:p>
    <w:p w14:paraId="62A50797" w14:textId="702127C9" w:rsidR="003E6826" w:rsidRDefault="000940CF" w:rsidP="003E6826">
      <w:pPr>
        <w:pStyle w:val="ListParagraph"/>
        <w:spacing w:after="0" w:line="240" w:lineRule="auto"/>
        <w:rPr>
          <w:color w:val="1F497D" w:themeColor="text2"/>
        </w:rPr>
      </w:pPr>
      <w:r>
        <w:rPr>
          <w:color w:val="1F497D" w:themeColor="text2"/>
        </w:rPr>
        <w:t>This experiment explores the importance of proper ground techniques when working with mixed sign</w:t>
      </w:r>
      <w:r w:rsidR="003C016D">
        <w:rPr>
          <w:color w:val="1F497D" w:themeColor="text2"/>
        </w:rPr>
        <w:t>al devices and layout. Due to the highly sensitive nature of analog devices steps need to be taken to ensure that there is minimal interference from digital devices when working with mixed signal applications. The experiment will demonstrate negative effects by utilizing improper ground techniques</w:t>
      </w:r>
      <w:r w:rsidR="00F946B0">
        <w:rPr>
          <w:color w:val="1F497D" w:themeColor="text2"/>
        </w:rPr>
        <w:t xml:space="preserve">. </w:t>
      </w:r>
      <w:r w:rsidR="003E6826">
        <w:rPr>
          <w:color w:val="1F497D" w:themeColor="text2"/>
        </w:rPr>
        <w:t>The user will be able to observe these negative effects by connecting test equipment to test points placed throughout the board.</w:t>
      </w:r>
    </w:p>
    <w:p w14:paraId="4300347E" w14:textId="77777777" w:rsidR="003E6826" w:rsidRDefault="003E6826" w:rsidP="003E6826">
      <w:pPr>
        <w:pStyle w:val="ListParagraph"/>
        <w:spacing w:after="0" w:line="240" w:lineRule="auto"/>
        <w:rPr>
          <w:color w:val="1F497D" w:themeColor="text2"/>
        </w:rPr>
      </w:pPr>
    </w:p>
    <w:p w14:paraId="69F9C5CD" w14:textId="20B0B78A" w:rsidR="003E6826" w:rsidRDefault="003E6826" w:rsidP="003E6826">
      <w:pPr>
        <w:pStyle w:val="ListParagraph"/>
        <w:numPr>
          <w:ilvl w:val="0"/>
          <w:numId w:val="8"/>
        </w:numPr>
        <w:spacing w:after="0" w:line="240" w:lineRule="auto"/>
        <w:rPr>
          <w:color w:val="1F497D" w:themeColor="text2"/>
        </w:rPr>
      </w:pPr>
      <w:r>
        <w:rPr>
          <w:color w:val="1F497D" w:themeColor="text2"/>
        </w:rPr>
        <w:t>Connector Experiment</w:t>
      </w:r>
    </w:p>
    <w:p w14:paraId="250AC34D" w14:textId="77777777" w:rsidR="00EC6221" w:rsidRDefault="00EC6221" w:rsidP="00EC6221">
      <w:pPr>
        <w:pStyle w:val="ListParagraph"/>
        <w:spacing w:after="0" w:line="240" w:lineRule="auto"/>
        <w:rPr>
          <w:color w:val="1F497D" w:themeColor="text2"/>
        </w:rPr>
      </w:pPr>
    </w:p>
    <w:p w14:paraId="49AA2DED" w14:textId="2AC095C4" w:rsidR="003E6826" w:rsidRDefault="00EC6221" w:rsidP="00EC6221">
      <w:pPr>
        <w:spacing w:after="0" w:line="240" w:lineRule="auto"/>
        <w:ind w:left="720"/>
        <w:rPr>
          <w:color w:val="1F497D" w:themeColor="text2"/>
        </w:rPr>
      </w:pPr>
      <w:r w:rsidRPr="00EC6221">
        <w:rPr>
          <w:color w:val="1F497D" w:themeColor="text2"/>
        </w:rPr>
        <w:t xml:space="preserve">Connectors are mandatory in electronics and have become more important in business and everyday life. A connector provides a separable connections between elements inside an electronic system. This </w:t>
      </w:r>
      <w:r w:rsidR="00186D66">
        <w:rPr>
          <w:color w:val="1F497D" w:themeColor="text2"/>
        </w:rPr>
        <w:t>experiment</w:t>
      </w:r>
      <w:r w:rsidRPr="00EC6221">
        <w:rPr>
          <w:color w:val="1F497D" w:themeColor="text2"/>
        </w:rPr>
        <w:t xml:space="preserve"> will demonstrate the reliability of different connectors in respect to how they affect the degradation of the signal passing though the connectors. One main point to focus on in this experiment is how ranging frequencies cannot be handled by common connectors and how they specifically change the signal.</w:t>
      </w:r>
    </w:p>
    <w:p w14:paraId="393E4BA8" w14:textId="4643B3FC" w:rsidR="005D6AAB" w:rsidRDefault="00186D66" w:rsidP="00EC6221">
      <w:pPr>
        <w:spacing w:after="0" w:line="240" w:lineRule="auto"/>
        <w:ind w:left="720"/>
        <w:rPr>
          <w:color w:val="1F497D" w:themeColor="text2"/>
        </w:rPr>
      </w:pPr>
      <w:r>
        <w:rPr>
          <w:color w:val="1F497D" w:themeColor="text2"/>
        </w:rPr>
        <w:t xml:space="preserve">Refer to </w:t>
      </w:r>
      <w:r w:rsidRPr="00186D66">
        <w:rPr>
          <w:color w:val="1F497D" w:themeColor="text2"/>
        </w:rPr>
        <w:t>Connector Reliability and Signal Degradation</w:t>
      </w:r>
      <w:r>
        <w:rPr>
          <w:color w:val="1F497D" w:themeColor="text2"/>
        </w:rPr>
        <w:t xml:space="preserve"> document for more details.</w:t>
      </w:r>
    </w:p>
    <w:p w14:paraId="2E5CB3D3" w14:textId="77777777" w:rsidR="005D6AAB" w:rsidRDefault="005D6AAB">
      <w:pPr>
        <w:spacing w:after="0" w:line="240" w:lineRule="auto"/>
        <w:rPr>
          <w:color w:val="1F497D" w:themeColor="text2"/>
        </w:rPr>
      </w:pPr>
      <w:r>
        <w:rPr>
          <w:color w:val="1F497D" w:themeColor="text2"/>
        </w:rPr>
        <w:br w:type="page"/>
      </w:r>
    </w:p>
    <w:p w14:paraId="33F12C78" w14:textId="77777777" w:rsidR="00186D66" w:rsidRDefault="00186D66" w:rsidP="00EC6221">
      <w:pPr>
        <w:spacing w:after="0" w:line="240" w:lineRule="auto"/>
        <w:ind w:left="720"/>
        <w:rPr>
          <w:color w:val="1F497D" w:themeColor="text2"/>
        </w:rPr>
      </w:pPr>
    </w:p>
    <w:p w14:paraId="5886F1AD" w14:textId="77777777" w:rsidR="00186D66" w:rsidRDefault="00186D66" w:rsidP="00EC6221">
      <w:pPr>
        <w:spacing w:after="0" w:line="240" w:lineRule="auto"/>
        <w:ind w:left="720"/>
        <w:rPr>
          <w:color w:val="1F497D" w:themeColor="text2"/>
        </w:rPr>
      </w:pPr>
    </w:p>
    <w:p w14:paraId="150DE712" w14:textId="73FF4EC8" w:rsidR="003E6826" w:rsidRDefault="003E6826" w:rsidP="003E6826">
      <w:pPr>
        <w:pStyle w:val="ListParagraph"/>
        <w:numPr>
          <w:ilvl w:val="0"/>
          <w:numId w:val="8"/>
        </w:numPr>
        <w:spacing w:after="0" w:line="240" w:lineRule="auto"/>
        <w:rPr>
          <w:color w:val="1F497D" w:themeColor="text2"/>
        </w:rPr>
      </w:pPr>
      <w:r>
        <w:rPr>
          <w:color w:val="1F497D" w:themeColor="text2"/>
        </w:rPr>
        <w:t>ISI Experiment</w:t>
      </w:r>
    </w:p>
    <w:p w14:paraId="0F8A0AEC" w14:textId="77777777" w:rsidR="005D6AAB" w:rsidRPr="003E6826" w:rsidRDefault="005D6AAB" w:rsidP="005D6AAB">
      <w:pPr>
        <w:pStyle w:val="ListParagraph"/>
        <w:spacing w:after="0" w:line="240" w:lineRule="auto"/>
        <w:rPr>
          <w:color w:val="1F497D" w:themeColor="text2"/>
        </w:rPr>
      </w:pPr>
    </w:p>
    <w:p w14:paraId="4A7205D0" w14:textId="32FF847A" w:rsidR="00903EED" w:rsidRPr="00B96320" w:rsidRDefault="005D6AAB" w:rsidP="00903EED">
      <w:pPr>
        <w:pStyle w:val="ListParagraph"/>
        <w:rPr>
          <w:bCs/>
          <w:iCs/>
          <w:color w:val="1F497D" w:themeColor="text2"/>
        </w:rPr>
      </w:pPr>
      <w:r w:rsidRPr="005D6AAB">
        <w:rPr>
          <w:bCs/>
          <w:iCs/>
          <w:color w:val="1F497D" w:themeColor="text2"/>
        </w:rPr>
        <w:t>The new Intersymbol interference (ISI) experiment consists of expanding the ISI experiment and the crosstalk experiment on the original board.   ISI distortion is a result of previous symbols interfering with the current symbol.  Crosstalk is another form of signal distortion that happens when the nearby traces interfere with each other. Since often there are multiple factors that may affect signals simultaneously our focus is to provide with an experiment that will allow to show each type of interference individually and simultaneously.  The experiment will have more than one way of introducing timing and patterns signals to it.</w:t>
      </w:r>
    </w:p>
    <w:p w14:paraId="00390315" w14:textId="49793F33" w:rsidR="00BB1FE3" w:rsidRDefault="00BB1FE3" w:rsidP="00BB1FE3">
      <w:pPr>
        <w:pStyle w:val="Heading2"/>
      </w:pPr>
      <w:bookmarkStart w:id="29" w:name="_Toc413501266"/>
      <w:bookmarkEnd w:id="28"/>
      <w:r>
        <w:t>Deliverables</w:t>
      </w:r>
    </w:p>
    <w:p w14:paraId="2637E5D7" w14:textId="559229D1" w:rsidR="00BB1FE3" w:rsidRDefault="00BB1FE3" w:rsidP="00BB1FE3">
      <w:pPr>
        <w:pStyle w:val="Heading5"/>
      </w:pPr>
      <w:r>
        <w:t>Three Experiments on Peripheral Board(s)</w:t>
      </w:r>
    </w:p>
    <w:p w14:paraId="4AB81E41" w14:textId="1509A320" w:rsidR="00BB1FE3" w:rsidRDefault="00BB1FE3" w:rsidP="00BB1FE3">
      <w:pPr>
        <w:pStyle w:val="ListParagraph"/>
        <w:numPr>
          <w:ilvl w:val="0"/>
          <w:numId w:val="18"/>
        </w:numPr>
      </w:pPr>
      <w:r>
        <w:t>Mixed Signal Ground Techniques</w:t>
      </w:r>
    </w:p>
    <w:p w14:paraId="31BC049C" w14:textId="49336959" w:rsidR="00BB1FE3" w:rsidRDefault="00BB1FE3" w:rsidP="00BB1FE3">
      <w:pPr>
        <w:pStyle w:val="ListParagraph"/>
        <w:numPr>
          <w:ilvl w:val="0"/>
          <w:numId w:val="18"/>
        </w:numPr>
      </w:pPr>
      <w:r>
        <w:t>Connector Experiment</w:t>
      </w:r>
    </w:p>
    <w:p w14:paraId="2DC3BCEC" w14:textId="1CD29C90" w:rsidR="00BB1FE3" w:rsidRDefault="00BB1FE3" w:rsidP="00BB1FE3">
      <w:pPr>
        <w:pStyle w:val="ListParagraph"/>
        <w:numPr>
          <w:ilvl w:val="0"/>
          <w:numId w:val="18"/>
        </w:numPr>
      </w:pPr>
      <w:r>
        <w:t>ISI Experiment</w:t>
      </w:r>
    </w:p>
    <w:p w14:paraId="64BFFAD9" w14:textId="2A0EB050" w:rsidR="00BB1FE3" w:rsidRDefault="00BB1FE3" w:rsidP="00BB1FE3">
      <w:pPr>
        <w:pStyle w:val="Heading5"/>
      </w:pPr>
      <w:r>
        <w:t>Experiment Documentation</w:t>
      </w:r>
    </w:p>
    <w:p w14:paraId="5A2417CC" w14:textId="77777777" w:rsidR="00186D66" w:rsidRPr="00186D66" w:rsidRDefault="00186D66" w:rsidP="00186D66">
      <w:pPr>
        <w:rPr>
          <w:rFonts w:cs="Calibri"/>
        </w:rPr>
      </w:pPr>
      <w:r w:rsidRPr="00186D66">
        <w:t>Each Experiment will have documentation that consists of the following format:</w:t>
      </w:r>
    </w:p>
    <w:p w14:paraId="35B1D9C2" w14:textId="77777777" w:rsidR="00186D66" w:rsidRPr="00186D66" w:rsidRDefault="00186D66" w:rsidP="00186D66">
      <w:pPr>
        <w:pStyle w:val="ListParagraph"/>
        <w:numPr>
          <w:ilvl w:val="0"/>
          <w:numId w:val="8"/>
        </w:numPr>
        <w:rPr>
          <w:rFonts w:cs="Calibri"/>
        </w:rPr>
      </w:pPr>
      <w:r w:rsidRPr="00186D66">
        <w:t>Background Theory</w:t>
      </w:r>
    </w:p>
    <w:p w14:paraId="02FBA97E" w14:textId="77777777" w:rsidR="00186D66" w:rsidRPr="00186D66" w:rsidRDefault="00186D66" w:rsidP="00186D66">
      <w:pPr>
        <w:pStyle w:val="ListParagraph"/>
        <w:numPr>
          <w:ilvl w:val="0"/>
          <w:numId w:val="8"/>
        </w:numPr>
        <w:rPr>
          <w:rFonts w:cs="Calibri"/>
        </w:rPr>
      </w:pPr>
      <w:r w:rsidRPr="00186D66">
        <w:t>Objective</w:t>
      </w:r>
    </w:p>
    <w:p w14:paraId="0BA1FB3A" w14:textId="77777777" w:rsidR="00186D66" w:rsidRPr="00186D66" w:rsidRDefault="00186D66" w:rsidP="00186D66">
      <w:pPr>
        <w:pStyle w:val="ListParagraph"/>
        <w:numPr>
          <w:ilvl w:val="0"/>
          <w:numId w:val="8"/>
        </w:numPr>
        <w:rPr>
          <w:rFonts w:cs="Calibri"/>
        </w:rPr>
      </w:pPr>
      <w:r w:rsidRPr="00186D66">
        <w:rPr>
          <w:rFonts w:cs="Calibri"/>
        </w:rPr>
        <w:t>Necessary Equipment List</w:t>
      </w:r>
    </w:p>
    <w:p w14:paraId="602F993E" w14:textId="77777777" w:rsidR="00186D66" w:rsidRPr="00186D66" w:rsidRDefault="00186D66" w:rsidP="00186D66">
      <w:pPr>
        <w:pStyle w:val="ListParagraph"/>
        <w:numPr>
          <w:ilvl w:val="0"/>
          <w:numId w:val="8"/>
        </w:numPr>
        <w:rPr>
          <w:rFonts w:cs="Calibri"/>
        </w:rPr>
      </w:pPr>
      <w:r w:rsidRPr="00186D66">
        <w:t>Setup</w:t>
      </w:r>
    </w:p>
    <w:p w14:paraId="1D16C0B3" w14:textId="77777777" w:rsidR="00186D66" w:rsidRPr="00186D66" w:rsidRDefault="00186D66" w:rsidP="00186D66">
      <w:pPr>
        <w:pStyle w:val="ListParagraph"/>
        <w:numPr>
          <w:ilvl w:val="0"/>
          <w:numId w:val="8"/>
        </w:numPr>
        <w:rPr>
          <w:rFonts w:cs="Calibri"/>
        </w:rPr>
      </w:pPr>
      <w:r w:rsidRPr="00186D66">
        <w:t>Procedure</w:t>
      </w:r>
    </w:p>
    <w:p w14:paraId="0CEB4DC6" w14:textId="77777777" w:rsidR="00186D66" w:rsidRPr="00186D66" w:rsidRDefault="00186D66" w:rsidP="00186D66">
      <w:pPr>
        <w:pStyle w:val="ListParagraph"/>
        <w:numPr>
          <w:ilvl w:val="0"/>
          <w:numId w:val="8"/>
        </w:numPr>
        <w:rPr>
          <w:rFonts w:cs="Calibri"/>
        </w:rPr>
      </w:pPr>
      <w:r w:rsidRPr="00186D66">
        <w:rPr>
          <w:rFonts w:cs="Calibri"/>
        </w:rPr>
        <w:t>Conclusion</w:t>
      </w:r>
    </w:p>
    <w:p w14:paraId="7B8B4CD0" w14:textId="77777777" w:rsidR="00BB1FE3" w:rsidRDefault="00BB1FE3" w:rsidP="00BB1FE3"/>
    <w:p w14:paraId="108EC482" w14:textId="77777777" w:rsidR="00BB1FE3" w:rsidRPr="00BB1FE3" w:rsidRDefault="00BB1FE3" w:rsidP="00BB1FE3"/>
    <w:p w14:paraId="3E32CC18" w14:textId="426185D4" w:rsidR="00035586" w:rsidRDefault="00035586" w:rsidP="009A4CE6">
      <w:pPr>
        <w:pStyle w:val="Heading2"/>
        <w:ind w:left="0" w:firstLine="0"/>
      </w:pPr>
      <w:r>
        <w:t>Task Breakdown</w:t>
      </w:r>
      <w:bookmarkEnd w:id="29"/>
      <w:r>
        <w:t xml:space="preserve"> </w:t>
      </w:r>
    </w:p>
    <w:p w14:paraId="07AEA0A6" w14:textId="0524A436" w:rsidR="00EA694A" w:rsidRDefault="009A4CE6" w:rsidP="00EA694A">
      <w:pPr>
        <w:pStyle w:val="Heading3"/>
      </w:pPr>
      <w:r>
        <w:t>Experiments</w:t>
      </w:r>
    </w:p>
    <w:p w14:paraId="5155B594" w14:textId="29F7D6C1" w:rsidR="00EA694A" w:rsidRDefault="009A4CE6" w:rsidP="00EA694A">
      <w:pPr>
        <w:pStyle w:val="Heading5"/>
      </w:pPr>
      <w:r>
        <w:t>Mixed Signal Ground Techniques</w:t>
      </w:r>
    </w:p>
    <w:p w14:paraId="6023CE39" w14:textId="09120062" w:rsidR="00EA694A" w:rsidRDefault="009A4CE6" w:rsidP="00AB56D0">
      <w:pPr>
        <w:pStyle w:val="ListParagraph"/>
        <w:numPr>
          <w:ilvl w:val="0"/>
          <w:numId w:val="9"/>
        </w:numPr>
      </w:pPr>
      <w:r>
        <w:t>Primary: Travis</w:t>
      </w:r>
    </w:p>
    <w:p w14:paraId="1A96BB50" w14:textId="30A6343B" w:rsidR="00EA694A" w:rsidRDefault="009A4CE6" w:rsidP="009A4CE6">
      <w:pPr>
        <w:pStyle w:val="ListParagraph"/>
        <w:numPr>
          <w:ilvl w:val="0"/>
          <w:numId w:val="9"/>
        </w:numPr>
      </w:pPr>
      <w:r>
        <w:t>Support: Kris Luis</w:t>
      </w:r>
    </w:p>
    <w:p w14:paraId="239CA78F" w14:textId="2419C702" w:rsidR="00EA694A" w:rsidRDefault="009A4CE6" w:rsidP="00EA694A">
      <w:pPr>
        <w:pStyle w:val="Heading5"/>
      </w:pPr>
      <w:r>
        <w:t>Connector Experiment</w:t>
      </w:r>
    </w:p>
    <w:p w14:paraId="3C83AEFE" w14:textId="07AE1BD6" w:rsidR="00EA694A" w:rsidRDefault="009A4CE6" w:rsidP="009A4CE6">
      <w:pPr>
        <w:pStyle w:val="ListParagraph"/>
        <w:numPr>
          <w:ilvl w:val="0"/>
          <w:numId w:val="9"/>
        </w:numPr>
      </w:pPr>
      <w:r>
        <w:t>Primary: Brandon</w:t>
      </w:r>
    </w:p>
    <w:p w14:paraId="0E199AF9" w14:textId="40B46266" w:rsidR="00EA694A" w:rsidRDefault="009A4CE6" w:rsidP="009A4CE6">
      <w:pPr>
        <w:pStyle w:val="Heading5"/>
      </w:pPr>
      <w:r>
        <w:lastRenderedPageBreak/>
        <w:t xml:space="preserve">ISI </w:t>
      </w:r>
    </w:p>
    <w:p w14:paraId="46658BE3" w14:textId="6169A1AD" w:rsidR="009A4CE6" w:rsidRDefault="009A4CE6" w:rsidP="009A4CE6">
      <w:pPr>
        <w:pStyle w:val="ListParagraph"/>
        <w:numPr>
          <w:ilvl w:val="0"/>
          <w:numId w:val="17"/>
        </w:numPr>
      </w:pPr>
      <w:r>
        <w:t>Primary: Luis and Kris</w:t>
      </w:r>
    </w:p>
    <w:p w14:paraId="5EE06403" w14:textId="77777777" w:rsidR="009A4CE6" w:rsidRPr="009A4CE6" w:rsidRDefault="009A4CE6" w:rsidP="009A4CE6">
      <w:pPr>
        <w:ind w:left="360"/>
      </w:pPr>
    </w:p>
    <w:p w14:paraId="0ED3F113" w14:textId="228EEFEE" w:rsidR="009A4CE6" w:rsidRDefault="009A4CE6" w:rsidP="009A4CE6">
      <w:pPr>
        <w:pStyle w:val="Heading2"/>
        <w:ind w:left="0" w:firstLine="0"/>
      </w:pPr>
      <w:r>
        <w:t>Testing</w:t>
      </w:r>
    </w:p>
    <w:p w14:paraId="42D5E3BF" w14:textId="5E45A2DD" w:rsidR="009A4CE6" w:rsidRDefault="009A4CE6" w:rsidP="009A4CE6">
      <w:pPr>
        <w:pStyle w:val="Heading5"/>
      </w:pPr>
      <w:r>
        <w:t>Stage I</w:t>
      </w:r>
    </w:p>
    <w:p w14:paraId="3CDF517B" w14:textId="0067A4BC" w:rsidR="009A4CE6" w:rsidRDefault="009A4CE6" w:rsidP="009A4CE6">
      <w:pPr>
        <w:pStyle w:val="ListParagraph"/>
        <w:numPr>
          <w:ilvl w:val="0"/>
          <w:numId w:val="17"/>
        </w:numPr>
      </w:pPr>
      <w:r>
        <w:t>Alpha Testing amongst group</w:t>
      </w:r>
    </w:p>
    <w:p w14:paraId="2C457A0A" w14:textId="0CCA21A1" w:rsidR="009A4CE6" w:rsidRDefault="009A4CE6" w:rsidP="009A4CE6">
      <w:pPr>
        <w:pStyle w:val="Heading5"/>
      </w:pPr>
      <w:r>
        <w:t xml:space="preserve">Stage II </w:t>
      </w:r>
    </w:p>
    <w:p w14:paraId="280617C1" w14:textId="28977C19" w:rsidR="009A4CE6" w:rsidRDefault="009A4CE6" w:rsidP="009A4CE6">
      <w:pPr>
        <w:pStyle w:val="ListParagraph"/>
        <w:numPr>
          <w:ilvl w:val="0"/>
          <w:numId w:val="17"/>
        </w:numPr>
      </w:pPr>
      <w:r>
        <w:t>Beta Testing amongst classmates</w:t>
      </w:r>
    </w:p>
    <w:p w14:paraId="610F720E" w14:textId="42F7CB84" w:rsidR="009A4CE6" w:rsidRDefault="009A4CE6" w:rsidP="009A4CE6">
      <w:pPr>
        <w:pStyle w:val="Heading5"/>
      </w:pPr>
      <w:r>
        <w:t>Stage III</w:t>
      </w:r>
    </w:p>
    <w:p w14:paraId="15FDC192" w14:textId="35108B3F" w:rsidR="009A4CE6" w:rsidRDefault="009A4CE6" w:rsidP="009A4CE6">
      <w:pPr>
        <w:pStyle w:val="ListParagraph"/>
        <w:numPr>
          <w:ilvl w:val="0"/>
          <w:numId w:val="17"/>
        </w:numPr>
      </w:pPr>
      <w:r>
        <w:t>Sponsor Testing</w:t>
      </w:r>
    </w:p>
    <w:p w14:paraId="42684449" w14:textId="77777777" w:rsidR="009A4CE6" w:rsidRDefault="009A4CE6" w:rsidP="009A4CE6">
      <w:pPr>
        <w:pStyle w:val="ListParagraph"/>
      </w:pPr>
    </w:p>
    <w:p w14:paraId="6119EEB4" w14:textId="7D13AD1E" w:rsidR="00C82F6B" w:rsidRDefault="00C82F6B" w:rsidP="00C82F6B">
      <w:pPr>
        <w:pStyle w:val="Heading2"/>
      </w:pPr>
      <w:r>
        <w:t>Expected Budget</w:t>
      </w:r>
    </w:p>
    <w:p w14:paraId="4FEE1E77" w14:textId="38A492B8" w:rsidR="00C82F6B" w:rsidRDefault="00C82F6B" w:rsidP="00C82F6B">
      <w:pPr>
        <w:pStyle w:val="Heading5"/>
      </w:pPr>
      <w:r>
        <w:t xml:space="preserve">$100 per experiment (including PCB manufacturing) </w:t>
      </w:r>
    </w:p>
    <w:p w14:paraId="2ABDA29E" w14:textId="77777777" w:rsidR="00C82F6B" w:rsidRPr="00C82F6B" w:rsidRDefault="00C82F6B" w:rsidP="00C82F6B"/>
    <w:p w14:paraId="76E55BB2" w14:textId="607182A6" w:rsidR="00C82F6B" w:rsidRDefault="00C82F6B" w:rsidP="00C82F6B">
      <w:pPr>
        <w:pStyle w:val="Heading2"/>
      </w:pPr>
      <w:r>
        <w:t>Schedule</w:t>
      </w:r>
    </w:p>
    <w:p w14:paraId="77F5811A" w14:textId="0582A7C0" w:rsidR="00C82F6B" w:rsidRDefault="00C82F6B" w:rsidP="00C82F6B">
      <w:pPr>
        <w:pStyle w:val="Heading5"/>
      </w:pPr>
      <w:r>
        <w:t>Refer to ProjectSchedule.mpp</w:t>
      </w:r>
    </w:p>
    <w:p w14:paraId="6C189114" w14:textId="77777777" w:rsidR="00C82F6B" w:rsidRDefault="00C82F6B" w:rsidP="00C82F6B"/>
    <w:p w14:paraId="006A316B" w14:textId="501C572C" w:rsidR="00C82F6B" w:rsidRDefault="00F67F97" w:rsidP="00C82F6B">
      <w:pPr>
        <w:pStyle w:val="Heading2"/>
      </w:pPr>
      <w:r>
        <w:t>Project Requirements</w:t>
      </w:r>
    </w:p>
    <w:p w14:paraId="1CD26FEB" w14:textId="77A8DD5F" w:rsidR="00F67F97" w:rsidRPr="00F67F97" w:rsidRDefault="00F67F97" w:rsidP="00F67F97">
      <w:pPr>
        <w:pStyle w:val="Heading5"/>
      </w:pPr>
      <w:r>
        <w:t>Refer to ProjectRequirements.doc</w:t>
      </w:r>
    </w:p>
    <w:p w14:paraId="54E77E89" w14:textId="77777777" w:rsidR="00C82F6B" w:rsidRPr="00C82F6B" w:rsidRDefault="00C82F6B" w:rsidP="00C82F6B">
      <w:pPr>
        <w:pStyle w:val="Heading5"/>
      </w:pPr>
    </w:p>
    <w:p w14:paraId="6DA7C2BE" w14:textId="2CAF847B" w:rsidR="00EA694A" w:rsidRPr="00EA694A" w:rsidRDefault="00784FFF" w:rsidP="009A4CE6">
      <w:r>
        <w:t xml:space="preserve"> </w:t>
      </w:r>
    </w:p>
    <w:p w14:paraId="6893552B" w14:textId="6CD599CD" w:rsidR="00CA6490" w:rsidRDefault="00CA6490" w:rsidP="00BE27C0">
      <w:pPr>
        <w:ind w:left="360"/>
      </w:pPr>
    </w:p>
    <w:p w14:paraId="1F9C429D" w14:textId="76BE21D2" w:rsidR="005721D1" w:rsidRPr="00012216" w:rsidRDefault="005721D1" w:rsidP="00012216">
      <w:pPr>
        <w:pStyle w:val="Heading3"/>
      </w:pPr>
    </w:p>
    <w:sectPr w:rsidR="005721D1" w:rsidRPr="00012216" w:rsidSect="0039670E">
      <w:headerReference w:type="default" r:id="rId12"/>
      <w:footerReference w:type="default" r:id="rId13"/>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14F6D" w14:textId="77777777" w:rsidR="00C60E8E" w:rsidRDefault="00C60E8E" w:rsidP="008F09ED">
      <w:pPr>
        <w:spacing w:after="0" w:line="240" w:lineRule="auto"/>
      </w:pPr>
      <w:r>
        <w:separator/>
      </w:r>
    </w:p>
  </w:endnote>
  <w:endnote w:type="continuationSeparator" w:id="0">
    <w:p w14:paraId="186573FE" w14:textId="77777777" w:rsidR="00C60E8E" w:rsidRDefault="00C60E8E" w:rsidP="008F09ED">
      <w:pPr>
        <w:spacing w:after="0" w:line="240" w:lineRule="auto"/>
      </w:pPr>
      <w:r>
        <w:continuationSeparator/>
      </w:r>
    </w:p>
  </w:endnote>
  <w:endnote w:type="continuationNotice" w:id="1">
    <w:p w14:paraId="5F34C3C4" w14:textId="77777777" w:rsidR="00C60E8E" w:rsidRDefault="00C60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939" w:type="pct"/>
      <w:tblLook w:val="04A0" w:firstRow="1" w:lastRow="0" w:firstColumn="1" w:lastColumn="0" w:noHBand="0" w:noVBand="1"/>
    </w:tblPr>
    <w:tblGrid>
      <w:gridCol w:w="4039"/>
      <w:gridCol w:w="4827"/>
    </w:tblGrid>
    <w:tr w:rsidR="00C82F6B" w:rsidRPr="001E6A0A" w14:paraId="4D4CC6AD" w14:textId="77777777" w:rsidTr="00D61D04">
      <w:trPr>
        <w:trHeight w:val="150"/>
      </w:trPr>
      <w:tc>
        <w:tcPr>
          <w:tcW w:w="2278" w:type="pct"/>
          <w:tcBorders>
            <w:top w:val="single" w:sz="4" w:space="0" w:color="auto"/>
          </w:tcBorders>
        </w:tcPr>
        <w:p w14:paraId="2D42FA6E" w14:textId="77777777" w:rsidR="00C82F6B" w:rsidRPr="00C632A7" w:rsidRDefault="00C82F6B"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1F64EF">
            <w:rPr>
              <w:rFonts w:ascii="Cambria" w:hAnsi="Cambria"/>
              <w:b/>
              <w:noProof/>
              <w:sz w:val="24"/>
              <w:szCs w:val="24"/>
            </w:rPr>
            <w:t>2</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C82F6B" w:rsidRPr="00C632A7" w:rsidRDefault="00C82F6B"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C82F6B" w:rsidRDefault="00C82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74632" w14:textId="77777777" w:rsidR="00C60E8E" w:rsidRDefault="00C60E8E" w:rsidP="008F09ED">
      <w:pPr>
        <w:spacing w:after="0" w:line="240" w:lineRule="auto"/>
      </w:pPr>
      <w:r>
        <w:separator/>
      </w:r>
    </w:p>
  </w:footnote>
  <w:footnote w:type="continuationSeparator" w:id="0">
    <w:p w14:paraId="494A806B" w14:textId="77777777" w:rsidR="00C60E8E" w:rsidRDefault="00C60E8E" w:rsidP="008F09ED">
      <w:pPr>
        <w:spacing w:after="0" w:line="240" w:lineRule="auto"/>
      </w:pPr>
      <w:r>
        <w:continuationSeparator/>
      </w:r>
    </w:p>
  </w:footnote>
  <w:footnote w:type="continuationNotice" w:id="1">
    <w:p w14:paraId="49A6B7FF" w14:textId="77777777" w:rsidR="00C60E8E" w:rsidRDefault="00C60E8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1350" w14:textId="77777777" w:rsidR="00C82F6B" w:rsidRDefault="00C82F6B"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C82F6B" w:rsidRDefault="00C82F6B">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1F64EF">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1F64EF">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1F64EF">
                            <w:rPr>
                              <w:noProof/>
                              <w:sz w:val="24"/>
                              <w:szCs w:val="24"/>
                            </w:rPr>
                            <w:t>Revision 1.6</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544195"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1F64EF">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1F64EF">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1F64EF">
                      <w:rPr>
                        <w:noProof/>
                        <w:sz w:val="24"/>
                        <w:szCs w:val="24"/>
                      </w:rPr>
                      <w:t>Revision 1.6</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1F64EF" w:rsidRPr="001F64EF">
                            <w:rPr>
                              <w:noProof/>
                              <w:color w:val="FFFFFF"/>
                            </w:rPr>
                            <w:t>2</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DF13E9D"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1F64EF" w:rsidRPr="001F64EF">
                      <w:rPr>
                        <w:noProof/>
                        <w:color w:val="FFFFFF"/>
                      </w:rPr>
                      <w:t>2</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47DD4"/>
    <w:multiLevelType w:val="hybridMultilevel"/>
    <w:tmpl w:val="6E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8">
    <w:nsid w:val="23B22B0F"/>
    <w:multiLevelType w:val="hybridMultilevel"/>
    <w:tmpl w:val="35FE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7">
    <w:nsid w:val="791C796C"/>
    <w:multiLevelType w:val="hybridMultilevel"/>
    <w:tmpl w:val="A2CAC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5"/>
  </w:num>
  <w:num w:numId="5">
    <w:abstractNumId w:val="1"/>
  </w:num>
  <w:num w:numId="6">
    <w:abstractNumId w:val="12"/>
  </w:num>
  <w:num w:numId="7">
    <w:abstractNumId w:val="9"/>
  </w:num>
  <w:num w:numId="8">
    <w:abstractNumId w:val="17"/>
  </w:num>
  <w:num w:numId="9">
    <w:abstractNumId w:val="4"/>
  </w:num>
  <w:num w:numId="10">
    <w:abstractNumId w:val="14"/>
  </w:num>
  <w:num w:numId="11">
    <w:abstractNumId w:val="5"/>
  </w:num>
  <w:num w:numId="12">
    <w:abstractNumId w:val="11"/>
  </w:num>
  <w:num w:numId="13">
    <w:abstractNumId w:val="10"/>
  </w:num>
  <w:num w:numId="14">
    <w:abstractNumId w:val="13"/>
  </w:num>
  <w:num w:numId="15">
    <w:abstractNumId w:val="6"/>
  </w:num>
  <w:num w:numId="16">
    <w:abstractNumId w:val="2"/>
  </w:num>
  <w:num w:numId="17">
    <w:abstractNumId w:val="3"/>
  </w:num>
  <w:num w:numId="1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216"/>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0CF"/>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6D66"/>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4EF"/>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1BC6"/>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789"/>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1DB"/>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D36"/>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16D"/>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A15"/>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6826"/>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6AA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1D"/>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D7C75"/>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4CE6"/>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1FE3"/>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8CE"/>
    <w:rsid w:val="00C52D02"/>
    <w:rsid w:val="00C53356"/>
    <w:rsid w:val="00C53D0F"/>
    <w:rsid w:val="00C569BB"/>
    <w:rsid w:val="00C5775B"/>
    <w:rsid w:val="00C57F32"/>
    <w:rsid w:val="00C607F7"/>
    <w:rsid w:val="00C60E8E"/>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2F6B"/>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790"/>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1140"/>
    <w:rsid w:val="00EB3F2D"/>
    <w:rsid w:val="00EB479D"/>
    <w:rsid w:val="00EB59EC"/>
    <w:rsid w:val="00EC0E55"/>
    <w:rsid w:val="00EC1260"/>
    <w:rsid w:val="00EC226B"/>
    <w:rsid w:val="00EC3922"/>
    <w:rsid w:val="00EC3D42"/>
    <w:rsid w:val="00EC3D69"/>
    <w:rsid w:val="00EC410C"/>
    <w:rsid w:val="00EC50D8"/>
    <w:rsid w:val="00EC539A"/>
    <w:rsid w:val="00EC54AA"/>
    <w:rsid w:val="00EC6221"/>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5FA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67F97"/>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46B0"/>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15:docId w15:val="{D06DD7AF-0B4B-4416-8CD5-80FE9C08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2.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4.xml><?xml version="1.0" encoding="utf-8"?>
<ds:datastoreItem xmlns:ds="http://schemas.openxmlformats.org/officeDocument/2006/customXml" ds:itemID="{2E2110C2-42F6-49A5-8658-311D83F1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130</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6590</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Brandon Towell</cp:lastModifiedBy>
  <cp:revision>12</cp:revision>
  <cp:lastPrinted>2012-01-17T18:47:00Z</cp:lastPrinted>
  <dcterms:created xsi:type="dcterms:W3CDTF">2015-03-14T20:27:00Z</dcterms:created>
  <dcterms:modified xsi:type="dcterms:W3CDTF">2015-03-14T23:53:00Z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