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A537E8"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A537E8"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A537E8" w:rsidP="00216D10">
      <w:pPr>
        <w:rPr>
          <w:lang w:val="en-US"/>
        </w:rPr>
      </w:pPr>
      <w:hyperlink r:id="rId10" w:history="1">
        <w:r w:rsidR="00216D10" w:rsidRPr="0012525F">
          <w:rPr>
            <w:rStyle w:val="Hyperlink"/>
            <w:lang w:val="en-US"/>
          </w:rPr>
          <w:t>[Jaskowski16]</w:t>
        </w:r>
      </w:hyperlink>
    </w:p>
    <w:p w:rsidR="00216D10" w:rsidRPr="0012525F" w:rsidRDefault="00A537E8"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A537E8" w:rsidP="00216D10">
      <w:pPr>
        <w:rPr>
          <w:rStyle w:val="Hyperlink"/>
          <w:lang w:val="en-US"/>
        </w:rPr>
      </w:pPr>
      <w:hyperlink r:id="rId13" w:history="1">
        <w:r w:rsidR="005F2B18" w:rsidRPr="005F2B18">
          <w:rPr>
            <w:rStyle w:val="Hyperlink"/>
            <w:lang w:val="en-US"/>
          </w:rPr>
          <w:t>[Galitzki17]</w:t>
        </w:r>
      </w:hyperlink>
    </w:p>
    <w:p w:rsidR="002B6187" w:rsidRPr="0012525F" w:rsidRDefault="00A537E8" w:rsidP="000D056E">
      <w:pPr>
        <w:rPr>
          <w:lang w:val="en-US"/>
        </w:rPr>
      </w:pPr>
      <w:hyperlink r:id="rId14" w:history="1">
        <w:r w:rsidR="002B6187" w:rsidRPr="002B6187">
          <w:rPr>
            <w:rStyle w:val="Hyperlink"/>
            <w:lang w:val="en-US"/>
          </w:rPr>
          <w:t>notes-WK-RubiksCube.docx</w:t>
        </w:r>
      </w:hyperlink>
      <w:r w:rsidR="000D056E">
        <w:rPr>
          <w:lang w:val="en-US"/>
        </w:rPr>
        <w:t xml:space="preserve">,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A537E8"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A537E8"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A537E8"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A537E8"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A537E8"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A537E8"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A537E8"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A537E8"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A537E8"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A537E8"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A537E8"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A537E8"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A537E8"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A537E8"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A537E8"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lastRenderedPageBreak/>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7"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8" w:history="1">
        <w:r>
          <w:rPr>
            <w:rStyle w:val="Hyperlink"/>
            <w:lang w:val="en-US"/>
          </w:rPr>
          <w:t>agents\2048\fixed 4 6-Tupels 200k TDNT2 afterState.agt.zip</w:t>
        </w:r>
      </w:hyperlink>
      <w:r>
        <w:rPr>
          <w:lang w:val="en-US"/>
        </w:rPr>
        <w:t xml:space="preserve"> and </w:t>
      </w:r>
      <w:hyperlink r:id="rId39"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A537E8"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The [Jaskowski16] results are read off from Fig. 6, at the very beginning of the curve (Jaskowski trains his nets for 1e10 learning actions, i.e. 100 times longer than our lowest result). [</w:t>
      </w:r>
      <w:bookmarkStart w:id="22" w:name="_GoBack"/>
      <w:r>
        <w:rPr>
          <w:lang w:val="en-US"/>
        </w:rPr>
        <w:t>Jaskowski</w:t>
      </w:r>
      <w:bookmarkEnd w:id="22"/>
      <w:r>
        <w:rPr>
          <w:lang w:val="en-US"/>
        </w:rPr>
        <w:t xml:space="preserve">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3" w:name="TC_Settings2048"/>
      <w:bookmarkEnd w:id="23"/>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0"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4" w:name="_Results_Dec_2018"/>
      <w:bookmarkEnd w:id="24"/>
      <w:r>
        <w:rPr>
          <w:lang w:val="en-US"/>
        </w:rPr>
        <w:lastRenderedPageBreak/>
        <w:t>Results Dec 2018 and Jan 2019</w:t>
      </w:r>
    </w:p>
    <w:p w:rsidR="00862DE0" w:rsidRDefault="00862DE0" w:rsidP="00862DE0">
      <w:pPr>
        <w:rPr>
          <w:lang w:val="en-US"/>
        </w:rPr>
      </w:pPr>
      <w:r w:rsidRPr="00A70C87">
        <w:rPr>
          <w:b/>
          <w:lang w:val="en-US"/>
        </w:rPr>
        <w:t>New re</w:t>
      </w:r>
      <w:bookmarkStart w:id="25" w:name="TDNTuple2Agt_2048_Results"/>
      <w:bookmarkEnd w:id="25"/>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1"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6" w:name="TDNTuple3Agt_2048_Results"/>
      <w:bookmarkEnd w:id="26"/>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Pr>
          <w:lang w:val="en-US"/>
        </w:rPr>
        <w:t xml:space="preserve">TC EXP, </w:t>
      </w:r>
      <w:r w:rsidRPr="00D8441E">
        <w:rPr>
          <w:lang w:val="en-US"/>
        </w:rPr>
        <w:t xml:space="preserve">TC </w:t>
      </w:r>
      <w:r>
        <w:rPr>
          <w:lang w:val="en-US"/>
        </w:rPr>
        <w:sym w:font="Symbol" w:char="F062"/>
      </w:r>
      <w:r w:rsidRPr="00D8441E">
        <w:rPr>
          <w:lang w:val="en-US"/>
        </w:rPr>
        <w:t>=2.7</w:t>
      </w:r>
      <w:r>
        <w:rPr>
          <w:lang w:val="en-US"/>
        </w:rPr>
        <w:t xml:space="preserve">. The results </w:t>
      </w:r>
      <w:r w:rsidR="00822D0A">
        <w:rPr>
          <w:lang w:val="en-US"/>
        </w:rPr>
        <w:t xml:space="preserve">(for </w:t>
      </w:r>
      <w:r w:rsidR="00822D0A">
        <w:rPr>
          <w:lang w:val="en-US"/>
        </w:rPr>
        <w:t>50 QuickEval games</w:t>
      </w:r>
      <w:r w:rsidR="00822D0A">
        <w:rPr>
          <w:lang w:val="en-US"/>
        </w:rPr>
        <w:t xml:space="preserve">)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A537E8" w:rsidP="00862DE0">
      <w:pPr>
        <w:rPr>
          <w:lang w:val="en-US"/>
        </w:rPr>
      </w:pPr>
      <w:hyperlink r:id="rId42" w:history="1">
        <w:r w:rsidRPr="00A537E8">
          <w:rPr>
            <w:rStyle w:val="Hyperlink"/>
            <w:lang w:val="en-US"/>
          </w:rPr>
          <w:t>TC-EXP-NT3 fixed 4 6-Tupels 100k.agt.zip</w:t>
        </w:r>
      </w:hyperlink>
    </w:p>
    <w:p w:rsidR="00A537E8" w:rsidRDefault="00A537E8" w:rsidP="00862DE0">
      <w:pPr>
        <w:rPr>
          <w:lang w:val="en-US"/>
        </w:rPr>
      </w:pPr>
      <w:hyperlink r:id="rId43" w:history="1">
        <w:r w:rsidRPr="00A537E8">
          <w:rPr>
            <w:rStyle w:val="Hyperlink"/>
            <w:lang w:val="en-US"/>
          </w:rPr>
          <w:t>TC-NT3 fixed 4 6-Tupels 200k.agt.zip</w:t>
        </w:r>
      </w:hyperlink>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Tr="003E4C01">
        <w:trPr>
          <w:trHeight w:val="251"/>
        </w:trPr>
        <w:tc>
          <w:tcPr>
            <w:tcW w:w="633" w:type="dxa"/>
          </w:tcPr>
          <w:p w:rsidR="003E4C01" w:rsidRPr="000346C0" w:rsidRDefault="003E4C01" w:rsidP="00987DDA">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987DDA">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w:t>
            </w:r>
            <w:r>
              <w:rPr>
                <w:sz w:val="18"/>
                <w:lang w:val="en-US"/>
              </w:rPr>
              <w:t>1</w:t>
            </w:r>
            <w:r w:rsidRPr="00437026">
              <w:rPr>
                <w:sz w:val="18"/>
                <w:lang w:val="en-US"/>
              </w:rPr>
              <w:t>.000</w:t>
            </w:r>
            <w:r>
              <w:rPr>
                <w:sz w:val="18"/>
                <w:lang w:val="en-US"/>
              </w:rPr>
              <w:t xml:space="preserve"> </w:t>
            </w:r>
            <w:r>
              <w:rPr>
                <w:sz w:val="18"/>
                <w:lang w:val="en-US"/>
              </w:rPr>
              <w:sym w:font="Symbol" w:char="F0B1"/>
            </w:r>
            <w:r>
              <w:rPr>
                <w:sz w:val="18"/>
                <w:lang w:val="en-US"/>
              </w:rPr>
              <w:t xml:space="preserve"> 8.</w:t>
            </w:r>
            <w:r>
              <w:rPr>
                <w:sz w:val="18"/>
                <w:lang w:val="en-US"/>
              </w:rPr>
              <w:t>8</w:t>
            </w:r>
            <w:r>
              <w:rPr>
                <w:sz w:val="18"/>
                <w:lang w:val="en-US"/>
              </w:rPr>
              <w:t>00</w:t>
            </w:r>
          </w:p>
        </w:tc>
        <w:tc>
          <w:tcPr>
            <w:tcW w:w="1471" w:type="dxa"/>
          </w:tcPr>
          <w:p w:rsidR="003E4C01" w:rsidRPr="00437026" w:rsidRDefault="003E4C01" w:rsidP="003E4C01">
            <w:pPr>
              <w:rPr>
                <w:sz w:val="18"/>
                <w:lang w:val="en-US"/>
              </w:rPr>
            </w:pPr>
            <w:r>
              <w:rPr>
                <w:sz w:val="18"/>
                <w:lang w:val="en-US"/>
              </w:rPr>
              <w:t>8192: 28/50</w:t>
            </w:r>
            <w:r>
              <w:rPr>
                <w:sz w:val="18"/>
                <w:lang w:val="en-US"/>
              </w:rPr>
              <w:br/>
              <w:t xml:space="preserve">16384: </w:t>
            </w:r>
            <w:r>
              <w:rPr>
                <w:sz w:val="18"/>
                <w:lang w:val="en-US"/>
              </w:rPr>
              <w:t>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w:t>
            </w:r>
            <w:r>
              <w:rPr>
                <w:sz w:val="18"/>
                <w:lang w:val="en-US"/>
              </w:rPr>
              <w:t>6</w:t>
            </w:r>
            <w:r>
              <w:rPr>
                <w:sz w:val="18"/>
                <w:lang w:val="en-US"/>
              </w:rPr>
              <w:t>.</w:t>
            </w:r>
            <w:r>
              <w:rPr>
                <w:sz w:val="18"/>
                <w:lang w:val="en-US"/>
              </w:rPr>
              <w:t>7</w:t>
            </w:r>
            <w:r>
              <w:rPr>
                <w:sz w:val="18"/>
                <w:lang w:val="en-US"/>
              </w:rPr>
              <w:t>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w:t>
            </w:r>
            <w:r>
              <w:rPr>
                <w:sz w:val="18"/>
                <w:lang w:val="en-US"/>
              </w:rPr>
              <w:t>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987DDA">
        <w:trPr>
          <w:trHeight w:val="251"/>
        </w:trPr>
        <w:tc>
          <w:tcPr>
            <w:tcW w:w="633" w:type="dxa"/>
          </w:tcPr>
          <w:p w:rsidR="00E529E4" w:rsidRPr="000346C0" w:rsidRDefault="00E529E4" w:rsidP="00987DDA">
            <w:pPr>
              <w:rPr>
                <w:sz w:val="18"/>
                <w:lang w:val="en-US"/>
              </w:rPr>
            </w:pPr>
            <w:r>
              <w:rPr>
                <w:sz w:val="18"/>
                <w:lang w:val="en-US"/>
              </w:rPr>
              <w:t>2</w:t>
            </w:r>
          </w:p>
        </w:tc>
        <w:tc>
          <w:tcPr>
            <w:tcW w:w="944" w:type="dxa"/>
          </w:tcPr>
          <w:p w:rsidR="00E529E4" w:rsidRPr="000346C0" w:rsidRDefault="00E529E4" w:rsidP="00987DDA">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987DDA">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987DDA">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w:t>
            </w:r>
            <w:r>
              <w:rPr>
                <w:sz w:val="18"/>
                <w:lang w:val="en-US"/>
              </w:rPr>
              <w:t>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 xml:space="preserve">16384: </w:t>
            </w:r>
            <w:r>
              <w:rPr>
                <w:sz w:val="18"/>
                <w:lang w:val="en-US"/>
              </w:rPr>
              <w:t>6</w:t>
            </w:r>
            <w:r w:rsidRPr="00437026">
              <w:rPr>
                <w:sz w:val="18"/>
                <w:lang w:val="en-US"/>
              </w:rPr>
              <w:t>/50</w:t>
            </w:r>
          </w:p>
        </w:tc>
        <w:tc>
          <w:tcPr>
            <w:tcW w:w="1363" w:type="dxa"/>
          </w:tcPr>
          <w:p w:rsidR="00E529E4" w:rsidRDefault="00E529E4" w:rsidP="00E529E4">
            <w:pPr>
              <w:rPr>
                <w:sz w:val="18"/>
                <w:lang w:val="en-US"/>
              </w:rPr>
            </w:pPr>
            <w:r>
              <w:rPr>
                <w:sz w:val="18"/>
                <w:lang w:val="en-US"/>
              </w:rPr>
              <w:t>1</w:t>
            </w:r>
            <w:r>
              <w:rPr>
                <w:sz w:val="18"/>
                <w:lang w:val="en-US"/>
              </w:rPr>
              <w:t>5</w:t>
            </w:r>
            <w:r>
              <w:rPr>
                <w:sz w:val="18"/>
                <w:lang w:val="en-US"/>
              </w:rPr>
              <w:t>.</w:t>
            </w:r>
            <w:r>
              <w:rPr>
                <w:sz w:val="18"/>
                <w:lang w:val="en-US"/>
              </w:rPr>
              <w:t>362</w:t>
            </w:r>
            <w:r>
              <w:rPr>
                <w:sz w:val="18"/>
                <w:lang w:val="en-US"/>
              </w:rPr>
              <w:t xml:space="preserve">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 xml:space="preserve">8192: </w:t>
            </w:r>
            <w:r>
              <w:rPr>
                <w:sz w:val="18"/>
                <w:lang w:val="en-US"/>
              </w:rPr>
              <w:t>40</w:t>
            </w:r>
            <w:r>
              <w:rPr>
                <w:sz w:val="18"/>
                <w:lang w:val="en-US"/>
              </w:rPr>
              <w:t>/50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987DDA">
        <w:trPr>
          <w:trHeight w:val="251"/>
        </w:trPr>
        <w:tc>
          <w:tcPr>
            <w:tcW w:w="633" w:type="dxa"/>
          </w:tcPr>
          <w:p w:rsidR="00E529E4" w:rsidRPr="000346C0" w:rsidRDefault="00E529E4" w:rsidP="00987DDA">
            <w:pPr>
              <w:rPr>
                <w:sz w:val="18"/>
                <w:lang w:val="en-US"/>
              </w:rPr>
            </w:pPr>
            <w:r>
              <w:rPr>
                <w:sz w:val="18"/>
                <w:lang w:val="en-US"/>
              </w:rPr>
              <w:t>4</w:t>
            </w:r>
          </w:p>
        </w:tc>
        <w:tc>
          <w:tcPr>
            <w:tcW w:w="944" w:type="dxa"/>
          </w:tcPr>
          <w:p w:rsidR="00E529E4" w:rsidRPr="000346C0" w:rsidRDefault="00E529E4" w:rsidP="00987DDA">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987DDA">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987DDA">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 xml:space="preserve">8192: </w:t>
            </w:r>
            <w:r>
              <w:rPr>
                <w:sz w:val="18"/>
                <w:lang w:val="en-US"/>
              </w:rPr>
              <w:t xml:space="preserve">  38</w:t>
            </w:r>
            <w:r>
              <w:rPr>
                <w:sz w:val="18"/>
                <w:lang w:val="en-US"/>
              </w:rPr>
              <w:t>/50</w:t>
            </w:r>
            <w:r>
              <w:rPr>
                <w:sz w:val="18"/>
                <w:lang w:val="en-US"/>
              </w:rPr>
              <w:br/>
              <w:t xml:space="preserve">16384: </w:t>
            </w:r>
            <w:r>
              <w:rPr>
                <w:sz w:val="18"/>
                <w:lang w:val="en-US"/>
              </w:rPr>
              <w:t>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lastRenderedPageBreak/>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7" w:name="_Connect_Four_Eval:"/>
      <w:bookmarkEnd w:id="27"/>
      <w:r>
        <w:rPr>
          <w:lang w:val="en-US"/>
        </w:rPr>
        <w:t>Connect Four Eval: AlphaBeta and MCTS</w:t>
      </w:r>
    </w:p>
    <w:p w:rsidR="00A13B44" w:rsidRDefault="00A13B44" w:rsidP="00A13B44">
      <w:pPr>
        <w:rPr>
          <w:lang w:val="en-US"/>
        </w:rPr>
      </w:pPr>
      <w:r>
        <w:rPr>
          <w:lang w:val="en-US"/>
        </w:rPr>
        <w:t>First results:</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A537E8" w:rsidP="006166C2">
      <w:pPr>
        <w:pStyle w:val="Listenabsatz"/>
        <w:numPr>
          <w:ilvl w:val="0"/>
          <w:numId w:val="19"/>
        </w:numPr>
        <w:rPr>
          <w:lang w:val="en-US"/>
        </w:rPr>
      </w:pPr>
      <w:hyperlink r:id="rId44"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A537E8" w:rsidP="006166C2">
      <w:pPr>
        <w:pStyle w:val="Listenabsatz"/>
        <w:numPr>
          <w:ilvl w:val="0"/>
          <w:numId w:val="19"/>
        </w:numPr>
        <w:rPr>
          <w:lang w:val="en-US"/>
        </w:rPr>
      </w:pPr>
      <w:hyperlink r:id="rId45"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A537E8" w:rsidP="006166C2">
      <w:pPr>
        <w:pStyle w:val="Listenabsatz"/>
        <w:numPr>
          <w:ilvl w:val="0"/>
          <w:numId w:val="19"/>
        </w:numPr>
        <w:rPr>
          <w:lang w:val="en-US"/>
        </w:rPr>
      </w:pPr>
      <w:hyperlink r:id="rId46"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A537E8" w:rsidP="006166C2">
      <w:pPr>
        <w:pStyle w:val="Listenabsatz"/>
        <w:numPr>
          <w:ilvl w:val="0"/>
          <w:numId w:val="19"/>
        </w:numPr>
        <w:rPr>
          <w:rStyle w:val="Hyperlink"/>
          <w:color w:val="auto"/>
          <w:u w:val="none"/>
          <w:lang w:val="en-US"/>
        </w:rPr>
      </w:pPr>
      <w:hyperlink r:id="rId47"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537E8" w:rsidP="006166C2">
      <w:pPr>
        <w:pStyle w:val="Listenabsatz"/>
        <w:numPr>
          <w:ilvl w:val="0"/>
          <w:numId w:val="19"/>
        </w:numPr>
        <w:rPr>
          <w:rStyle w:val="Hyperlink"/>
          <w:color w:val="auto"/>
          <w:u w:val="none"/>
          <w:lang w:val="en-US"/>
        </w:rPr>
      </w:pPr>
      <w:hyperlink r:id="rId48"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49">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lastRenderedPageBreak/>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A537E8"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0">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1">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8"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8"/>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A537E8"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2">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9"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9"/>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3"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4"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5"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6" w:history="1">
        <w:r w:rsidRPr="002B1FEE">
          <w:rPr>
            <w:rStyle w:val="Hyperlink"/>
            <w:lang w:val="en-US"/>
          </w:rPr>
          <w:t>multiTrainSarsaInitNull.csv</w:t>
        </w:r>
      </w:hyperlink>
      <w:r>
        <w:rPr>
          <w:lang w:val="en-US"/>
        </w:rPr>
        <w:t>: If we do not initialize sLast[0] with s</w:t>
      </w:r>
      <w:r>
        <w:rPr>
          <w:vertAlign w:val="subscript"/>
          <w:lang w:val="en-US"/>
        </w:rPr>
        <w:t>0</w:t>
      </w:r>
      <w:r>
        <w:rPr>
          <w:lang w:val="en-US"/>
        </w:rPr>
        <w:t>, we get same evalQ</w:t>
      </w:r>
      <w:r>
        <w:rPr>
          <w:vertAlign w:val="subscript"/>
          <w:lang w:val="en-US"/>
        </w:rPr>
        <w:sym w:font="Symbol" w:char="F0A5"/>
      </w:r>
      <w:r>
        <w:rPr>
          <w:lang w:val="en-US"/>
        </w:rPr>
        <w:t xml:space="preserve">=-0.001, only slightly worse at start. </w:t>
      </w:r>
      <w:hyperlink r:id="rId57"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58"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59">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0"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1"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2"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w:t>
      </w:r>
      <w:r>
        <w:rPr>
          <w:lang w:val="en-US"/>
        </w:rPr>
        <w:lastRenderedPageBreak/>
        <w:t>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3"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4">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5"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6"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7"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68"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69"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0"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1">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2"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30" w:name="TDNTuple2Agt5x5Hex"/>
      <w:bookmarkEnd w:id="30"/>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3"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4">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Pr>
          <w:lang w:val="en-US"/>
        </w:rPr>
        <w:t xml:space="preserve"> This is possibly, because </w:t>
      </w:r>
      <w:r w:rsidRPr="00735F09">
        <w:rPr>
          <w:lang w:val="en-US"/>
        </w:rPr>
        <w:t>Sarsa 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w:t>
      </w:r>
      <w:r w:rsidRPr="00735F09">
        <w:rPr>
          <w:lang w:val="en-US"/>
        </w:rPr>
        <w:lastRenderedPageBreak/>
        <w:t xml:space="preserve">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p>
    <w:p w:rsidR="00CB3924" w:rsidRDefault="00CB3924" w:rsidP="00CB3924">
      <w:pPr>
        <w:pStyle w:val="berschrift3"/>
        <w:rPr>
          <w:lang w:val="en-US"/>
        </w:rPr>
      </w:pPr>
      <w:r>
        <w:rPr>
          <w:lang w:val="en-US"/>
        </w:rPr>
        <w:t>Results on 2048</w:t>
      </w:r>
    </w:p>
    <w:p w:rsidR="00CB3924" w:rsidRP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5" w:history="1">
        <w:r w:rsidRPr="00104BCD">
          <w:rPr>
            <w:rStyle w:val="Hyperlink"/>
            <w:lang w:val="en-US"/>
          </w:rPr>
          <w:t>TR-TDNTuple.tcp</w:t>
        </w:r>
      </w:hyperlink>
      <w:r w:rsidR="00340FC2">
        <w:rPr>
          <w:lang w:val="en-US"/>
        </w:rPr>
        <w:t>, Algorithm 10]</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1" w:name="bug2019_01_04"/>
      <w:r>
        <w:rPr>
          <w:lang w:val="en-US"/>
        </w:rPr>
        <w:t>error</w:t>
      </w:r>
      <w:r w:rsidR="005310A8">
        <w:rPr>
          <w:lang w:val="en-US"/>
        </w:rPr>
        <w:t xml:space="preserve"> (04.01.2019)</w:t>
      </w:r>
      <w:bookmarkEnd w:id="31"/>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6"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2"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2"/>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7"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lastRenderedPageBreak/>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78"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79"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0"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1"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2">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3"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4"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5"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6">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lastRenderedPageBreak/>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7"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A537E8"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88"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A537E8" w:rsidP="00A40A49">
      <w:pPr>
        <w:rPr>
          <w:lang w:val="en-US"/>
        </w:rPr>
      </w:pPr>
      <w:hyperlink r:id="rId89"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r:id="rId90"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3" w:name="_Results_on_ConnectFour"/>
      <w:bookmarkEnd w:id="33"/>
      <w:r>
        <w:rPr>
          <w:lang w:val="en-US"/>
        </w:rPr>
        <w:t>Resul</w:t>
      </w:r>
      <w:bookmarkStart w:id="34" w:name="ResultsC4_TDNT3"/>
      <w:bookmarkEnd w:id="34"/>
      <w:r>
        <w:rPr>
          <w:lang w:val="en-US"/>
        </w:rPr>
        <w:t>ts on ConnectFour</w:t>
      </w:r>
    </w:p>
    <w:p w:rsidR="006C63A2" w:rsidRDefault="006C63A2" w:rsidP="006A77C8">
      <w:pPr>
        <w:rPr>
          <w:lang w:val="en-US"/>
        </w:rPr>
      </w:pPr>
      <w:r>
        <w:rPr>
          <w:lang w:val="en-US"/>
        </w:rPr>
        <w:t xml:space="preserve">We test here for the first time TDNTuple3Agt-tasks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A537E8" w:rsidP="006166C2">
      <w:pPr>
        <w:pStyle w:val="Listenabsatz"/>
        <w:numPr>
          <w:ilvl w:val="0"/>
          <w:numId w:val="22"/>
        </w:numPr>
        <w:rPr>
          <w:lang w:val="en-US"/>
        </w:rPr>
      </w:pPr>
      <w:hyperlink r:id="rId91"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A537E8" w:rsidP="006166C2">
      <w:pPr>
        <w:pStyle w:val="Listenabsatz"/>
        <w:numPr>
          <w:ilvl w:val="0"/>
          <w:numId w:val="22"/>
        </w:numPr>
        <w:rPr>
          <w:lang w:val="en-US"/>
        </w:rPr>
      </w:pPr>
      <w:hyperlink r:id="rId92"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w:t>
      </w:r>
      <w:r w:rsidR="003A6A0D">
        <w:rPr>
          <w:lang w:val="en-US"/>
        </w:rPr>
        <w:lastRenderedPageBreak/>
        <w:t xml:space="preserve">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A537E8" w:rsidP="006166C2">
      <w:pPr>
        <w:pStyle w:val="Listenabsatz"/>
        <w:numPr>
          <w:ilvl w:val="0"/>
          <w:numId w:val="22"/>
        </w:numPr>
        <w:rPr>
          <w:lang w:val="en-US"/>
        </w:rPr>
      </w:pPr>
      <w:hyperlink r:id="rId93"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A537E8" w:rsidP="00416774">
      <w:pPr>
        <w:pStyle w:val="Listenabsatz"/>
        <w:numPr>
          <w:ilvl w:val="0"/>
          <w:numId w:val="22"/>
        </w:numPr>
        <w:rPr>
          <w:lang w:val="en-US"/>
        </w:rPr>
      </w:pPr>
      <w:hyperlink r:id="rId94" w:history="1">
        <w:r w:rsidR="003A6A0D">
          <w:rPr>
            <w:rStyle w:val="Hyperlink"/>
            <w:lang w:val="en-US"/>
          </w:rPr>
          <w:t>TCL-EXP-al50-lam05-500k-HOR001-T.agt.zip</w:t>
        </w:r>
      </w:hyperlink>
      <w:r w:rsidR="003A6A0D">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5"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A537E8" w:rsidP="006166C2">
      <w:pPr>
        <w:pStyle w:val="Listenabsatz"/>
        <w:numPr>
          <w:ilvl w:val="0"/>
          <w:numId w:val="22"/>
        </w:numPr>
        <w:rPr>
          <w:lang w:val="en-US"/>
        </w:rPr>
      </w:pPr>
      <w:hyperlink r:id="rId96"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TDNTuple3Agt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A537E8" w:rsidP="006166C2">
      <w:pPr>
        <w:pStyle w:val="Listenabsatz"/>
        <w:numPr>
          <w:ilvl w:val="0"/>
          <w:numId w:val="22"/>
        </w:numPr>
        <w:rPr>
          <w:lang w:val="en-US"/>
        </w:rPr>
      </w:pPr>
      <w:hyperlink r:id="rId97" w:history="1">
        <w:r w:rsidR="003A6A0D">
          <w:rPr>
            <w:rStyle w:val="Hyperlink"/>
            <w:lang w:val="en-US"/>
          </w:rPr>
          <w:t>TCL-EXP-NT3-al50-lam025-500k-HOR001-T.agt.zip</w:t>
        </w:r>
      </w:hyperlink>
      <w:r w:rsidR="003A6A0D" w:rsidRPr="00FD59BA">
        <w:rPr>
          <w:lang w:val="en-US"/>
        </w:rPr>
        <w:t xml:space="preserve">: same as 4., but TDNTuple3Agt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8" w:history="1">
        <w:r w:rsidR="00F67014" w:rsidRPr="00F67014">
          <w:rPr>
            <w:rStyle w:val="Hyperlink"/>
            <w:lang w:val="en-US"/>
          </w:rPr>
          <w:t>CSV for 3 runs</w:t>
        </w:r>
      </w:hyperlink>
      <w:r w:rsidR="00F67014">
        <w:rPr>
          <w:lang w:val="en-US"/>
        </w:rPr>
        <w:t>.</w:t>
      </w:r>
    </w:p>
    <w:p w:rsidR="003A6A0D" w:rsidRPr="00724CDE" w:rsidRDefault="00A537E8" w:rsidP="006166C2">
      <w:pPr>
        <w:pStyle w:val="Listenabsatz"/>
        <w:numPr>
          <w:ilvl w:val="0"/>
          <w:numId w:val="22"/>
        </w:numPr>
        <w:rPr>
          <w:lang w:val="en-US"/>
        </w:rPr>
      </w:pPr>
      <w:hyperlink r:id="rId99" w:history="1">
        <w:r w:rsidR="003A6A0D" w:rsidRPr="00724CDE">
          <w:rPr>
            <w:rStyle w:val="Hyperlink"/>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0"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A537E8" w:rsidP="00AB69F7">
      <w:pPr>
        <w:pStyle w:val="Listenabsatz"/>
        <w:numPr>
          <w:ilvl w:val="0"/>
          <w:numId w:val="22"/>
        </w:numPr>
        <w:rPr>
          <w:lang w:val="en-US"/>
        </w:rPr>
      </w:pPr>
      <w:hyperlink r:id="rId101" w:history="1">
        <w:r w:rsidR="00076345">
          <w:rPr>
            <w:rStyle w:val="Hyperlink"/>
            <w:lang w:val="en-US"/>
          </w:rPr>
          <w:t>TCL-EXP-al50-lam05-500k-HOR001-T-epsfin0.agt.zip</w:t>
        </w:r>
      </w:hyperlink>
      <w:r w:rsidR="00076345">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2"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3"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A537E8"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89596F" w:rsidTr="00416774">
        <w:tc>
          <w:tcPr>
            <w:tcW w:w="2265" w:type="dxa"/>
            <w:tcMar>
              <w:right w:w="28" w:type="dxa"/>
            </w:tcMar>
          </w:tcPr>
          <w:p w:rsidR="003A6A0D" w:rsidRDefault="003A6A0D" w:rsidP="00416774">
            <w:pPr>
              <w:rPr>
                <w:lang w:val="en-US"/>
              </w:rPr>
            </w:pPr>
            <w:r>
              <w:rPr>
                <w:lang w:val="en-US"/>
              </w:rPr>
              <w:t xml:space="preserve">7. </w:t>
            </w:r>
            <w:r w:rsidRPr="003A6A0D">
              <w:rPr>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 xml:space="preserve">, </w:t>
            </w:r>
            <w:hyperlink r:id="rId104" w:history="1">
              <w:r w:rsidR="00416774" w:rsidRPr="00416774">
                <w:rPr>
                  <w:rStyle w:val="Hyperlink"/>
                  <w:lang w:val="en-US"/>
                </w:rPr>
                <w:t>3 runs</w:t>
              </w:r>
            </w:hyperlink>
            <w:r w:rsidR="00F67014">
              <w:rPr>
                <w:lang w:val="en-US"/>
              </w:rPr>
              <w:br/>
              <w:t>very stable evalAB</w:t>
            </w:r>
          </w:p>
        </w:tc>
      </w:tr>
      <w:tr w:rsidR="00362FA0" w:rsidRPr="0089596F"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w:t>
      </w:r>
      <w:r w:rsidR="009D6805">
        <w:rPr>
          <w:lang w:val="en-US"/>
        </w:rPr>
        <w:lastRenderedPageBreak/>
        <w:t xml:space="preserve">8. TCL-EXP-…-epsfin0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A537E8"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A537E8"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and benefit from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Pr>
          <w:lang w:val="en-US"/>
        </w:rPr>
        <w:t xml:space="preserve">3), since it always maximizes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5"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6" w:history="1">
        <w:r w:rsidR="00A02EF0">
          <w:rPr>
            <w:rStyle w:val="Hyperlink"/>
            <w:lang w:val="en-US"/>
          </w:rPr>
          <w:t>agents\TicTacToe\sarsaNT.agt.zip</w:t>
        </w:r>
      </w:hyperlink>
      <w:r w:rsidR="002569E3">
        <w:rPr>
          <w:lang w:val="en-US"/>
        </w:rPr>
        <w:t xml:space="preserve"> + </w:t>
      </w:r>
      <w:hyperlink r:id="rId107"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08"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09"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0"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lastRenderedPageBreak/>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1"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2" w:history="1">
        <w:r>
          <w:rPr>
            <w:rStyle w:val="Hyperlink"/>
            <w:lang w:val="en-US"/>
          </w:rPr>
          <w:t>sarsaNT-eps02.agt.zip</w:t>
        </w:r>
      </w:hyperlink>
      <w:r>
        <w:rPr>
          <w:lang w:val="en-US"/>
        </w:rPr>
        <w:t>.</w:t>
      </w:r>
    </w:p>
    <w:p w:rsidR="00B70872" w:rsidRDefault="0097129C" w:rsidP="00B70872">
      <w:pPr>
        <w:rPr>
          <w:lang w:val="en-US"/>
        </w:rPr>
      </w:pPr>
      <w:bookmarkStart w:id="35"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4">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5"/>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5"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A537E8" w:rsidP="00354289">
      <w:pPr>
        <w:rPr>
          <w:lang w:val="en-US"/>
        </w:rPr>
      </w:pPr>
      <w:hyperlink r:id="rId116"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 xml:space="preserve">The </w:t>
      </w:r>
      <w:hyperlink r:id="rId117"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lastRenderedPageBreak/>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18">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6" w:name="_Connect_Four"/>
      <w:bookmarkEnd w:id="36"/>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lastRenderedPageBreak/>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19"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lastRenderedPageBreak/>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7" w:name="addGradToElig"/>
      <w:bookmarkEnd w:id="37"/>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lastRenderedPageBreak/>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38" w:name="TERNARY"/>
      <w:bookmarkEnd w:id="38"/>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lastRenderedPageBreak/>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A537E8"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lastRenderedPageBreak/>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39" w:name="results_old_buggy"/>
      <w:bookmarkEnd w:id="39"/>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A537E8" w:rsidP="006166C2">
      <w:pPr>
        <w:pStyle w:val="Listenabsatz"/>
        <w:numPr>
          <w:ilvl w:val="0"/>
          <w:numId w:val="17"/>
        </w:numPr>
        <w:rPr>
          <w:lang w:val="en-US"/>
        </w:rPr>
      </w:pPr>
      <w:hyperlink r:id="rId120"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A537E8" w:rsidP="006166C2">
      <w:pPr>
        <w:pStyle w:val="Listenabsatz"/>
        <w:numPr>
          <w:ilvl w:val="0"/>
          <w:numId w:val="17"/>
        </w:numPr>
        <w:rPr>
          <w:lang w:val="en-US"/>
        </w:rPr>
      </w:pPr>
      <w:hyperlink r:id="rId121"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A537E8" w:rsidP="006166C2">
      <w:pPr>
        <w:pStyle w:val="Listenabsatz"/>
        <w:numPr>
          <w:ilvl w:val="0"/>
          <w:numId w:val="17"/>
        </w:numPr>
        <w:rPr>
          <w:lang w:val="en-US"/>
        </w:rPr>
      </w:pPr>
      <w:hyperlink r:id="rId122"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A537E8" w:rsidP="006166C2">
      <w:pPr>
        <w:pStyle w:val="Listenabsatz"/>
        <w:numPr>
          <w:ilvl w:val="0"/>
          <w:numId w:val="17"/>
        </w:numPr>
        <w:rPr>
          <w:lang w:val="en-US"/>
        </w:rPr>
      </w:pPr>
      <w:hyperlink r:id="rId123"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A537E8" w:rsidP="006166C2">
      <w:pPr>
        <w:pStyle w:val="Listenabsatz"/>
        <w:numPr>
          <w:ilvl w:val="0"/>
          <w:numId w:val="17"/>
        </w:numPr>
        <w:rPr>
          <w:lang w:val="en-US"/>
        </w:rPr>
      </w:pPr>
      <w:hyperlink r:id="rId124"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A537E8" w:rsidP="006166C2">
      <w:pPr>
        <w:pStyle w:val="Listenabsatz"/>
        <w:numPr>
          <w:ilvl w:val="0"/>
          <w:numId w:val="17"/>
        </w:numPr>
        <w:rPr>
          <w:lang w:val="en-US"/>
        </w:rPr>
      </w:pPr>
      <w:hyperlink r:id="rId125"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A537E8" w:rsidP="006166C2">
      <w:pPr>
        <w:pStyle w:val="Listenabsatz"/>
        <w:numPr>
          <w:ilvl w:val="0"/>
          <w:numId w:val="17"/>
        </w:numPr>
        <w:rPr>
          <w:lang w:val="en-US"/>
        </w:rPr>
      </w:pPr>
      <w:hyperlink r:id="rId126"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A537E8" w:rsidP="006166C2">
      <w:pPr>
        <w:pStyle w:val="Listenabsatz"/>
        <w:numPr>
          <w:ilvl w:val="0"/>
          <w:numId w:val="17"/>
        </w:numPr>
        <w:rPr>
          <w:lang w:val="en-US"/>
        </w:rPr>
      </w:pPr>
      <w:hyperlink r:id="rId127"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6CA" w:rsidRDefault="008236CA" w:rsidP="00696EE1">
      <w:pPr>
        <w:spacing w:after="0" w:line="240" w:lineRule="auto"/>
      </w:pPr>
      <w:r>
        <w:separator/>
      </w:r>
    </w:p>
  </w:endnote>
  <w:endnote w:type="continuationSeparator" w:id="0">
    <w:p w:rsidR="008236CA" w:rsidRDefault="008236CA"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6CA" w:rsidRDefault="008236CA" w:rsidP="00696EE1">
      <w:pPr>
        <w:spacing w:after="0" w:line="240" w:lineRule="auto"/>
      </w:pPr>
      <w:r>
        <w:separator/>
      </w:r>
    </w:p>
  </w:footnote>
  <w:footnote w:type="continuationSeparator" w:id="0">
    <w:p w:rsidR="008236CA" w:rsidRDefault="008236CA" w:rsidP="00696EE1">
      <w:pPr>
        <w:spacing w:after="0" w:line="240" w:lineRule="auto"/>
      </w:pPr>
      <w:r>
        <w:continuationSeparator/>
      </w:r>
    </w:p>
  </w:footnote>
  <w:footnote w:id="1">
    <w:p w:rsidR="00A537E8" w:rsidRPr="00477CBF" w:rsidRDefault="00A537E8"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A537E8" w:rsidRPr="00F376D7" w:rsidRDefault="00A537E8"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A537E8" w:rsidRPr="00696EE1" w:rsidRDefault="00A537E8">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A537E8" w:rsidRPr="006E6F8F" w:rsidRDefault="00A537E8">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A537E8" w:rsidRPr="00BE0918" w:rsidRDefault="00A537E8">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A537E8" w:rsidRPr="001714B6" w:rsidRDefault="00A537E8">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A537E8" w:rsidRPr="001714B6" w:rsidRDefault="00A537E8">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A537E8" w:rsidRPr="00777CFC" w:rsidRDefault="00A537E8">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A537E8" w:rsidRPr="001B03D0" w:rsidRDefault="00A537E8">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A537E8" w:rsidRPr="00D9675E" w:rsidRDefault="00A537E8"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A537E8" w:rsidRPr="00A44A82" w:rsidRDefault="00A537E8"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A537E8" w:rsidRPr="00517954" w:rsidRDefault="00A537E8"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A537E8" w:rsidRPr="00A35749" w:rsidRDefault="00A537E8"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20"/>
  </w:num>
  <w:num w:numId="5">
    <w:abstractNumId w:val="11"/>
  </w:num>
  <w:num w:numId="6">
    <w:abstractNumId w:val="7"/>
  </w:num>
  <w:num w:numId="7">
    <w:abstractNumId w:val="9"/>
  </w:num>
  <w:num w:numId="8">
    <w:abstractNumId w:val="3"/>
  </w:num>
  <w:num w:numId="9">
    <w:abstractNumId w:val="10"/>
  </w:num>
  <w:num w:numId="10">
    <w:abstractNumId w:val="5"/>
  </w:num>
  <w:num w:numId="11">
    <w:abstractNumId w:val="0"/>
  </w:num>
  <w:num w:numId="12">
    <w:abstractNumId w:val="1"/>
  </w:num>
  <w:num w:numId="13">
    <w:abstractNumId w:val="4"/>
  </w:num>
  <w:num w:numId="14">
    <w:abstractNumId w:val="15"/>
  </w:num>
  <w:num w:numId="15">
    <w:abstractNumId w:val="16"/>
  </w:num>
  <w:num w:numId="16">
    <w:abstractNumId w:val="6"/>
  </w:num>
  <w:num w:numId="17">
    <w:abstractNumId w:val="19"/>
  </w:num>
  <w:num w:numId="18">
    <w:abstractNumId w:val="17"/>
  </w:num>
  <w:num w:numId="19">
    <w:abstractNumId w:val="8"/>
  </w:num>
  <w:num w:numId="20">
    <w:abstractNumId w:val="2"/>
  </w:num>
  <w:num w:numId="21">
    <w:abstractNumId w:val="18"/>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855"/>
    <w:rsid w:val="00123FEA"/>
    <w:rsid w:val="001241EA"/>
    <w:rsid w:val="001249CD"/>
    <w:rsid w:val="0012525F"/>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D60"/>
    <w:rsid w:val="00325D3A"/>
    <w:rsid w:val="00326D86"/>
    <w:rsid w:val="0033007C"/>
    <w:rsid w:val="003319C2"/>
    <w:rsid w:val="003324B7"/>
    <w:rsid w:val="00335F6F"/>
    <w:rsid w:val="00340FC2"/>
    <w:rsid w:val="00342595"/>
    <w:rsid w:val="00345DF5"/>
    <w:rsid w:val="00346EFF"/>
    <w:rsid w:val="00351554"/>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1B4E"/>
    <w:rsid w:val="004E2CD8"/>
    <w:rsid w:val="004E2FB6"/>
    <w:rsid w:val="004E3A1D"/>
    <w:rsid w:val="004F1FC1"/>
    <w:rsid w:val="004F2787"/>
    <w:rsid w:val="004F6C2B"/>
    <w:rsid w:val="004F7FE8"/>
    <w:rsid w:val="00502BE9"/>
    <w:rsid w:val="00505032"/>
    <w:rsid w:val="005079BF"/>
    <w:rsid w:val="0051091B"/>
    <w:rsid w:val="0051291F"/>
    <w:rsid w:val="0051300D"/>
    <w:rsid w:val="00513023"/>
    <w:rsid w:val="005146A8"/>
    <w:rsid w:val="00514AF6"/>
    <w:rsid w:val="00514BFF"/>
    <w:rsid w:val="00515959"/>
    <w:rsid w:val="0051597F"/>
    <w:rsid w:val="0051689C"/>
    <w:rsid w:val="00516C9D"/>
    <w:rsid w:val="00517249"/>
    <w:rsid w:val="00517652"/>
    <w:rsid w:val="00517954"/>
    <w:rsid w:val="00520EED"/>
    <w:rsid w:val="00521476"/>
    <w:rsid w:val="00523016"/>
    <w:rsid w:val="0052398D"/>
    <w:rsid w:val="005244D8"/>
    <w:rsid w:val="00526743"/>
    <w:rsid w:val="005276E2"/>
    <w:rsid w:val="005279F4"/>
    <w:rsid w:val="00530C4F"/>
    <w:rsid w:val="005310A8"/>
    <w:rsid w:val="00535053"/>
    <w:rsid w:val="005353D2"/>
    <w:rsid w:val="00535F0F"/>
    <w:rsid w:val="00537154"/>
    <w:rsid w:val="00537783"/>
    <w:rsid w:val="00540E88"/>
    <w:rsid w:val="00545A72"/>
    <w:rsid w:val="00550F04"/>
    <w:rsid w:val="00552066"/>
    <w:rsid w:val="005526CA"/>
    <w:rsid w:val="005527F9"/>
    <w:rsid w:val="0055477D"/>
    <w:rsid w:val="0055734E"/>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F2B"/>
    <w:rsid w:val="00815F5E"/>
    <w:rsid w:val="00816FC3"/>
    <w:rsid w:val="008175BE"/>
    <w:rsid w:val="00820B4C"/>
    <w:rsid w:val="00822D0A"/>
    <w:rsid w:val="008236CA"/>
    <w:rsid w:val="008237C8"/>
    <w:rsid w:val="00826A55"/>
    <w:rsid w:val="00826B74"/>
    <w:rsid w:val="008311F4"/>
    <w:rsid w:val="008314E4"/>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374A"/>
    <w:rsid w:val="008D164A"/>
    <w:rsid w:val="008D1E20"/>
    <w:rsid w:val="008D29BD"/>
    <w:rsid w:val="008D3130"/>
    <w:rsid w:val="008D5657"/>
    <w:rsid w:val="008D5B9A"/>
    <w:rsid w:val="008D5C56"/>
    <w:rsid w:val="008D5F5D"/>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3B33"/>
    <w:rsid w:val="00A83F8E"/>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62D"/>
    <w:rsid w:val="00AD44EE"/>
    <w:rsid w:val="00AD5020"/>
    <w:rsid w:val="00AD6812"/>
    <w:rsid w:val="00AD762A"/>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63F9"/>
    <w:rsid w:val="00B30D7B"/>
    <w:rsid w:val="00B3396B"/>
    <w:rsid w:val="00B3450E"/>
    <w:rsid w:val="00B34DB2"/>
    <w:rsid w:val="00B371F0"/>
    <w:rsid w:val="00B374D9"/>
    <w:rsid w:val="00B41A96"/>
    <w:rsid w:val="00B431E3"/>
    <w:rsid w:val="00B44422"/>
    <w:rsid w:val="00B445AF"/>
    <w:rsid w:val="00B452D5"/>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390B"/>
    <w:rsid w:val="00EF3A0C"/>
    <w:rsid w:val="00EF7FA6"/>
    <w:rsid w:val="00F0026C"/>
    <w:rsid w:val="00F024A8"/>
    <w:rsid w:val="00F02CF5"/>
    <w:rsid w:val="00F075D0"/>
    <w:rsid w:val="00F161AE"/>
    <w:rsid w:val="00F17368"/>
    <w:rsid w:val="00F20747"/>
    <w:rsid w:val="00F21DE6"/>
    <w:rsid w:val="00F21F20"/>
    <w:rsid w:val="00F222BB"/>
    <w:rsid w:val="00F23577"/>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60546"/>
    <w:rsid w:val="00F60E8D"/>
    <w:rsid w:val="00F615EA"/>
    <w:rsid w:val="00F635C0"/>
    <w:rsid w:val="00F64D6A"/>
    <w:rsid w:val="00F650EE"/>
    <w:rsid w:val="00F67014"/>
    <w:rsid w:val="00F671EC"/>
    <w:rsid w:val="00F67BFD"/>
    <w:rsid w:val="00F73A1D"/>
    <w:rsid w:val="00F740B1"/>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F489"/>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AppData\Roaming\Microsoft\Word\agents\Hex\06\TDNT3_25-6_eps02_T_inspect.jpg" TargetMode="External"/><Relationship Id="rId21" Type="http://schemas.openxmlformats.org/officeDocument/2006/relationships/image" Target="media/image4.png"/><Relationship Id="rId42" Type="http://schemas.openxmlformats.org/officeDocument/2006/relationships/hyperlink" Target="agents/2048/TC-EXP-NT3%20fixed%204%206-Tupels%20100k.agt.zip" TargetMode="External"/><Relationship Id="rId47" Type="http://schemas.openxmlformats.org/officeDocument/2006/relationships/hyperlink" Target="file:///C:\Users\wolfgang\Documents\GitHub\GBG\agents\ConnectFour\TCL-EXP-al20-lam05-500k-HOR010-T.agt.zip" TargetMode="External"/><Relationship Id="rId63" Type="http://schemas.openxmlformats.org/officeDocument/2006/relationships/hyperlink" Target="file:///C:\Users\wolfgang\AppData\Roaming\Microsoft\Word\agents\Hex\04\csv\multiTrainSarsaNoFinalAdapt.csv" TargetMode="External"/><Relationship Id="rId68" Type="http://schemas.openxmlformats.org/officeDocument/2006/relationships/hyperlink" Target="file:///C:\Users\wolfgang\AppData\Roaming\Microsoft\Word\agents\Hex\04\csv\multiTrainSarsa-eps02.csv" TargetMode="External"/><Relationship Id="rId84" Type="http://schemas.openxmlformats.org/officeDocument/2006/relationships/hyperlink" Target="file:///C:\Users\wolfgang\AppData\Roaming\Microsoft\Word\agents\Hex\04\csv\multiTrainTDNT3.csv" TargetMode="External"/><Relationship Id="rId89" Type="http://schemas.openxmlformats.org/officeDocument/2006/relationships/hyperlink" Target="file:///C:\Users\wolfgang\Documents\GitHub\GBG\agents\Hex\06\TDNT3_25_6_eps02-T.agt.zip" TargetMode="External"/><Relationship Id="rId112" Type="http://schemas.openxmlformats.org/officeDocument/2006/relationships/hyperlink" Target="file:///C:\Users\wolfgang\AppData\Roaming\Microsoft\Word\agents\Hex\05\sarsaNT-eps02.agt.zip" TargetMode="External"/><Relationship Id="rId16" Type="http://schemas.openxmlformats.org/officeDocument/2006/relationships/image" Target="media/image1.png"/><Relationship Id="rId107" Type="http://schemas.openxmlformats.org/officeDocument/2006/relationships/hyperlink" Target="file:///C:\Users\wolfgang\AppData\Roaming\Microsoft\Word\agents\TicTacToe\tdntuple3.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Documents\GitHub\GBG\agents\2048\fixed%204%206-Tupels%20100k%20TDNT2%20afterState.xlsx" TargetMode="External"/><Relationship Id="rId53" Type="http://schemas.openxmlformats.org/officeDocument/2006/relationships/hyperlink" Target="file:///C:\user\wolfgang\www\Optimierung\TR_GBG\TR-TDNTuple.tcp" TargetMode="External"/><Relationship Id="rId58" Type="http://schemas.openxmlformats.org/officeDocument/2006/relationships/hyperlink" Target="file:///C:\Users\wolfgang\AppData\Roaming\Microsoft\Word\agents\TicTacToe\csv\multiTrainSarsaNoFinalAdapt.csv" TargetMode="External"/><Relationship Id="rId74" Type="http://schemas.openxmlformats.org/officeDocument/2006/relationships/image" Target="media/image15.png"/><Relationship Id="rId79" Type="http://schemas.openxmlformats.org/officeDocument/2006/relationships/hyperlink" Target="file:///C:\Users\wolfgang\AppData\Roaming\Microsoft\Word\agents\TicTacToe\csv\multiTrainTD3.csv" TargetMode="External"/><Relationship Id="rId102" Type="http://schemas.openxmlformats.org/officeDocument/2006/relationships/hyperlink" Target="agents/ConnectFour/csv/multiTrain_TCL-EXP-al50-lam05-500k-HOR001-T-epsfin0.csv" TargetMode="External"/><Relationship Id="rId123" Type="http://schemas.openxmlformats.org/officeDocument/2006/relationships/hyperlink" Target="file:///C:\Users\wolfgang\Documents\GitHub\GBG\agents\ConnectFour\TCL-EXP-al20-lam05-500k-HOR010.agt.zip"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file:///C:\Users\wolfgang\AppData\Roaming\Microsoft\Word\agents\Hex\06\TDNT3_25-6_eps02_T_inspect.jpg" TargetMode="External"/><Relationship Id="rId95" Type="http://schemas.openxmlformats.org/officeDocument/2006/relationships/hyperlink" Target="file:///C:\Users\wolfgang\Documents\GitHub\GBG\agents\ConnectFour\csv\multiTrain_TCL-EXP-al50-lam05-500k-HOR001-T.csv"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43" Type="http://schemas.openxmlformats.org/officeDocument/2006/relationships/hyperlink" Target="agents/2048/TC-NT3%20fixed%204%206-Tupels%20200k.agt.zip" TargetMode="External"/><Relationship Id="rId48" Type="http://schemas.openxmlformats.org/officeDocument/2006/relationships/hyperlink" Target="file:///C:\Users\wolfgang\Documents\GitHub\GBG\agents\ConnectFour\TCL-EXP-al20-lam05-500k-HOR010.agt.zip" TargetMode="External"/><Relationship Id="rId64" Type="http://schemas.openxmlformats.org/officeDocument/2006/relationships/image" Target="media/image13.png"/><Relationship Id="rId69" Type="http://schemas.openxmlformats.org/officeDocument/2006/relationships/hyperlink" Target="file:///C:\Users\wolfgang\AppData\Roaming\Microsoft\Word\agents\Hex\04\csv\multiTrainTD2-10-6-eps02.csv" TargetMode="External"/><Relationship Id="rId113" Type="http://schemas.openxmlformats.org/officeDocument/2006/relationships/hyperlink" Target="file:///C:\Users\wolfgang\AppData\Roaming\Microsoft\Word\agents\Hex\05\sarsa-25-6-eps02-inspectv.png" TargetMode="External"/><Relationship Id="rId118" Type="http://schemas.openxmlformats.org/officeDocument/2006/relationships/image" Target="media/image19.jpg"/><Relationship Id="rId80" Type="http://schemas.openxmlformats.org/officeDocument/2006/relationships/hyperlink" Target="file:///C:\Users\wolfgang\AppData\Roaming\Microsoft\Word\agents\TicTacToe\csv\multiTrainTD3NoLearnRM.csv" TargetMode="External"/><Relationship Id="rId85" Type="http://schemas.openxmlformats.org/officeDocument/2006/relationships/hyperlink" Target="file:///C:\Users\wolfgang\AppData\Roaming\Microsoft\Word\agents\Hex\04\csv\multiTrainTD3-eps02.png" TargetMode="Externa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33" Type="http://schemas.openxmlformats.org/officeDocument/2006/relationships/image" Target="media/image7.png"/><Relationship Id="rId38" Type="http://schemas.openxmlformats.org/officeDocument/2006/relationships/hyperlink" Target="file:///C:\Users\wolfgang\AppData\Roaming\Microsoft\Word\agents\2048\fixed%204%206-Tupels%20200k%20TDNT2%20afterState.agt.zip" TargetMode="External"/><Relationship Id="rId59" Type="http://schemas.openxmlformats.org/officeDocument/2006/relationships/image" Target="media/image12.png"/><Relationship Id="rId103" Type="http://schemas.openxmlformats.org/officeDocument/2006/relationships/hyperlink" Target="agents/ConnectFour/csv/multiTrain_TCL-EXP-al50-lam05-500k-HOR001-T.csv" TargetMode="External"/><Relationship Id="rId108" Type="http://schemas.openxmlformats.org/officeDocument/2006/relationships/hyperlink" Target="file:///C:\Users\wolfgang\AppData\Roaming\Microsoft\Word\agents\Hex\04\TDNTuple2_3P-MODE2.agt.zip" TargetMode="External"/><Relationship Id="rId124" Type="http://schemas.openxmlformats.org/officeDocument/2006/relationships/hyperlink" Target="file:///C:\Users\wolfgang\AppData\Roaming\Microsoft\Word\agents\ConnectFour\TCL-EXP-al20-lam05-500k-HOR001-noSYM.agt.zip" TargetMode="External"/><Relationship Id="rId129" Type="http://schemas.openxmlformats.org/officeDocument/2006/relationships/theme" Target="theme/theme1.xml"/><Relationship Id="rId54" Type="http://schemas.openxmlformats.org/officeDocument/2006/relationships/hyperlink" Target="file:///C:\Users\wolfgang\Documents\GitHub\GBG\agents\TicTacToe\sarsaNT.agt.zip" TargetMode="External"/><Relationship Id="rId70" Type="http://schemas.openxmlformats.org/officeDocument/2006/relationships/hyperlink" Target="file:///C:\Users\wolfgang\AppData\Roaming\Microsoft\Word\agents\Hex\04\csv\multiTrainSarsa-TD-lam-eps.png" TargetMode="External"/><Relationship Id="rId75" Type="http://schemas.openxmlformats.org/officeDocument/2006/relationships/hyperlink" Target="file:///C:\user\wolfgang\www\Optimierung\TR_GBG\TR-TDNTuple.tcp" TargetMode="External"/><Relationship Id="rId91" Type="http://schemas.openxmlformats.org/officeDocument/2006/relationships/hyperlink" Target="file:///C:\Users\wolfgang\Documents\GitHub\GBG\agents\ConnectFour\TDNT2-al05-lam06-500k.agt.zip" TargetMode="External"/><Relationship Id="rId96" Type="http://schemas.openxmlformats.org/officeDocument/2006/relationships/hyperlink" Target="file:///C:\Users\wolfgang\Documents\GitHub\GBG\agents\ConnectFour\TCL-EXP-NT3-al50-lam025-500k-HOR001.agt.zi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49" Type="http://schemas.openxmlformats.org/officeDocument/2006/relationships/image" Target="media/image8.png"/><Relationship Id="rId114" Type="http://schemas.openxmlformats.org/officeDocument/2006/relationships/image" Target="media/image18.png"/><Relationship Id="rId119" Type="http://schemas.openxmlformats.org/officeDocument/2006/relationships/hyperlink" Target="file:///C:\Users\wolfgang\Documents\GitHub\Connect-Four\CFour" TargetMode="External"/><Relationship Id="rId44" Type="http://schemas.openxmlformats.org/officeDocument/2006/relationships/hyperlink" Target="file:///C:\Users\wolfgang\Documents\GitHub\GBG\agents\ConnectFour\TCL-EXP-al20-lam05-500k-HOR001.agt.zip" TargetMode="External"/><Relationship Id="rId60" Type="http://schemas.openxmlformats.org/officeDocument/2006/relationships/hyperlink" Target="file:///C:\Users\wolfgang\AppData\Roaming\Microsoft\Word\agents\Hex\04\sarsaNT.agt.zip" TargetMode="External"/><Relationship Id="rId65" Type="http://schemas.openxmlformats.org/officeDocument/2006/relationships/hyperlink" Target="file:///C:\Users\wolfgang\AppData\Roaming\Microsoft\Word\agents\Hex\04\csv\multiTrainSarsa-lam05-hor010.csv" TargetMode="External"/><Relationship Id="rId81" Type="http://schemas.openxmlformats.org/officeDocument/2006/relationships/hyperlink" Target="file:///C:\Users\wolfgang\AppData\Roaming\Microsoft\Word\agents\TicTacToe\csv\multiTrainTD3NoFinalAdapt.csv" TargetMode="External"/><Relationship Id="rId86" Type="http://schemas.openxmlformats.org/officeDocument/2006/relationships/image" Target="media/image17.png"/><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39" Type="http://schemas.openxmlformats.org/officeDocument/2006/relationships/hyperlink" Target="file:///C:\Users\wolfgang\AppData\Roaming\Microsoft\Word\resources\R_plotTools\multi-100k-200k-TDNT2-afterstate.png" TargetMode="External"/><Relationship Id="rId109" Type="http://schemas.openxmlformats.org/officeDocument/2006/relationships/hyperlink" Target="file:///C:\Users\wolfgang\AppData\Roaming\Microsoft\Word\agents\Hex\04\TDNTuple2_10-6-eps02.agt.zip" TargetMode="External"/><Relationship Id="rId34" Type="http://schemas.openxmlformats.org/officeDocument/2006/relationships/hyperlink" Target="file:///C:\user\wolfgang\www\Optimierung\TR_GBG\TR-TDNTuple.tcp" TargetMode="External"/><Relationship Id="rId50" Type="http://schemas.openxmlformats.org/officeDocument/2006/relationships/image" Target="media/image9.png"/><Relationship Id="rId55" Type="http://schemas.openxmlformats.org/officeDocument/2006/relationships/hyperlink" Target="file:///C:\Users\wolfgang\AppData\Roaming\Microsoft\Word\agents\TicTacToe\csv\multiTrainSarsa.csv" TargetMode="External"/><Relationship Id="rId76" Type="http://schemas.openxmlformats.org/officeDocument/2006/relationships/hyperlink" Target="file:///C:\Users\wolfgang\AppData\Roaming\Microsoft\Word\agents\Hex\04\csv\multiTrainTD3-eps02.png" TargetMode="External"/><Relationship Id="rId97" Type="http://schemas.openxmlformats.org/officeDocument/2006/relationships/hyperlink" Target="file:///C:\Users\wolfgang\Documents\GitHub\GBG\agents\ConnectFour\TCL-EXP-NT3-al50-lam025-500k-HOR001-T.agt.zip" TargetMode="External"/><Relationship Id="rId104" Type="http://schemas.openxmlformats.org/officeDocument/2006/relationships/hyperlink" Target="agents/ConnectFour/csv/multiTrain_TCL-EXP-NT3-al50-lam025-500k-HOR001-T-epsfin0.csv" TargetMode="External"/><Relationship Id="rId120" Type="http://schemas.openxmlformats.org/officeDocument/2006/relationships/hyperlink" Target="file:///C:\Users\wolfgang\Documents\GitHub\GBG\agents\ConnectFour\TCL-EXP-al20-lam05-500k-HOR001.agt.zip" TargetMode="External"/><Relationship Id="rId125" Type="http://schemas.openxmlformats.org/officeDocument/2006/relationships/hyperlink" Target="file:///C:\Users\wolfgang\Documents\GitHub\GBG\agents\ConnectFour\TCL-EXP-al20-lam05-500k-HOR001-RESET.agt.zip" TargetMode="External"/><Relationship Id="rId7" Type="http://schemas.openxmlformats.org/officeDocument/2006/relationships/endnotes" Target="endnotes.xml"/><Relationship Id="rId71" Type="http://schemas.openxmlformats.org/officeDocument/2006/relationships/image" Target="media/image14.png"/><Relationship Id="rId92" Type="http://schemas.openxmlformats.org/officeDocument/2006/relationships/hyperlink" Target="file:///C:\Users\wolfgang\Documents\GitHub\GBG\agents\ConnectFour\TDNT3-al05-lam036-500k-T.agt.zip" TargetMode="External"/><Relationship Id="rId2" Type="http://schemas.openxmlformats.org/officeDocument/2006/relationships/numbering" Target="numbering.xml"/><Relationship Id="rId29" Type="http://schemas.openxmlformats.org/officeDocument/2006/relationships/hyperlink" Target="https://de.wikipedia.org/wiki/Kalaha" TargetMode="External"/><Relationship Id="rId24" Type="http://schemas.openxmlformats.org/officeDocument/2006/relationships/hyperlink" Target="file:///C:\user\datasets\Vorlesungen\FHK\DiplomArb\2016\BA%20Kutsch\multiTrainPlot.R" TargetMode="External"/><Relationship Id="rId40" Type="http://schemas.openxmlformats.org/officeDocument/2006/relationships/hyperlink" Target="file:///C:\Users\wolfgang\Documents\GitHub\GBG\agents\2048\TC%20fixed%204%206-Tupels%20100k_V1.agt.zip" TargetMode="External"/><Relationship Id="rId45" Type="http://schemas.openxmlformats.org/officeDocument/2006/relationships/hyperlink" Target="file:///C:\Users\wolfgang\AppData\Roaming\Microsoft\Word\agents\ConnectFour\TCL-EXP-al20-lam05-500k-HOR001-RESET.agt.zip" TargetMode="External"/><Relationship Id="rId66" Type="http://schemas.openxmlformats.org/officeDocument/2006/relationships/hyperlink" Target="file:///C:\Users\wolfgang\Documents\GitHub\GBG\agents\Hex\04\csv\multiTrainSarsa-lam05-hor001.csv" TargetMode="External"/><Relationship Id="rId87" Type="http://schemas.openxmlformats.org/officeDocument/2006/relationships/hyperlink" Target="file:///C:\Users\wolfgang\AppData\Roaming\Microsoft\Word\agents\Hex\05\TDNT3-eps02.agt.zip" TargetMode="External"/><Relationship Id="rId110" Type="http://schemas.openxmlformats.org/officeDocument/2006/relationships/hyperlink" Target="file:///C:\Users\wolfgang\AppData\Roaming\Microsoft\Word\agents\Hex\04\sarsaNT-eps02.agt.zip" TargetMode="External"/><Relationship Id="rId115" Type="http://schemas.openxmlformats.org/officeDocument/2006/relationships/hyperlink" Target="file:///C:\Users\wolfgang\AppData\Roaming\Microsoft\Word\agents\Hex\06\TDNT2_25-6_eps02_T_inspect.jpg" TargetMode="External"/><Relationship Id="rId61" Type="http://schemas.openxmlformats.org/officeDocument/2006/relationships/hyperlink" Target="file:///C:\Users\wolfgang\AppData\Roaming\Microsoft\Word\agents\Hex\04\csv\multiTrainSarsa.csv" TargetMode="External"/><Relationship Id="rId82" Type="http://schemas.openxmlformats.org/officeDocument/2006/relationships/image" Target="media/image16.png"/><Relationship Id="rId19" Type="http://schemas.openxmlformats.org/officeDocument/2006/relationships/image" Target="media/image3.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s\wolfgang\AppData\Roaming\Microsoft\Word\agents\TicTacToe\csv\multiTrainSarsaInitNull.csv"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agents/ConnectFour/csv/multiTrain_TCL-EXP-NT3-al50-lam025-500k-HOR001-T-epsfin0.csv" TargetMode="External"/><Relationship Id="rId105" Type="http://schemas.openxmlformats.org/officeDocument/2006/relationships/hyperlink" Target="file:///C:\Users\wolfgang\AppData\Roaming\Microsoft\Word\agents\TicTacToe\tdntuple2.agt.zip" TargetMode="External"/><Relationship Id="rId126" Type="http://schemas.openxmlformats.org/officeDocument/2006/relationships/hyperlink" Target="file:///C:\Users\wolfgang\Documents\GitHub\GBG\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image" Target="media/image10.png"/><Relationship Id="rId72" Type="http://schemas.openxmlformats.org/officeDocument/2006/relationships/hyperlink" Target="file:///C:\Users\wolfgang\AppData\Roaming\Microsoft\Word\agents\Hex\05\sarsaNT-eps02.agt.zip" TargetMode="External"/><Relationship Id="rId93" Type="http://schemas.openxmlformats.org/officeDocument/2006/relationships/hyperlink" Target="file:///C:\Users\wolfgang\Documents\GitHub\GBG\agents\ConnectFour\TCL-EXP-al20-lam05-500k-HOR010-T.agt.zip" TargetMode="External"/><Relationship Id="rId98" Type="http://schemas.openxmlformats.org/officeDocument/2006/relationships/hyperlink" Target="agents/ConnectFour/csv/multiTrain_TCL-EXP-NT3-al50-lam025-500k-HOR001-T.csv" TargetMode="External"/><Relationship Id="rId121" Type="http://schemas.openxmlformats.org/officeDocument/2006/relationships/hyperlink" Target="file:///C:\Users\wolfgang\AppData\Roaming\Microsoft\Word\agents\ConnectFour\TCL-EXP-al20-lam05-500k-HOR001-RESET.agt.zip"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file:///C:\Users\wolfgang\AppData\Roaming\Microsoft\Word\agents\ConnectFour\TCL-EXP-al20-lam05-500k-HOR001-RESET.agt.zip" TargetMode="External"/><Relationship Id="rId67" Type="http://schemas.openxmlformats.org/officeDocument/2006/relationships/hyperlink" Target="file:///C:\Users\wolfgang\AppData\Roaming\Microsoft\Word\agents\Hex\04\csv\multiTrainTD2-10-6-lam00.csv" TargetMode="External"/><Relationship Id="rId116" Type="http://schemas.openxmlformats.org/officeDocument/2006/relationships/hyperlink" Target="file:///C:\Users\wolfgang\Documents\GitHub\GBG\agents\Hex\06\TDNT3_25_6_eps02-T.agt.zip" TargetMode="External"/><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WUTemp\FH-MassenDaten\svnSoma\trunk\doc\CaseStudies.d\201314.d\CIG2014\MCTS.literature\2048\paper2048-SzubertJaskowski-CIG2014.pdf" TargetMode="External"/><Relationship Id="rId62" Type="http://schemas.openxmlformats.org/officeDocument/2006/relationships/hyperlink" Target="file:///C:\Users\wolfgang\AppData\Roaming\Microsoft\Word\agents\Hex\04\csv\multiTrainSarsaNoLearnRM.csv" TargetMode="External"/><Relationship Id="rId83" Type="http://schemas.openxmlformats.org/officeDocument/2006/relationships/hyperlink" Target="file:///C:\Users\wolfgang\AppData\Roaming\Microsoft\Word\agents\Hex\04\td3new_10-6.agt.zip" TargetMode="External"/><Relationship Id="rId88" Type="http://schemas.openxmlformats.org/officeDocument/2006/relationships/hyperlink" Target="file:///C:\Users\wolfgang\AppData\Roaming\Microsoft\Word\agents\Hex\06\TDNT3_25_6_eps02.agt.zip" TargetMode="External"/><Relationship Id="rId111" Type="http://schemas.openxmlformats.org/officeDocument/2006/relationships/hyperlink" Target="file:///C:\Users\wolfgang\AppData\Roaming\Microsoft\Word\agents\Hex\05\TDNT2_25-6-lam00.agt.zip" TargetMode="External"/><Relationship Id="rId15" Type="http://schemas.openxmlformats.org/officeDocument/2006/relationships/hyperlink" Target="file:///C:\Users\wolfgang\AppData\Roaming\Microsoft\Word\mai-von-Kutsch-06\mai-von-Kutsch-06.msg" TargetMode="External"/><Relationship Id="rId36" Type="http://schemas.openxmlformats.org/officeDocument/2006/relationships/hyperlink" Target="file:///C:\WUTemp\FH-MassenDaten\svnSoma\trunk\doc\CaseStudies.d\201314.d\CIG2014\MCTS.literature\2048\Jaskowski2016-2048.pdf" TargetMode="External"/><Relationship Id="rId57" Type="http://schemas.openxmlformats.org/officeDocument/2006/relationships/hyperlink" Target="file:///C:\Users\wolfgang\AppData\Roaming\Microsoft\Word\agents\TicTacToe\csv\multiTrainSarsaNoLearnRM.csv" TargetMode="External"/><Relationship Id="rId106" Type="http://schemas.openxmlformats.org/officeDocument/2006/relationships/hyperlink" Target="file:///C:\Users\wolfgang\AppData\Roaming\Microsoft\Word\agents\TicTacToe\sarsaNT.agt.zip" TargetMode="External"/><Relationship Id="rId127" Type="http://schemas.openxmlformats.org/officeDocument/2006/relationships/hyperlink" Target="file:///C:\Users\wolfgang\Documents\GitHub\GBG\agents\ConnectFour\TCL-EXP-al20-lam05-500k-HOR001.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tcp" TargetMode="External"/><Relationship Id="rId52" Type="http://schemas.openxmlformats.org/officeDocument/2006/relationships/image" Target="media/image11.png"/><Relationship Id="rId73" Type="http://schemas.openxmlformats.org/officeDocument/2006/relationships/hyperlink" Target="file:///C:\Users\wolfgang\AppData\Roaming\Microsoft\Word\agents\Hex\05\TDNT2_25-6-lam00.agt.zip" TargetMode="External"/><Relationship Id="rId78" Type="http://schemas.openxmlformats.org/officeDocument/2006/relationships/hyperlink" Target="file:///C:\Users\wolfgang\AppData\Roaming\Microsoft\Word\agents\TicTacToe\tdntuple3.agt.zip" TargetMode="External"/><Relationship Id="rId94" Type="http://schemas.openxmlformats.org/officeDocument/2006/relationships/hyperlink" Target="file:///C:\Users\wolfgang\Documents\GitHub\GBG\agents\ConnectFour\TCL-EXP-al50-lam05-500k-HOR001-T.agt.zip" TargetMode="External"/><Relationship Id="rId99" Type="http://schemas.openxmlformats.org/officeDocument/2006/relationships/hyperlink" Target="file:///C:\Users\wolfgang\Documents\GitHub\GBG\agents\ConnectFour\TCL-EXP-NT3-al50-lam025-500k-HOR001-T-epsfin0.agt.zip" TargetMode="External"/><Relationship Id="rId101" Type="http://schemas.openxmlformats.org/officeDocument/2006/relationships/hyperlink" Target="file:///C:\Users\wolfgang\Documents\GitHub\GBG\agents\ConnectFour\TCL-EXP-al50-lam05-500k-HOR001-T-epsfin0.agt.zip" TargetMode="External"/><Relationship Id="rId122" Type="http://schemas.openxmlformats.org/officeDocument/2006/relationships/hyperlink" Target="file:///C:\Users\wolfgang\AppData\Roaming\Microsoft\Word\agents\ConnectFour\TCL-EXP-al20-lam05-500k-HOR001-RESET.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hyperlink" Target="file:///C:\Users\wolfgang\AppData\Roaming\Microsoft\Word\agents\2048\csv\multiTrain-2048-withAFTERSTATE.cs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05601-E520-4387-9C44-3A7779D62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15613</Words>
  <Characters>98364</Characters>
  <Application>Microsoft Office Word</Application>
  <DocSecurity>0</DocSecurity>
  <Lines>819</Lines>
  <Paragraphs>227</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11</cp:revision>
  <cp:lastPrinted>2017-08-17T10:16:00Z</cp:lastPrinted>
  <dcterms:created xsi:type="dcterms:W3CDTF">2018-07-07T11:02:00Z</dcterms:created>
  <dcterms:modified xsi:type="dcterms:W3CDTF">2019-03-03T10:52:00Z</dcterms:modified>
</cp:coreProperties>
</file>