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Or what is with the TD pars tab when we have a TD agent for X and a </w:t>
      </w:r>
      <w:proofErr w:type="spellStart"/>
      <w:r>
        <w:rPr>
          <w:rFonts w:cs="Arial"/>
          <w:szCs w:val="21"/>
          <w:lang w:val="en-US"/>
        </w:rPr>
        <w:t>TDNTupleAgt</w:t>
      </w:r>
      <w:proofErr w:type="spellEnd"/>
      <w:r>
        <w:rPr>
          <w:rFonts w:cs="Arial"/>
          <w:szCs w:val="21"/>
          <w:lang w:val="en-US"/>
        </w:rPr>
        <w:t xml:space="preserve">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A06567"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NTuple</w:t>
      </w:r>
      <w:proofErr w:type="spellEnd"/>
      <w:r>
        <w:rPr>
          <w:rFonts w:cs="Arial"/>
          <w:szCs w:val="21"/>
          <w:lang w:val="en-US"/>
        </w:rPr>
        <w:t>[</w:t>
      </w:r>
      <w:proofErr w:type="gramEnd"/>
      <w:r>
        <w:rPr>
          <w:rFonts w:cs="Arial"/>
          <w:szCs w:val="21"/>
          <w:lang w:val="en-US"/>
        </w:rPr>
        <w:t>2]::</w:t>
      </w:r>
      <w:proofErr w:type="spellStart"/>
      <w:r>
        <w:rPr>
          <w:rFonts w:cs="Arial"/>
          <w:szCs w:val="21"/>
          <w:lang w:val="en-US"/>
        </w:rPr>
        <w:t>getBoard</w:t>
      </w:r>
      <w:proofErr w:type="spellEnd"/>
      <w:r>
        <w:rPr>
          <w:rFonts w:cs="Arial"/>
          <w:szCs w:val="21"/>
          <w:lang w:val="en-US"/>
        </w:rPr>
        <w:t xml:space="preserve"> is still specific to TTT (vector of length 9). Generalize! – Now set to @Deprecated and commented out, since this function is never used (both classes) </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button </w:t>
      </w:r>
      <w:proofErr w:type="spellStart"/>
      <w:r>
        <w:rPr>
          <w:rFonts w:cs="Arial"/>
          <w:szCs w:val="21"/>
          <w:lang w:val="en-US"/>
        </w:rPr>
        <w:t>MultiTrain</w:t>
      </w:r>
      <w:proofErr w:type="spellEnd"/>
      <w:r>
        <w:rPr>
          <w:rFonts w:cs="Arial"/>
          <w:szCs w:val="21"/>
          <w:lang w:val="en-US"/>
        </w:rPr>
        <w:t xml:space="preserve">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Bug (GUI hangs) when loading with Hex several time an </w:t>
      </w:r>
      <w:proofErr w:type="spellStart"/>
      <w:r>
        <w:rPr>
          <w:rFonts w:cs="Arial"/>
          <w:szCs w:val="21"/>
          <w:lang w:val="en-US"/>
        </w:rPr>
        <w:t>TDNTupleAgt</w:t>
      </w:r>
      <w:proofErr w:type="spellEnd"/>
      <w:r>
        <w:rPr>
          <w:rFonts w:cs="Arial"/>
          <w:szCs w:val="21"/>
          <w:lang w:val="en-US"/>
        </w:rPr>
        <w:t>. 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FC6264" w:rsidRDefault="00A06567"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FC6264">
        <w:rPr>
          <w:rFonts w:cs="Arial"/>
          <w:szCs w:val="21"/>
          <w:lang w:val="en-US"/>
        </w:rPr>
        <w:t>Add counter ‘learning actions’ (as in [Jaskowski16], especially useful for 2048)</w:t>
      </w:r>
      <w:r>
        <w:rPr>
          <w:rFonts w:cs="Arial"/>
          <w:szCs w:val="21"/>
          <w:lang w:val="en-US"/>
        </w:rPr>
        <w:t xml:space="preserve"> – see</w:t>
      </w:r>
      <w:bookmarkStart w:id="1" w:name="_GoBack"/>
      <w:bookmarkEnd w:id="1"/>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3" w:name="MCTSParams_vs_ParMCTS_fixes"/>
      <w:bookmarkEnd w:id="3"/>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2B0" w:rsidRDefault="003002B0" w:rsidP="00FE501B">
      <w:pPr>
        <w:spacing w:after="0" w:line="240" w:lineRule="auto"/>
      </w:pPr>
      <w:r>
        <w:separator/>
      </w:r>
    </w:p>
  </w:endnote>
  <w:endnote w:type="continuationSeparator" w:id="0">
    <w:p w:rsidR="003002B0" w:rsidRDefault="003002B0"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2B0" w:rsidRDefault="003002B0" w:rsidP="00FE501B">
      <w:pPr>
        <w:spacing w:after="0" w:line="240" w:lineRule="auto"/>
      </w:pPr>
      <w:r>
        <w:separator/>
      </w:r>
    </w:p>
  </w:footnote>
  <w:footnote w:type="continuationSeparator" w:id="0">
    <w:p w:rsidR="003002B0" w:rsidRDefault="003002B0"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0F7E6F" w:rsidRPr="00252E7C" w:rsidRDefault="000F7E6F"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2734"/>
    <w:rsid w:val="00082620"/>
    <w:rsid w:val="000C52F5"/>
    <w:rsid w:val="000F7E6F"/>
    <w:rsid w:val="0010188D"/>
    <w:rsid w:val="00111D50"/>
    <w:rsid w:val="00112605"/>
    <w:rsid w:val="00120589"/>
    <w:rsid w:val="001259C0"/>
    <w:rsid w:val="00125AC7"/>
    <w:rsid w:val="00135EC2"/>
    <w:rsid w:val="00136D04"/>
    <w:rsid w:val="001541F1"/>
    <w:rsid w:val="00166863"/>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41694"/>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D6355"/>
    <w:rsid w:val="006E44BA"/>
    <w:rsid w:val="006F5FDF"/>
    <w:rsid w:val="00715F4B"/>
    <w:rsid w:val="00721867"/>
    <w:rsid w:val="00726B07"/>
    <w:rsid w:val="007470C8"/>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B02BA"/>
    <w:rsid w:val="009C1F3F"/>
    <w:rsid w:val="009C388B"/>
    <w:rsid w:val="009C411E"/>
    <w:rsid w:val="009D2CFE"/>
    <w:rsid w:val="009D484E"/>
    <w:rsid w:val="009D6929"/>
    <w:rsid w:val="009E33A1"/>
    <w:rsid w:val="00A06567"/>
    <w:rsid w:val="00A2096B"/>
    <w:rsid w:val="00A24830"/>
    <w:rsid w:val="00A24AB9"/>
    <w:rsid w:val="00A27DF4"/>
    <w:rsid w:val="00A72791"/>
    <w:rsid w:val="00A871F1"/>
    <w:rsid w:val="00AB198E"/>
    <w:rsid w:val="00AC2F61"/>
    <w:rsid w:val="00AD1B0C"/>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803C4"/>
    <w:rsid w:val="00CA7DA1"/>
    <w:rsid w:val="00CE3E7F"/>
    <w:rsid w:val="00CF7F26"/>
    <w:rsid w:val="00D10571"/>
    <w:rsid w:val="00D13FB6"/>
    <w:rsid w:val="00D33E44"/>
    <w:rsid w:val="00D56B7C"/>
    <w:rsid w:val="00D61AE2"/>
    <w:rsid w:val="00DC01A6"/>
    <w:rsid w:val="00DC1760"/>
    <w:rsid w:val="00DC24E1"/>
    <w:rsid w:val="00DD274D"/>
    <w:rsid w:val="00E02A3C"/>
    <w:rsid w:val="00E07249"/>
    <w:rsid w:val="00E21748"/>
    <w:rsid w:val="00E24170"/>
    <w:rsid w:val="00E2649A"/>
    <w:rsid w:val="00E31258"/>
    <w:rsid w:val="00E55B58"/>
    <w:rsid w:val="00E603E3"/>
    <w:rsid w:val="00E96F7A"/>
    <w:rsid w:val="00F141E1"/>
    <w:rsid w:val="00F258F4"/>
    <w:rsid w:val="00F42239"/>
    <w:rsid w:val="00F45204"/>
    <w:rsid w:val="00F5064B"/>
    <w:rsid w:val="00F74AD0"/>
    <w:rsid w:val="00F82174"/>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EC79"/>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05C3-D658-4DE7-8C2F-173EE949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3615</Words>
  <Characters>22778</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11</cp:revision>
  <cp:lastPrinted>2017-06-19T13:58:00Z</cp:lastPrinted>
  <dcterms:created xsi:type="dcterms:W3CDTF">2017-05-03T07:03:00Z</dcterms:created>
  <dcterms:modified xsi:type="dcterms:W3CDTF">2017-09-29T16:35:00Z</dcterms:modified>
</cp:coreProperties>
</file>