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E9E" w:rsidRDefault="003D5065" w:rsidP="003D5065">
      <w:pPr>
        <w:pStyle w:val="Titel"/>
        <w:rPr>
          <w:sz w:val="52"/>
          <w:lang w:val="en-US"/>
        </w:rPr>
      </w:pPr>
      <w:r w:rsidRPr="003D5065">
        <w:rPr>
          <w:sz w:val="52"/>
          <w:lang w:val="en-US"/>
        </w:rPr>
        <w:t>TODOs for GBG-Framework – WK/0</w:t>
      </w:r>
      <w:r w:rsidR="007860C2">
        <w:rPr>
          <w:sz w:val="52"/>
          <w:lang w:val="en-US"/>
        </w:rPr>
        <w:t>8</w:t>
      </w:r>
      <w:r w:rsidRPr="003D5065">
        <w:rPr>
          <w:sz w:val="52"/>
          <w:lang w:val="en-US"/>
        </w:rPr>
        <w:t>/2017</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Allow only trained agents to be saved.</w:t>
      </w:r>
    </w:p>
    <w:p w:rsidR="006B36F7" w:rsidRPr="003D5065" w:rsidRDefault="00CA7DA1" w:rsidP="006B36F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CA7DA1">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Clarify: Is the parameter data flow safe, if we issue a ’play’ or ’compete’</w:t>
      </w:r>
      <w:r w:rsidR="00CA7DA1">
        <w:rPr>
          <w:rFonts w:cs="Arial"/>
          <w:szCs w:val="21"/>
          <w:lang w:val="en-US"/>
        </w:rPr>
        <w:t xml:space="preserve"> </w:t>
      </w:r>
      <w:r w:rsidRPr="00CA7DA1">
        <w:rPr>
          <w:rFonts w:cs="Arial"/>
          <w:szCs w:val="21"/>
          <w:lang w:val="en-US"/>
        </w:rPr>
        <w:t>for 2 agents of same type but with different parameters?</w:t>
      </w:r>
    </w:p>
    <w:p w:rsidR="00796545" w:rsidRPr="00CA7DA1" w:rsidRDefault="00796545" w:rsidP="00CA7DA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Or what is with the TD pars tab when we have a TD agent for X and a TDNTupleAgt for O? Both have their (possibly different) TD parameters (!)</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A06567"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NTuple[2]::getBoard is still specific to TTT (vector of length 9). Generalize! – Now set to @Deprecated and commented out, since this function is never used (both classes) </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7860C2" w:rsidRDefault="007860C2" w:rsidP="007860C2">
      <w:pPr>
        <w:pStyle w:val="berschrift2"/>
        <w:rPr>
          <w:lang w:val="en-US"/>
        </w:rPr>
      </w:pPr>
      <w:r>
        <w:rPr>
          <w:lang w:val="en-US"/>
        </w:rPr>
        <w:t>Partly solved items</w:t>
      </w:r>
    </w:p>
    <w:p w:rsidR="00D56B7C" w:rsidRDefault="00D56B7C" w:rsidP="007860C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partly solved, see </w:t>
      </w:r>
      <w:hyperlink w:anchor="_Debugging_TDS_(TDAgent)" w:history="1">
        <w:r w:rsidRPr="00941833">
          <w:rPr>
            <w:rStyle w:val="Hyperlink"/>
            <w:rFonts w:cs="Arial"/>
            <w:szCs w:val="21"/>
            <w:lang w:val="en-US"/>
          </w:rPr>
          <w:t>#Debugging TDS (TDAgent)</w:t>
        </w:r>
      </w:hyperlink>
    </w:p>
    <w:p w:rsidR="008A7CF2" w:rsidRPr="008A7CF2" w:rsidRDefault="008A7CF2" w:rsidP="008A7CF2">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8"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Some elements of measurement in </w:t>
      </w:r>
      <w:r w:rsidR="00003613">
        <w:rPr>
          <w:rFonts w:cs="Arial"/>
          <w:szCs w:val="21"/>
          <w:lang w:val="en-US"/>
        </w:rPr>
        <w:t xml:space="preserve">methods </w:t>
      </w:r>
      <w:r>
        <w:rPr>
          <w:rFonts w:cs="Arial"/>
          <w:szCs w:val="21"/>
          <w:lang w:val="en-US"/>
        </w:rPr>
        <w:t>train, multiTrain,</w:t>
      </w:r>
      <w:r w:rsidR="00003613">
        <w:rPr>
          <w:rFonts w:cs="Arial"/>
          <w:szCs w:val="21"/>
          <w:lang w:val="en-US"/>
        </w:rPr>
        <w:t xml:space="preserve"> and</w:t>
      </w:r>
      <w:r>
        <w:rPr>
          <w:rFonts w:cs="Arial"/>
          <w:szCs w:val="21"/>
          <w:lang w:val="en-US"/>
        </w:rPr>
        <w:t xml:space="preserve"> compete are still TicTacToe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ArenaTrain</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(‘Param X’ and so on from ArenaTrain is missing here). Optional: show the color of the player</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button MultiTrain in the ‘Agents trained’ row and move button ‘Logs’ in the blue buttons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think about nicer colors</w:t>
      </w:r>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multiCompete</w:t>
      </w:r>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BF0F7A"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(GUI hangs) when loading with Hex several time an TDNTupleAgt. It passes the [LoadAgent] status message, but then it returns from the action listener in such a way that the GUI does no longer respond to any events.</w:t>
      </w:r>
    </w:p>
    <w:p w:rsidR="00E31258" w:rsidRDefault="00E31258"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Replace PlayAgent::wasRandomAction() with ACTION::isRandomAction() (simpler interface, cleaner code). Delete agent’s member randomSelect, where present.</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FC6264" w:rsidRDefault="00A06567"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FC6264">
        <w:rPr>
          <w:rFonts w:cs="Arial"/>
          <w:szCs w:val="21"/>
          <w:lang w:val="en-US"/>
        </w:rPr>
        <w:t>Add counter ‘learning actions’ (as in [Jaskowski16], especially useful for 2048)</w:t>
      </w:r>
      <w:r>
        <w:rPr>
          <w:rFonts w:cs="Arial"/>
          <w:szCs w:val="21"/>
          <w:lang w:val="en-US"/>
        </w:rPr>
        <w:t xml:space="preserve"> – see</w:t>
      </w:r>
    </w:p>
    <w:p w:rsidR="006E44BA" w:rsidRDefault="006E44BA"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location in memory. Nevertheless then,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2F5E30">
        <w:rPr>
          <w:rFonts w:cs="Arial"/>
          <w:szCs w:val="21"/>
          <w:lang w:val="en-US"/>
        </w:rPr>
        <w:t xml:space="preserve">define </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public Boolean equals(Object arg0) { return hasEqualState(arg0);}</w:t>
      </w:r>
      <w:r>
        <w:rPr>
          <w:rFonts w:cs="Arial"/>
          <w:szCs w:val="21"/>
          <w:lang w:val="en-US"/>
        </w:rPr>
        <w:br/>
        <w:t>(with an appropriate cast from Object to StateObservation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1" w:name="_Evaluator_concept"/>
      <w:bookmarkEnd w:id="1"/>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2" w:name="MCTSParams_vs_ParMCTS_fixes"/>
      <w:bookmarkEnd w:id="2"/>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B96327" w:rsidP="00665AAA">
      <w:pPr>
        <w:rPr>
          <w:lang w:val="en-US"/>
        </w:rPr>
      </w:pPr>
      <w:r>
        <w:rPr>
          <w:lang w:val="en-US"/>
        </w:rPr>
        <w:t>TODO: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3" w:name="_Debugging_TDS_(TDAgent)"/>
      <w:bookmarkEnd w:id="3"/>
      <w:r>
        <w:rPr>
          <w:lang w:val="en-US"/>
        </w:rPr>
        <w:t>Deb</w:t>
      </w:r>
      <w:bookmarkStart w:id="4" w:name="Debugging_TDS"/>
      <w:bookmarkEnd w:id="4"/>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bookmarkStart w:id="5" w:name="_GoBack"/>
      <w:bookmarkEnd w:id="5"/>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3208" w:rsidRDefault="00AE3208" w:rsidP="00FE501B">
      <w:pPr>
        <w:spacing w:after="0" w:line="240" w:lineRule="auto"/>
      </w:pPr>
      <w:r>
        <w:separator/>
      </w:r>
    </w:p>
  </w:endnote>
  <w:endnote w:type="continuationSeparator" w:id="0">
    <w:p w:rsidR="00AE3208" w:rsidRDefault="00AE3208"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3208" w:rsidRDefault="00AE3208" w:rsidP="00FE501B">
      <w:pPr>
        <w:spacing w:after="0" w:line="240" w:lineRule="auto"/>
      </w:pPr>
      <w:r>
        <w:separator/>
      </w:r>
    </w:p>
  </w:footnote>
  <w:footnote w:type="continuationSeparator" w:id="0">
    <w:p w:rsidR="00AE3208" w:rsidRDefault="00AE3208" w:rsidP="00FE501B">
      <w:pPr>
        <w:spacing w:after="0" w:line="240" w:lineRule="auto"/>
      </w:pPr>
      <w:r>
        <w:continuationSeparator/>
      </w:r>
    </w:p>
  </w:footnote>
  <w:footnote w:id="1">
    <w:p w:rsidR="00AF589D" w:rsidRPr="00AF589D" w:rsidRDefault="00AF589D">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0F7E6F" w:rsidRPr="00FE501B" w:rsidRDefault="000F7E6F">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3">
    <w:p w:rsidR="000F7E6F" w:rsidRPr="008D1D3C" w:rsidRDefault="000F7E6F"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0F7E6F" w:rsidRPr="00252E7C" w:rsidRDefault="000F7E6F"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0F7E6F" w:rsidRPr="00252E7C" w:rsidRDefault="000F7E6F" w:rsidP="008D1D3C">
      <w:pPr>
        <w:pStyle w:val="Listenabsatz"/>
        <w:numPr>
          <w:ilvl w:val="1"/>
          <w:numId w:val="4"/>
        </w:numPr>
        <w:rPr>
          <w:sz w:val="18"/>
          <w:lang w:val="en-US"/>
        </w:rPr>
      </w:pPr>
      <w:r w:rsidRPr="00252E7C">
        <w:rPr>
          <w:sz w:val="18"/>
          <w:lang w:val="en-US"/>
        </w:rPr>
        <w:t>Catch the InvalidVersionUID exception</w:t>
      </w:r>
    </w:p>
    <w:p w:rsidR="000F7E6F" w:rsidRPr="00252E7C" w:rsidRDefault="000F7E6F"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0F7E6F" w:rsidRPr="00252E7C" w:rsidRDefault="000F7E6F"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0F7E6F" w:rsidRPr="00252E7C" w:rsidRDefault="000F7E6F" w:rsidP="008D1D3C">
      <w:pPr>
        <w:pStyle w:val="Listenabsatz"/>
        <w:numPr>
          <w:ilvl w:val="0"/>
          <w:numId w:val="4"/>
        </w:numPr>
        <w:rPr>
          <w:sz w:val="18"/>
          <w:lang w:val="en-US"/>
        </w:rPr>
      </w:pPr>
      <w:r w:rsidRPr="00252E7C">
        <w:rPr>
          <w:sz w:val="18"/>
          <w:lang w:val="en-US"/>
        </w:rPr>
        <w:t>A first analysis shows that it does not work this way:</w:t>
      </w:r>
    </w:p>
    <w:p w:rsidR="000F7E6F" w:rsidRPr="00252E7C" w:rsidRDefault="000F7E6F"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0F7E6F" w:rsidRPr="00252E7C" w:rsidRDefault="000F7E6F"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0F7E6F" w:rsidRPr="00252E7C" w:rsidRDefault="000F7E6F"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0F7E6F" w:rsidRPr="00252E7C" w:rsidRDefault="000F7E6F"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0F7E6F" w:rsidRDefault="000F7E6F">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4"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799F"/>
    <w:rsid w:val="00014504"/>
    <w:rsid w:val="00022734"/>
    <w:rsid w:val="00082620"/>
    <w:rsid w:val="000C52F5"/>
    <w:rsid w:val="000F7E6F"/>
    <w:rsid w:val="0010188D"/>
    <w:rsid w:val="00111D50"/>
    <w:rsid w:val="00112605"/>
    <w:rsid w:val="00120589"/>
    <w:rsid w:val="001259C0"/>
    <w:rsid w:val="00125AC7"/>
    <w:rsid w:val="00135EC2"/>
    <w:rsid w:val="00136D04"/>
    <w:rsid w:val="001541F1"/>
    <w:rsid w:val="00166863"/>
    <w:rsid w:val="001923CC"/>
    <w:rsid w:val="00192E92"/>
    <w:rsid w:val="001A07D9"/>
    <w:rsid w:val="001A6C6E"/>
    <w:rsid w:val="001B1308"/>
    <w:rsid w:val="001B4387"/>
    <w:rsid w:val="001F5BCA"/>
    <w:rsid w:val="002102AA"/>
    <w:rsid w:val="002108BF"/>
    <w:rsid w:val="002142C5"/>
    <w:rsid w:val="00223FC2"/>
    <w:rsid w:val="00227F2C"/>
    <w:rsid w:val="00252E7C"/>
    <w:rsid w:val="0026577F"/>
    <w:rsid w:val="002718E6"/>
    <w:rsid w:val="00271F32"/>
    <w:rsid w:val="00297E45"/>
    <w:rsid w:val="002A586A"/>
    <w:rsid w:val="002B13E1"/>
    <w:rsid w:val="002B201A"/>
    <w:rsid w:val="002B3F3E"/>
    <w:rsid w:val="002D45E7"/>
    <w:rsid w:val="002F5E30"/>
    <w:rsid w:val="002F72AB"/>
    <w:rsid w:val="003002B0"/>
    <w:rsid w:val="00305AC5"/>
    <w:rsid w:val="00330E46"/>
    <w:rsid w:val="00336D19"/>
    <w:rsid w:val="0033793C"/>
    <w:rsid w:val="00340C7A"/>
    <w:rsid w:val="00346309"/>
    <w:rsid w:val="00361356"/>
    <w:rsid w:val="00367F0C"/>
    <w:rsid w:val="00391DE5"/>
    <w:rsid w:val="0039671E"/>
    <w:rsid w:val="003A6DE1"/>
    <w:rsid w:val="003D5065"/>
    <w:rsid w:val="003E07FD"/>
    <w:rsid w:val="003E55EA"/>
    <w:rsid w:val="003F2501"/>
    <w:rsid w:val="004119E9"/>
    <w:rsid w:val="004204F3"/>
    <w:rsid w:val="004436CA"/>
    <w:rsid w:val="004458F6"/>
    <w:rsid w:val="00450307"/>
    <w:rsid w:val="00456015"/>
    <w:rsid w:val="0045640F"/>
    <w:rsid w:val="004659B1"/>
    <w:rsid w:val="00470AA6"/>
    <w:rsid w:val="00482B3D"/>
    <w:rsid w:val="00492159"/>
    <w:rsid w:val="00495451"/>
    <w:rsid w:val="004A3858"/>
    <w:rsid w:val="004E6F8A"/>
    <w:rsid w:val="004F5668"/>
    <w:rsid w:val="00502981"/>
    <w:rsid w:val="00517C25"/>
    <w:rsid w:val="00541694"/>
    <w:rsid w:val="00551B65"/>
    <w:rsid w:val="0055731D"/>
    <w:rsid w:val="00574E18"/>
    <w:rsid w:val="00574F25"/>
    <w:rsid w:val="00580F24"/>
    <w:rsid w:val="0059564D"/>
    <w:rsid w:val="00597298"/>
    <w:rsid w:val="005A5476"/>
    <w:rsid w:val="005E07FE"/>
    <w:rsid w:val="005E6774"/>
    <w:rsid w:val="005F148B"/>
    <w:rsid w:val="006005CB"/>
    <w:rsid w:val="006331CA"/>
    <w:rsid w:val="00636776"/>
    <w:rsid w:val="00637A0C"/>
    <w:rsid w:val="00637E9E"/>
    <w:rsid w:val="00647B88"/>
    <w:rsid w:val="00652065"/>
    <w:rsid w:val="00654F23"/>
    <w:rsid w:val="00657C3B"/>
    <w:rsid w:val="006654B0"/>
    <w:rsid w:val="00665AAA"/>
    <w:rsid w:val="00674C66"/>
    <w:rsid w:val="0069379A"/>
    <w:rsid w:val="00696727"/>
    <w:rsid w:val="006968A2"/>
    <w:rsid w:val="006B36F7"/>
    <w:rsid w:val="006B5F9D"/>
    <w:rsid w:val="006D6355"/>
    <w:rsid w:val="006E44BA"/>
    <w:rsid w:val="006F5FDF"/>
    <w:rsid w:val="00715F4B"/>
    <w:rsid w:val="00721867"/>
    <w:rsid w:val="00726B07"/>
    <w:rsid w:val="007470C8"/>
    <w:rsid w:val="0075278E"/>
    <w:rsid w:val="00766BD4"/>
    <w:rsid w:val="00775C33"/>
    <w:rsid w:val="007860C2"/>
    <w:rsid w:val="007871FA"/>
    <w:rsid w:val="00796545"/>
    <w:rsid w:val="007A15A8"/>
    <w:rsid w:val="007A3F58"/>
    <w:rsid w:val="007A6A75"/>
    <w:rsid w:val="007A76C9"/>
    <w:rsid w:val="007B681B"/>
    <w:rsid w:val="007C6CB0"/>
    <w:rsid w:val="007D599A"/>
    <w:rsid w:val="007E065E"/>
    <w:rsid w:val="007E12DE"/>
    <w:rsid w:val="007E38BE"/>
    <w:rsid w:val="007F5A07"/>
    <w:rsid w:val="00800C95"/>
    <w:rsid w:val="0083347E"/>
    <w:rsid w:val="00833A74"/>
    <w:rsid w:val="00846FF9"/>
    <w:rsid w:val="008560A6"/>
    <w:rsid w:val="008A3D01"/>
    <w:rsid w:val="008A7CF2"/>
    <w:rsid w:val="008B4F66"/>
    <w:rsid w:val="008C5113"/>
    <w:rsid w:val="008D1D3C"/>
    <w:rsid w:val="008D64D5"/>
    <w:rsid w:val="008F1FAD"/>
    <w:rsid w:val="00904149"/>
    <w:rsid w:val="00931AD0"/>
    <w:rsid w:val="00941833"/>
    <w:rsid w:val="009433E1"/>
    <w:rsid w:val="00946A7B"/>
    <w:rsid w:val="00986FC5"/>
    <w:rsid w:val="00987E80"/>
    <w:rsid w:val="009B02BA"/>
    <w:rsid w:val="009C1F3F"/>
    <w:rsid w:val="009C388B"/>
    <w:rsid w:val="009C411E"/>
    <w:rsid w:val="009D2CFE"/>
    <w:rsid w:val="009D484E"/>
    <w:rsid w:val="009D6929"/>
    <w:rsid w:val="009E33A1"/>
    <w:rsid w:val="00A06567"/>
    <w:rsid w:val="00A2096B"/>
    <w:rsid w:val="00A24830"/>
    <w:rsid w:val="00A24AB9"/>
    <w:rsid w:val="00A27DF4"/>
    <w:rsid w:val="00A72791"/>
    <w:rsid w:val="00A871F1"/>
    <w:rsid w:val="00AB198E"/>
    <w:rsid w:val="00AC2F61"/>
    <w:rsid w:val="00AD1B0C"/>
    <w:rsid w:val="00AE3208"/>
    <w:rsid w:val="00AF3C57"/>
    <w:rsid w:val="00AF589D"/>
    <w:rsid w:val="00B04BF9"/>
    <w:rsid w:val="00B12BC0"/>
    <w:rsid w:val="00B32CB7"/>
    <w:rsid w:val="00B501B3"/>
    <w:rsid w:val="00B60AB7"/>
    <w:rsid w:val="00B61BA3"/>
    <w:rsid w:val="00B75F7B"/>
    <w:rsid w:val="00B76EA3"/>
    <w:rsid w:val="00B7706A"/>
    <w:rsid w:val="00B81FF1"/>
    <w:rsid w:val="00B96327"/>
    <w:rsid w:val="00BA5404"/>
    <w:rsid w:val="00BB1BDE"/>
    <w:rsid w:val="00BC051A"/>
    <w:rsid w:val="00BD2C64"/>
    <w:rsid w:val="00BE5B03"/>
    <w:rsid w:val="00BF0F7A"/>
    <w:rsid w:val="00BF4F35"/>
    <w:rsid w:val="00C102BB"/>
    <w:rsid w:val="00C2177C"/>
    <w:rsid w:val="00C3348D"/>
    <w:rsid w:val="00C45FBF"/>
    <w:rsid w:val="00C803C4"/>
    <w:rsid w:val="00CA7DA1"/>
    <w:rsid w:val="00CD4153"/>
    <w:rsid w:val="00CE3E7F"/>
    <w:rsid w:val="00CF7F26"/>
    <w:rsid w:val="00D10571"/>
    <w:rsid w:val="00D13FB6"/>
    <w:rsid w:val="00D33E44"/>
    <w:rsid w:val="00D56B7C"/>
    <w:rsid w:val="00D61AE2"/>
    <w:rsid w:val="00DC01A6"/>
    <w:rsid w:val="00DC1760"/>
    <w:rsid w:val="00DC24E1"/>
    <w:rsid w:val="00DD274D"/>
    <w:rsid w:val="00E02A3C"/>
    <w:rsid w:val="00E07249"/>
    <w:rsid w:val="00E21748"/>
    <w:rsid w:val="00E24170"/>
    <w:rsid w:val="00E2649A"/>
    <w:rsid w:val="00E31258"/>
    <w:rsid w:val="00E55B58"/>
    <w:rsid w:val="00E603E3"/>
    <w:rsid w:val="00E96F7A"/>
    <w:rsid w:val="00F141E1"/>
    <w:rsid w:val="00F258F4"/>
    <w:rsid w:val="00F35C3E"/>
    <w:rsid w:val="00F42239"/>
    <w:rsid w:val="00F45204"/>
    <w:rsid w:val="00F5064B"/>
    <w:rsid w:val="00F74AD0"/>
    <w:rsid w:val="00F82174"/>
    <w:rsid w:val="00FA3ECB"/>
    <w:rsid w:val="00FA4452"/>
    <w:rsid w:val="00FC6264"/>
    <w:rsid w:val="00FC6940"/>
    <w:rsid w:val="00FE50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36EE"/>
  <w15:chartTrackingRefBased/>
  <w15:docId w15:val="{72BC5358-7253-4E19-98BC-3543EDFE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09252-59AA-448C-B470-C1494BFD5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3616</Words>
  <Characters>22781</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13</cp:revision>
  <cp:lastPrinted>2017-06-19T13:58:00Z</cp:lastPrinted>
  <dcterms:created xsi:type="dcterms:W3CDTF">2017-05-03T07:03:00Z</dcterms:created>
  <dcterms:modified xsi:type="dcterms:W3CDTF">2017-10-31T12:30:00Z</dcterms:modified>
</cp:coreProperties>
</file>