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CD25" w14:textId="77777777" w:rsidR="00F3760C" w:rsidRPr="00F3760C" w:rsidRDefault="00F3760C" w:rsidP="00F3760C">
      <w:pPr>
        <w:rPr>
          <w:b/>
          <w:bCs/>
        </w:rPr>
      </w:pPr>
      <w:r w:rsidRPr="00F3760C">
        <w:rPr>
          <w:b/>
          <w:bCs/>
        </w:rPr>
        <w:t>Reflexión crítica sobre el uso del modelo de Análisis Discriminante Lineal (LDA)</w:t>
      </w:r>
    </w:p>
    <w:p w14:paraId="5958E4DF" w14:textId="77777777" w:rsidR="00F3760C" w:rsidRPr="00F3760C" w:rsidRDefault="00F3760C" w:rsidP="00F3760C">
      <w:pPr>
        <w:rPr>
          <w:b/>
          <w:bCs/>
        </w:rPr>
      </w:pPr>
      <w:r w:rsidRPr="00F3760C">
        <w:rPr>
          <w:b/>
          <w:bCs/>
        </w:rPr>
        <w:t>1. ¿Cuáles son las posibles limitaciones del Análisis Discriminante Lineal en problemas de clasificación con datos no lineales?</w:t>
      </w:r>
    </w:p>
    <w:p w14:paraId="42513673" w14:textId="77777777" w:rsidR="00F3760C" w:rsidRPr="00F3760C" w:rsidRDefault="00F3760C" w:rsidP="00F3760C">
      <w:r w:rsidRPr="00F3760C">
        <w:t xml:space="preserve">El Análisis Discriminante Lineal (LDA) parte de la suposición fundamental de que las clases presentan una distribución normal multivariada con matrices de covarianza idénticas. Esta condición implica que la frontera de decisión entre las clases será lineal. Sin embargo, cuando los datos reales presentan distribuciones complejas, no lineales o altamente entrelazadas —como suele ocurrir en contextos socioeconómicos donde existen múltiples factores interdependientes— LDA pierde capacidad de generalización. En dichos casos, su desempeño puede ser inferior al de otros algoritmos que sí modelan relaciones no lineales, como las máquinas de soporte vectorial (SVM con </w:t>
      </w:r>
      <w:proofErr w:type="spellStart"/>
      <w:r w:rsidRPr="00F3760C">
        <w:t>kernels</w:t>
      </w:r>
      <w:proofErr w:type="spellEnd"/>
      <w:r w:rsidRPr="00F3760C">
        <w:t xml:space="preserve"> no lineales) o las redes neuronales profundas. Esta limitación puede conducir a clasificaciones erróneas, especialmente en los extremos de la distribución, donde los individuos se desvían de los patrones generales.</w:t>
      </w:r>
    </w:p>
    <w:p w14:paraId="40A2A1C9" w14:textId="77777777" w:rsidR="00F3760C" w:rsidRPr="00F3760C" w:rsidRDefault="00F3760C" w:rsidP="00F3760C">
      <w:pPr>
        <w:rPr>
          <w:b/>
          <w:bCs/>
        </w:rPr>
      </w:pPr>
      <w:r w:rsidRPr="00F3760C">
        <w:rPr>
          <w:b/>
          <w:bCs/>
        </w:rPr>
        <w:t>2. ¿Qué implicaciones éticas pueden surgir al utilizar modelos predictivos para evaluar la solvencia financiera de una persona?</w:t>
      </w:r>
    </w:p>
    <w:p w14:paraId="3A2564DA" w14:textId="77777777" w:rsidR="00F3760C" w:rsidRPr="00F3760C" w:rsidRDefault="00F3760C" w:rsidP="00F3760C">
      <w:r w:rsidRPr="00F3760C">
        <w:t xml:space="preserve">El uso de modelos estadísticos para determinar la solvencia financiera introduce una dimensión ética crítica, pues las decisiones tomadas por estos modelos pueden afectar directamente el acceso a créditos, hipotecas o seguros. Una implicación ética relevante es el riesgo de discriminación algorítmica: si los datos de entrenamiento contienen sesgos históricos (por ejemplo, mayor tasa de morosidad en ciertos grupos sociales por causas estructurales y no por solvencia real), el modelo puede perpetuar estas injusticias. Además, la falta de transparencia en los criterios de clasificación puede generar desconfianza en los solicitantes, quienes no comprenderán por qué fueron considerados no solventes. Por tanto, el diseño e implementación de estos modelos debe observar principios éticos como la equidad, la </w:t>
      </w:r>
      <w:proofErr w:type="spellStart"/>
      <w:r w:rsidRPr="00F3760C">
        <w:t>explicabilidad</w:t>
      </w:r>
      <w:proofErr w:type="spellEnd"/>
      <w:r w:rsidRPr="00F3760C">
        <w:t xml:space="preserve"> y la no discriminación, promoviendo la justicia algorítmica.</w:t>
      </w:r>
    </w:p>
    <w:p w14:paraId="479AC7F3" w14:textId="77777777" w:rsidR="00F3760C" w:rsidRPr="00F3760C" w:rsidRDefault="00F3760C" w:rsidP="00F3760C">
      <w:pPr>
        <w:rPr>
          <w:b/>
          <w:bCs/>
        </w:rPr>
      </w:pPr>
      <w:r w:rsidRPr="00F3760C">
        <w:rPr>
          <w:b/>
          <w:bCs/>
        </w:rPr>
        <w:t>3. ¿Cómo se compara LDA con otros algoritmos de clasificación, como máquinas de soporte vectorial o redes neuronales?</w:t>
      </w:r>
    </w:p>
    <w:p w14:paraId="17F59D6E" w14:textId="77777777" w:rsidR="00F3760C" w:rsidRPr="00F3760C" w:rsidRDefault="00F3760C" w:rsidP="00F3760C">
      <w:r w:rsidRPr="00F3760C">
        <w:t xml:space="preserve">En comparación con las máquinas de soporte vectorial (SVM) y las redes neuronales, LDA destaca por su simplicidad matemática y su interpretabilidad. Mientras que LDA proyecta los datos en un subespacio lineal que maximiza la separabilidad entre clases, las SVM pueden aprovechar </w:t>
      </w:r>
      <w:proofErr w:type="spellStart"/>
      <w:r w:rsidRPr="00F3760C">
        <w:t>kernels</w:t>
      </w:r>
      <w:proofErr w:type="spellEnd"/>
      <w:r w:rsidRPr="00F3760C">
        <w:t xml:space="preserve"> para identificar fronteras de decisión no lineales, logrando mejor rendimiento en problemas donde la linealidad no es </w:t>
      </w:r>
      <w:r w:rsidRPr="00F3760C">
        <w:lastRenderedPageBreak/>
        <w:t>adecuada. Las redes neuronales, por su parte, poseen una capacidad de aproximación universal, permitiendo capturar relaciones altamente complejas entre variables, pero a costa de una mayor demanda computacional y una menor interpretabilidad. Así, mientras que LDA es útil en entornos con datos estructurados, baja dimensionalidad y relaciones lineales, SVM y redes neuronales son preferibles cuando se busca alta precisión en dominios complejos con gran cantidad de datos.</w:t>
      </w:r>
    </w:p>
    <w:p w14:paraId="44A54ADE" w14:textId="77777777" w:rsidR="00F3760C" w:rsidRPr="00F3760C" w:rsidRDefault="00F3760C" w:rsidP="00F3760C">
      <w:pPr>
        <w:rPr>
          <w:b/>
          <w:bCs/>
        </w:rPr>
      </w:pPr>
      <w:r w:rsidRPr="00F3760C">
        <w:rPr>
          <w:b/>
          <w:bCs/>
        </w:rPr>
        <w:t>4. Si los datos financieros incluyen sesgos sistemáticos, ¿cómo podría afectar esto la decisión final del modelo y qué estrategias pueden mitigar el problema?</w:t>
      </w:r>
    </w:p>
    <w:p w14:paraId="1436128C" w14:textId="77777777" w:rsidR="00F3760C" w:rsidRPr="00F3760C" w:rsidRDefault="00F3760C" w:rsidP="00F3760C">
      <w:r w:rsidRPr="00F3760C">
        <w:t xml:space="preserve">Los sesgos sistemáticos en los datos, como la sobrerrepresentación de ciertos grupos socioeconómicos o patrones históricos de exclusión financiera, pueden inducir al modelo a reproducir y reforzar desigualdades existentes. Por ejemplo, si un modelo aprende que los habitantes de ciertas zonas geográficas tienen mayor probabilidad de morosidad, podría rechazar automáticamente a futuros solicitantes de esas áreas, incluso si su perfil individual es solvente. Esto atenta contra el principio de equidad. Para mitigar este problema, se deben aplicar técnicas de auditoría algorítmica y desbalanceo, como el </w:t>
      </w:r>
      <w:proofErr w:type="spellStart"/>
      <w:r w:rsidRPr="00F3760C">
        <w:rPr>
          <w:i/>
          <w:iCs/>
        </w:rPr>
        <w:t>reweighting</w:t>
      </w:r>
      <w:proofErr w:type="spellEnd"/>
      <w:r w:rsidRPr="00F3760C">
        <w:t xml:space="preserve"> de clases, la remoción de atributos sensibles (género, etnia, etc.) o la generación de conjuntos de entrenamiento balanceados. Además, deben emplearse métricas de equidad (</w:t>
      </w:r>
      <w:proofErr w:type="spellStart"/>
      <w:r w:rsidRPr="00F3760C">
        <w:t>fairness</w:t>
      </w:r>
      <w:proofErr w:type="spellEnd"/>
      <w:r w:rsidRPr="00F3760C">
        <w:t>) junto a las tradicionales de rendimiento, y realizarse validaciones cruzadas estratificadas para asegurar una generalización ética.</w:t>
      </w:r>
    </w:p>
    <w:p w14:paraId="79724DE9" w14:textId="77777777" w:rsidR="00F3760C" w:rsidRPr="00F3760C" w:rsidRDefault="00F3760C" w:rsidP="00F3760C">
      <w:pPr>
        <w:rPr>
          <w:b/>
          <w:bCs/>
        </w:rPr>
      </w:pPr>
      <w:r w:rsidRPr="00F3760C">
        <w:rPr>
          <w:b/>
          <w:bCs/>
        </w:rPr>
        <w:t>5. ¿Cómo podrías mejorar la interpretabilidad del modelo para hacerlo más comprensible para tomadores de decisiones sin experiencia en análisis de datos?</w:t>
      </w:r>
    </w:p>
    <w:p w14:paraId="3123E7AB" w14:textId="77777777" w:rsidR="00F3760C" w:rsidRPr="00F3760C" w:rsidRDefault="00F3760C" w:rsidP="00F3760C">
      <w:r w:rsidRPr="00F3760C">
        <w:t>La interpretabilidad es clave en contextos donde el modelo influye en decisiones humanas sensibles, como la aprobación de créditos. En el caso de LDA, la función discriminante puede explicarse en términos de combinaciones lineales de variables que maximizan la diferencia entre las medias de clases, lo que permite construir explicaciones transparentes. Para mejorar la comprensión de tomadores de decisiones no técnicos, se pueden aplicar las siguientes estrategias:</w:t>
      </w:r>
    </w:p>
    <w:p w14:paraId="497B670F" w14:textId="77777777" w:rsidR="00F3760C" w:rsidRPr="00F3760C" w:rsidRDefault="00F3760C" w:rsidP="00F3760C">
      <w:pPr>
        <w:numPr>
          <w:ilvl w:val="0"/>
          <w:numId w:val="9"/>
        </w:numPr>
      </w:pPr>
      <w:r w:rsidRPr="00F3760C">
        <w:t>Utilizar visualizaciones intuitivas, como gráficas de dispersión proyectadas en el eje discriminante y diagramas de importancia de variables.</w:t>
      </w:r>
    </w:p>
    <w:p w14:paraId="1E2D7F6C" w14:textId="77777777" w:rsidR="00F3760C" w:rsidRPr="00F3760C" w:rsidRDefault="00F3760C" w:rsidP="00F3760C">
      <w:pPr>
        <w:numPr>
          <w:ilvl w:val="0"/>
          <w:numId w:val="9"/>
        </w:numPr>
      </w:pPr>
      <w:r w:rsidRPr="00F3760C">
        <w:t>Descomponer la función discriminante en aportes individuales de cada característica, explicando en lenguaje claro cómo influye cada variable.</w:t>
      </w:r>
    </w:p>
    <w:p w14:paraId="527E04F6" w14:textId="77777777" w:rsidR="00F3760C" w:rsidRPr="00F3760C" w:rsidRDefault="00F3760C" w:rsidP="00F3760C">
      <w:pPr>
        <w:numPr>
          <w:ilvl w:val="0"/>
          <w:numId w:val="9"/>
        </w:numPr>
      </w:pPr>
      <w:r w:rsidRPr="00F3760C">
        <w:t>Generar ejemplos contrafactuales: mostrar cómo cambiarían las decisiones del modelo si ciertas variables del solicitante fueran diferentes.</w:t>
      </w:r>
    </w:p>
    <w:p w14:paraId="47912A15" w14:textId="77777777" w:rsidR="00F3760C" w:rsidRPr="00F3760C" w:rsidRDefault="00F3760C" w:rsidP="00F3760C">
      <w:pPr>
        <w:numPr>
          <w:ilvl w:val="0"/>
          <w:numId w:val="9"/>
        </w:numPr>
      </w:pPr>
      <w:r w:rsidRPr="00F3760C">
        <w:lastRenderedPageBreak/>
        <w:t>Incorporar herramientas de interpretabilidad local como LIME o SHAP que generan explicaciones comprensibles a partir de modelos complejos.</w:t>
      </w:r>
    </w:p>
    <w:p w14:paraId="27B9518C" w14:textId="1F7F71E2" w:rsidR="00F3760C" w:rsidRPr="00F3760C" w:rsidRDefault="00F3760C" w:rsidP="00F3760C">
      <w:r w:rsidRPr="00702A57">
        <w:rPr>
          <w:rFonts w:ascii="Arial" w:hAnsi="Arial" w:cs="Arial"/>
          <w:noProof/>
        </w:rPr>
        <w:drawing>
          <wp:anchor distT="0" distB="0" distL="114300" distR="114300" simplePos="0" relativeHeight="251672576" behindDoc="1" locked="0" layoutInCell="1" allowOverlap="1" wp14:anchorId="51BBF7CE" wp14:editId="14C69DBA">
            <wp:simplePos x="0" y="0"/>
            <wp:positionH relativeFrom="column">
              <wp:posOffset>-150059</wp:posOffset>
            </wp:positionH>
            <wp:positionV relativeFrom="paragraph">
              <wp:posOffset>4161876</wp:posOffset>
            </wp:positionV>
            <wp:extent cx="2543175" cy="1652270"/>
            <wp:effectExtent l="19050" t="19050" r="28575" b="24130"/>
            <wp:wrapTight wrapText="bothSides">
              <wp:wrapPolygon edited="0">
                <wp:start x="-162" y="-249"/>
                <wp:lineTo x="-162" y="21666"/>
                <wp:lineTo x="21681" y="21666"/>
                <wp:lineTo x="21681" y="-249"/>
                <wp:lineTo x="-162" y="-249"/>
              </wp:wrapPolygon>
            </wp:wrapTight>
            <wp:docPr id="1926634214" name="Picture 1" descr="A graph of data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34214" name="Picture 1" descr="A graph of data with numbers and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3175" cy="165227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702A57">
        <w:rPr>
          <w:rFonts w:ascii="Arial" w:hAnsi="Arial" w:cs="Arial"/>
          <w:noProof/>
        </w:rPr>
        <w:drawing>
          <wp:anchor distT="0" distB="0" distL="114300" distR="114300" simplePos="0" relativeHeight="251668480" behindDoc="1" locked="0" layoutInCell="1" allowOverlap="1" wp14:anchorId="64209E7A" wp14:editId="7503259B">
            <wp:simplePos x="0" y="0"/>
            <wp:positionH relativeFrom="column">
              <wp:posOffset>29845</wp:posOffset>
            </wp:positionH>
            <wp:positionV relativeFrom="paragraph">
              <wp:posOffset>1997710</wp:posOffset>
            </wp:positionV>
            <wp:extent cx="2367280" cy="1932305"/>
            <wp:effectExtent l="19050" t="19050" r="13970" b="10795"/>
            <wp:wrapTopAndBottom/>
            <wp:docPr id="316391974" name="Picture 1" descr="A graph of confusion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91974" name="Picture 1" descr="A graph of confusion with blue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67280" cy="193230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702A57">
        <w:rPr>
          <w:rFonts w:ascii="Arial" w:hAnsi="Arial" w:cs="Arial"/>
          <w:noProof/>
        </w:rPr>
        <w:drawing>
          <wp:anchor distT="0" distB="0" distL="114300" distR="114300" simplePos="0" relativeHeight="251670528" behindDoc="1" locked="0" layoutInCell="1" allowOverlap="1" wp14:anchorId="46B86266" wp14:editId="0BC0F812">
            <wp:simplePos x="0" y="0"/>
            <wp:positionH relativeFrom="margin">
              <wp:posOffset>2977515</wp:posOffset>
            </wp:positionH>
            <wp:positionV relativeFrom="paragraph">
              <wp:posOffset>210185</wp:posOffset>
            </wp:positionV>
            <wp:extent cx="2423795" cy="1618615"/>
            <wp:effectExtent l="19050" t="19050" r="14605" b="19685"/>
            <wp:wrapTight wrapText="bothSides">
              <wp:wrapPolygon edited="0">
                <wp:start x="-170" y="-254"/>
                <wp:lineTo x="-170" y="21608"/>
                <wp:lineTo x="21560" y="21608"/>
                <wp:lineTo x="21560" y="-254"/>
                <wp:lineTo x="-170" y="-254"/>
              </wp:wrapPolygon>
            </wp:wrapTight>
            <wp:docPr id="1208919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19940"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23795" cy="161861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C51192">
        <w:rPr>
          <w:rFonts w:ascii="Arial" w:hAnsi="Arial" w:cs="Arial"/>
          <w:noProof/>
        </w:rPr>
        <w:drawing>
          <wp:anchor distT="0" distB="0" distL="114300" distR="114300" simplePos="0" relativeHeight="251664384" behindDoc="1" locked="0" layoutInCell="1" allowOverlap="1" wp14:anchorId="5F6469DF" wp14:editId="61FAFE85">
            <wp:simplePos x="0" y="0"/>
            <wp:positionH relativeFrom="column">
              <wp:posOffset>-198764</wp:posOffset>
            </wp:positionH>
            <wp:positionV relativeFrom="paragraph">
              <wp:posOffset>290357</wp:posOffset>
            </wp:positionV>
            <wp:extent cx="2966720" cy="1384300"/>
            <wp:effectExtent l="19050" t="19050" r="24130" b="25400"/>
            <wp:wrapTight wrapText="bothSides">
              <wp:wrapPolygon edited="0">
                <wp:start x="-139" y="-297"/>
                <wp:lineTo x="-139" y="21699"/>
                <wp:lineTo x="21637" y="21699"/>
                <wp:lineTo x="21637" y="-297"/>
                <wp:lineTo x="-139" y="-297"/>
              </wp:wrapPolygon>
            </wp:wrapTight>
            <wp:docPr id="38184965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9651" name="Picture 1" descr="A graph of a graph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t="2179" b="-1"/>
                    <a:stretch/>
                  </pic:blipFill>
                  <pic:spPr bwMode="auto">
                    <a:xfrm>
                      <a:off x="0" y="0"/>
                      <a:ext cx="2966720" cy="13843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A3BD8C" w14:textId="0BDD98FA" w:rsidR="00F3760C" w:rsidRDefault="00F3760C">
      <w:r w:rsidRPr="005D01E6">
        <w:rPr>
          <w:rFonts w:ascii="Arial" w:hAnsi="Arial" w:cs="Arial"/>
          <w:noProof/>
        </w:rPr>
        <w:drawing>
          <wp:anchor distT="0" distB="0" distL="114300" distR="114300" simplePos="0" relativeHeight="251673600" behindDoc="0" locked="0" layoutInCell="1" allowOverlap="1" wp14:anchorId="356E9773" wp14:editId="15A47A78">
            <wp:simplePos x="0" y="0"/>
            <wp:positionH relativeFrom="column">
              <wp:posOffset>3039716</wp:posOffset>
            </wp:positionH>
            <wp:positionV relativeFrom="paragraph">
              <wp:posOffset>4268982</wp:posOffset>
            </wp:positionV>
            <wp:extent cx="2520950" cy="1068705"/>
            <wp:effectExtent l="19050" t="19050" r="12700" b="17145"/>
            <wp:wrapTopAndBottom/>
            <wp:docPr id="550452608" name="Picture 1" descr="A close-up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2608" name="Picture 1" descr="A close-up of a white shee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950" cy="106870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C51192">
        <w:rPr>
          <w:rFonts w:ascii="Arial" w:hAnsi="Arial" w:cs="Arial"/>
          <w:noProof/>
        </w:rPr>
        <w:drawing>
          <wp:anchor distT="0" distB="0" distL="114300" distR="114300" simplePos="0" relativeHeight="251659264" behindDoc="1" locked="0" layoutInCell="1" allowOverlap="1" wp14:anchorId="4C5D7AD6" wp14:editId="38D56DCE">
            <wp:simplePos x="0" y="0"/>
            <wp:positionH relativeFrom="column">
              <wp:posOffset>2972378</wp:posOffset>
            </wp:positionH>
            <wp:positionV relativeFrom="paragraph">
              <wp:posOffset>1830468</wp:posOffset>
            </wp:positionV>
            <wp:extent cx="2538095" cy="2015490"/>
            <wp:effectExtent l="19050" t="19050" r="14605" b="22860"/>
            <wp:wrapTopAndBottom/>
            <wp:docPr id="620573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388"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38095" cy="201549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071BEEB" w14:textId="7BA7714C" w:rsidR="00F3760C" w:rsidRDefault="00F3760C">
      <w:r w:rsidRPr="00C51192">
        <w:rPr>
          <w:rFonts w:ascii="Arial" w:hAnsi="Arial" w:cs="Arial"/>
          <w:noProof/>
        </w:rPr>
        <w:drawing>
          <wp:anchor distT="0" distB="0" distL="114300" distR="114300" simplePos="0" relativeHeight="251666432" behindDoc="1" locked="0" layoutInCell="1" allowOverlap="1" wp14:anchorId="568F5D7B" wp14:editId="12B06F24">
            <wp:simplePos x="0" y="0"/>
            <wp:positionH relativeFrom="column">
              <wp:posOffset>3305810</wp:posOffset>
            </wp:positionH>
            <wp:positionV relativeFrom="paragraph">
              <wp:posOffset>1399056</wp:posOffset>
            </wp:positionV>
            <wp:extent cx="2096135" cy="1014095"/>
            <wp:effectExtent l="19050" t="19050" r="18415" b="14605"/>
            <wp:wrapTight wrapText="bothSides">
              <wp:wrapPolygon edited="0">
                <wp:start x="-196" y="-406"/>
                <wp:lineTo x="-196" y="21505"/>
                <wp:lineTo x="21593" y="21505"/>
                <wp:lineTo x="21593" y="-406"/>
                <wp:lineTo x="-196" y="-406"/>
              </wp:wrapPolygon>
            </wp:wrapTight>
            <wp:docPr id="1600917383" name="Picture 1" descr="A diagram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17383" name="Picture 1" descr="A diagram of a ba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6135" cy="101409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66468CCD" w14:textId="2C9BA56B" w:rsidR="00F3760C" w:rsidRDefault="00F3760C">
      <w:r w:rsidRPr="00C51192">
        <w:rPr>
          <w:rFonts w:ascii="Arial" w:hAnsi="Arial" w:cs="Arial"/>
          <w:noProof/>
        </w:rPr>
        <w:drawing>
          <wp:anchor distT="0" distB="0" distL="114300" distR="114300" simplePos="0" relativeHeight="251662336" behindDoc="1" locked="0" layoutInCell="1" allowOverlap="1" wp14:anchorId="5710766A" wp14:editId="61B25D41">
            <wp:simplePos x="0" y="0"/>
            <wp:positionH relativeFrom="column">
              <wp:posOffset>-201674</wp:posOffset>
            </wp:positionH>
            <wp:positionV relativeFrom="paragraph">
              <wp:posOffset>172369</wp:posOffset>
            </wp:positionV>
            <wp:extent cx="2066290" cy="1372870"/>
            <wp:effectExtent l="19050" t="19050" r="10160" b="17780"/>
            <wp:wrapTight wrapText="bothSides">
              <wp:wrapPolygon edited="0">
                <wp:start x="-199" y="-300"/>
                <wp:lineTo x="-199" y="21580"/>
                <wp:lineTo x="21507" y="21580"/>
                <wp:lineTo x="21507" y="-300"/>
                <wp:lineTo x="-199" y="-300"/>
              </wp:wrapPolygon>
            </wp:wrapTight>
            <wp:docPr id="2426884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8451" name="Picture 1" descr="A graph of a func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6290" cy="137287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BE7FBBD" w14:textId="201BE090" w:rsidR="00F3760C" w:rsidRDefault="00F3760C"/>
    <w:sectPr w:rsidR="00F376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E28"/>
    <w:multiLevelType w:val="multilevel"/>
    <w:tmpl w:val="4FE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534F1"/>
    <w:multiLevelType w:val="multilevel"/>
    <w:tmpl w:val="9DD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F0EE9"/>
    <w:multiLevelType w:val="multilevel"/>
    <w:tmpl w:val="64C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02D68"/>
    <w:multiLevelType w:val="multilevel"/>
    <w:tmpl w:val="52C4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E3B49"/>
    <w:multiLevelType w:val="multilevel"/>
    <w:tmpl w:val="3D0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74E54"/>
    <w:multiLevelType w:val="multilevel"/>
    <w:tmpl w:val="65E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E2C4C"/>
    <w:multiLevelType w:val="multilevel"/>
    <w:tmpl w:val="354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35383"/>
    <w:multiLevelType w:val="multilevel"/>
    <w:tmpl w:val="1D0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A364B"/>
    <w:multiLevelType w:val="multilevel"/>
    <w:tmpl w:val="16B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286617">
    <w:abstractNumId w:val="0"/>
  </w:num>
  <w:num w:numId="2" w16cid:durableId="1828472693">
    <w:abstractNumId w:val="4"/>
  </w:num>
  <w:num w:numId="3" w16cid:durableId="613025397">
    <w:abstractNumId w:val="2"/>
  </w:num>
  <w:num w:numId="4" w16cid:durableId="348026496">
    <w:abstractNumId w:val="8"/>
  </w:num>
  <w:num w:numId="5" w16cid:durableId="361170551">
    <w:abstractNumId w:val="6"/>
  </w:num>
  <w:num w:numId="6" w16cid:durableId="1704402012">
    <w:abstractNumId w:val="7"/>
  </w:num>
  <w:num w:numId="7" w16cid:durableId="250042153">
    <w:abstractNumId w:val="5"/>
  </w:num>
  <w:num w:numId="8" w16cid:durableId="1174882722">
    <w:abstractNumId w:val="1"/>
  </w:num>
  <w:num w:numId="9" w16cid:durableId="1045254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0C"/>
    <w:rsid w:val="00422158"/>
    <w:rsid w:val="00F376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4B55"/>
  <w15:chartTrackingRefBased/>
  <w15:docId w15:val="{6E61DE03-B6F8-4D2C-AC80-C2755226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60C"/>
  </w:style>
  <w:style w:type="paragraph" w:styleId="Ttulo1">
    <w:name w:val="heading 1"/>
    <w:basedOn w:val="Normal"/>
    <w:next w:val="Normal"/>
    <w:link w:val="Ttulo1Car"/>
    <w:uiPriority w:val="9"/>
    <w:qFormat/>
    <w:rsid w:val="00F37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7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76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76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76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76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6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6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6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6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76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76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76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76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76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6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6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60C"/>
    <w:rPr>
      <w:rFonts w:eastAsiaTheme="majorEastAsia" w:cstheme="majorBidi"/>
      <w:color w:val="272727" w:themeColor="text1" w:themeTint="D8"/>
    </w:rPr>
  </w:style>
  <w:style w:type="paragraph" w:styleId="Ttulo">
    <w:name w:val="Title"/>
    <w:basedOn w:val="Normal"/>
    <w:next w:val="Normal"/>
    <w:link w:val="TtuloCar"/>
    <w:uiPriority w:val="10"/>
    <w:qFormat/>
    <w:rsid w:val="00F37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6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6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6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60C"/>
    <w:pPr>
      <w:spacing w:before="160"/>
      <w:jc w:val="center"/>
    </w:pPr>
    <w:rPr>
      <w:i/>
      <w:iCs/>
      <w:color w:val="404040" w:themeColor="text1" w:themeTint="BF"/>
    </w:rPr>
  </w:style>
  <w:style w:type="character" w:customStyle="1" w:styleId="CitaCar">
    <w:name w:val="Cita Car"/>
    <w:basedOn w:val="Fuentedeprrafopredeter"/>
    <w:link w:val="Cita"/>
    <w:uiPriority w:val="29"/>
    <w:rsid w:val="00F3760C"/>
    <w:rPr>
      <w:i/>
      <w:iCs/>
      <w:color w:val="404040" w:themeColor="text1" w:themeTint="BF"/>
    </w:rPr>
  </w:style>
  <w:style w:type="paragraph" w:styleId="Prrafodelista">
    <w:name w:val="List Paragraph"/>
    <w:basedOn w:val="Normal"/>
    <w:uiPriority w:val="34"/>
    <w:qFormat/>
    <w:rsid w:val="00F3760C"/>
    <w:pPr>
      <w:ind w:left="720"/>
      <w:contextualSpacing/>
    </w:pPr>
  </w:style>
  <w:style w:type="character" w:styleId="nfasisintenso">
    <w:name w:val="Intense Emphasis"/>
    <w:basedOn w:val="Fuentedeprrafopredeter"/>
    <w:uiPriority w:val="21"/>
    <w:qFormat/>
    <w:rsid w:val="00F3760C"/>
    <w:rPr>
      <w:i/>
      <w:iCs/>
      <w:color w:val="0F4761" w:themeColor="accent1" w:themeShade="BF"/>
    </w:rPr>
  </w:style>
  <w:style w:type="paragraph" w:styleId="Citadestacada">
    <w:name w:val="Intense Quote"/>
    <w:basedOn w:val="Normal"/>
    <w:next w:val="Normal"/>
    <w:link w:val="CitadestacadaCar"/>
    <w:uiPriority w:val="30"/>
    <w:qFormat/>
    <w:rsid w:val="00F37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760C"/>
    <w:rPr>
      <w:i/>
      <w:iCs/>
      <w:color w:val="0F4761" w:themeColor="accent1" w:themeShade="BF"/>
    </w:rPr>
  </w:style>
  <w:style w:type="character" w:styleId="Referenciaintensa">
    <w:name w:val="Intense Reference"/>
    <w:basedOn w:val="Fuentedeprrafopredeter"/>
    <w:uiPriority w:val="32"/>
    <w:qFormat/>
    <w:rsid w:val="00F37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3767">
      <w:bodyDiv w:val="1"/>
      <w:marLeft w:val="0"/>
      <w:marRight w:val="0"/>
      <w:marTop w:val="0"/>
      <w:marBottom w:val="0"/>
      <w:divBdr>
        <w:top w:val="none" w:sz="0" w:space="0" w:color="auto"/>
        <w:left w:val="none" w:sz="0" w:space="0" w:color="auto"/>
        <w:bottom w:val="none" w:sz="0" w:space="0" w:color="auto"/>
        <w:right w:val="none" w:sz="0" w:space="0" w:color="auto"/>
      </w:divBdr>
    </w:div>
    <w:div w:id="124201730">
      <w:bodyDiv w:val="1"/>
      <w:marLeft w:val="0"/>
      <w:marRight w:val="0"/>
      <w:marTop w:val="0"/>
      <w:marBottom w:val="0"/>
      <w:divBdr>
        <w:top w:val="none" w:sz="0" w:space="0" w:color="auto"/>
        <w:left w:val="none" w:sz="0" w:space="0" w:color="auto"/>
        <w:bottom w:val="none" w:sz="0" w:space="0" w:color="auto"/>
        <w:right w:val="none" w:sz="0" w:space="0" w:color="auto"/>
      </w:divBdr>
    </w:div>
    <w:div w:id="741565977">
      <w:bodyDiv w:val="1"/>
      <w:marLeft w:val="0"/>
      <w:marRight w:val="0"/>
      <w:marTop w:val="0"/>
      <w:marBottom w:val="0"/>
      <w:divBdr>
        <w:top w:val="none" w:sz="0" w:space="0" w:color="auto"/>
        <w:left w:val="none" w:sz="0" w:space="0" w:color="auto"/>
        <w:bottom w:val="none" w:sz="0" w:space="0" w:color="auto"/>
        <w:right w:val="none" w:sz="0" w:space="0" w:color="auto"/>
      </w:divBdr>
    </w:div>
    <w:div w:id="907687440">
      <w:bodyDiv w:val="1"/>
      <w:marLeft w:val="0"/>
      <w:marRight w:val="0"/>
      <w:marTop w:val="0"/>
      <w:marBottom w:val="0"/>
      <w:divBdr>
        <w:top w:val="none" w:sz="0" w:space="0" w:color="auto"/>
        <w:left w:val="none" w:sz="0" w:space="0" w:color="auto"/>
        <w:bottom w:val="none" w:sz="0" w:space="0" w:color="auto"/>
        <w:right w:val="none" w:sz="0" w:space="0" w:color="auto"/>
      </w:divBdr>
    </w:div>
    <w:div w:id="1198278487">
      <w:bodyDiv w:val="1"/>
      <w:marLeft w:val="0"/>
      <w:marRight w:val="0"/>
      <w:marTop w:val="0"/>
      <w:marBottom w:val="0"/>
      <w:divBdr>
        <w:top w:val="none" w:sz="0" w:space="0" w:color="auto"/>
        <w:left w:val="none" w:sz="0" w:space="0" w:color="auto"/>
        <w:bottom w:val="none" w:sz="0" w:space="0" w:color="auto"/>
        <w:right w:val="none" w:sz="0" w:space="0" w:color="auto"/>
      </w:divBdr>
    </w:div>
    <w:div w:id="1226839380">
      <w:bodyDiv w:val="1"/>
      <w:marLeft w:val="0"/>
      <w:marRight w:val="0"/>
      <w:marTop w:val="0"/>
      <w:marBottom w:val="0"/>
      <w:divBdr>
        <w:top w:val="none" w:sz="0" w:space="0" w:color="auto"/>
        <w:left w:val="none" w:sz="0" w:space="0" w:color="auto"/>
        <w:bottom w:val="none" w:sz="0" w:space="0" w:color="auto"/>
        <w:right w:val="none" w:sz="0" w:space="0" w:color="auto"/>
      </w:divBdr>
    </w:div>
    <w:div w:id="1418164756">
      <w:bodyDiv w:val="1"/>
      <w:marLeft w:val="0"/>
      <w:marRight w:val="0"/>
      <w:marTop w:val="0"/>
      <w:marBottom w:val="0"/>
      <w:divBdr>
        <w:top w:val="none" w:sz="0" w:space="0" w:color="auto"/>
        <w:left w:val="none" w:sz="0" w:space="0" w:color="auto"/>
        <w:bottom w:val="none" w:sz="0" w:space="0" w:color="auto"/>
        <w:right w:val="none" w:sz="0" w:space="0" w:color="auto"/>
      </w:divBdr>
    </w:div>
    <w:div w:id="182577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830</Words>
  <Characters>4570</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YAHIR GONZALEZ GONZALEZ</dc:creator>
  <cp:keywords/>
  <dc:description/>
  <cp:lastModifiedBy>BRANDON YAHIR GONZALEZ GONZALEZ</cp:lastModifiedBy>
  <cp:revision>1</cp:revision>
  <dcterms:created xsi:type="dcterms:W3CDTF">2025-05-23T15:05:00Z</dcterms:created>
  <dcterms:modified xsi:type="dcterms:W3CDTF">2025-05-23T15:15:00Z</dcterms:modified>
</cp:coreProperties>
</file>