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https://web.mit.edu/course/21/21.guide/th-form.htm</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Parts Order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Title Page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Table of COntents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List of Figures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List of Tables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Thesis Body</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Introduction</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Theory</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Materials,Appartus,procedures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Results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Discussions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Conclusions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recommendations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Introduction to the project NDEP</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Dicussion of the desire for additiona sensor package, with potential reference to the environmental department and the potential of further use by adding an external sensor package that would be able to connect to multiple kits with only a need for a powe connection and single usb line in order to take different readings while getting flight controller data at teh same time to compare data to location and system run time.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Bibliography</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mit.edu/course/21/21.guide/th-for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