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80" w:lineRule="auto" w:before="0" w:after="0"/>
        <w:ind w:firstLine="0"/>
        <w:jc w:val="center"/>
      </w:pPr>
      <w:r>
        <w:rPr>
          <w:b/>
          <w:i w:val="0"/>
        </w:rPr>
        <w:t>FACTUGEST</w:t>
      </w:r>
    </w:p>
    <w:p>
      <w:pPr>
        <w:spacing w:line="480" w:lineRule="auto" w:before="0" w:after="0"/>
        <w:ind w:firstLine="0"/>
        <w:jc w:val="center"/>
      </w:pPr>
      <w:r>
        <w:rPr>
          <w:b w:val="0"/>
          <w:i w:val="0"/>
        </w:rPr>
        <w:t>Plataforma web de facturación electrónica para micro, pequeñas y medianas empresas de Colombia</w:t>
      </w:r>
    </w:p>
    <w:p>
      <w:pPr>
        <w:spacing w:line="480" w:lineRule="auto" w:before="0" w:after="0"/>
        <w:ind w:firstLine="720"/>
        <w:jc w:val="left"/>
      </w:pPr>
    </w:p>
    <w:p>
      <w:pPr>
        <w:spacing w:line="480" w:lineRule="auto" w:before="0" w:after="0"/>
        <w:ind w:firstLine="0"/>
        <w:jc w:val="center"/>
      </w:pPr>
      <w:r>
        <w:rPr>
          <w:b w:val="0"/>
          <w:i w:val="0"/>
        </w:rPr>
        <w:t>Presentado por:</w:t>
      </w:r>
    </w:p>
    <w:p>
      <w:pPr>
        <w:spacing w:line="480" w:lineRule="auto" w:before="0" w:after="0"/>
        <w:ind w:firstLine="0"/>
        <w:jc w:val="center"/>
      </w:pPr>
      <w:r>
        <w:rPr>
          <w:b w:val="0"/>
          <w:i w:val="0"/>
        </w:rPr>
        <w:t>(pendiente: nombres de los integrantes)</w:t>
      </w:r>
    </w:p>
    <w:p>
      <w:pPr>
        <w:spacing w:line="480" w:lineRule="auto" w:before="0" w:after="0"/>
        <w:ind w:firstLine="720"/>
        <w:jc w:val="left"/>
      </w:pPr>
    </w:p>
    <w:p>
      <w:pPr>
        <w:spacing w:line="480" w:lineRule="auto" w:before="0" w:after="0"/>
        <w:ind w:firstLine="0"/>
        <w:jc w:val="center"/>
      </w:pPr>
      <w:r>
        <w:rPr>
          <w:b w:val="0"/>
          <w:i w:val="0"/>
        </w:rPr>
        <w:t>Trabajo de grado presentado como requisito para optar al título de:</w:t>
        <w:br/>
        <w:t>Tecnólogo en Análisis y Desarrollo de Software</w:t>
      </w:r>
    </w:p>
    <w:p>
      <w:pPr>
        <w:spacing w:line="480" w:lineRule="auto" w:before="0" w:after="0"/>
        <w:ind w:firstLine="720"/>
        <w:jc w:val="left"/>
      </w:pPr>
    </w:p>
    <w:p>
      <w:pPr>
        <w:spacing w:line="480" w:lineRule="auto" w:before="0" w:after="0"/>
        <w:ind w:firstLine="0"/>
        <w:jc w:val="center"/>
      </w:pPr>
      <w:r>
        <w:rPr>
          <w:b w:val="0"/>
          <w:i w:val="0"/>
        </w:rPr>
        <w:t>SERVICIO NACIONAL DE APRENDIZAJE — SENA</w:t>
      </w:r>
    </w:p>
    <w:p>
      <w:pPr>
        <w:spacing w:line="480" w:lineRule="auto" w:before="0" w:after="0"/>
        <w:ind w:firstLine="0"/>
        <w:jc w:val="center"/>
      </w:pPr>
      <w:r>
        <w:rPr>
          <w:b w:val="0"/>
          <w:i w:val="0"/>
        </w:rPr>
        <w:t>Centro de la Industria, la Empresa y los Servicios (CIES)</w:t>
      </w:r>
    </w:p>
    <w:p>
      <w:pPr>
        <w:spacing w:line="480" w:lineRule="auto" w:before="0" w:after="0"/>
        <w:ind w:firstLine="0"/>
        <w:jc w:val="center"/>
      </w:pPr>
      <w:r>
        <w:rPr>
          <w:b w:val="0"/>
          <w:i w:val="0"/>
        </w:rPr>
        <w:t>Tecnólogo en Análisis y Desarrollo de Software</w:t>
      </w:r>
    </w:p>
    <w:p>
      <w:pPr>
        <w:spacing w:line="480" w:lineRule="auto" w:before="0" w:after="0"/>
        <w:ind w:firstLine="720"/>
        <w:jc w:val="left"/>
      </w:pPr>
    </w:p>
    <w:p>
      <w:pPr>
        <w:spacing w:line="480" w:lineRule="auto" w:before="0" w:after="0"/>
        <w:ind w:firstLine="0"/>
        <w:jc w:val="center"/>
      </w:pPr>
      <w:r>
        <w:rPr>
          <w:b w:val="0"/>
          <w:i w:val="0"/>
        </w:rPr>
        <w:t>CÚCUTA, NORTE DE SANTANDER</w:t>
      </w:r>
    </w:p>
    <w:p>
      <w:pPr>
        <w:spacing w:line="480" w:lineRule="auto" w:before="0" w:after="0"/>
        <w:ind w:firstLine="0"/>
        <w:jc w:val="center"/>
      </w:pPr>
      <w:r>
        <w:rPr>
          <w:b w:val="0"/>
          <w:i w:val="0"/>
        </w:rPr>
        <w:t>2026</w:t>
      </w:r>
    </w:p>
    <w:p>
      <w:r>
        <w:br w:type="page"/>
      </w:r>
    </w:p>
    <w:p>
      <w:pPr>
        <w:spacing w:line="480" w:lineRule="auto" w:before="0" w:after="0"/>
        <w:ind w:firstLine="0"/>
        <w:jc w:val="center"/>
      </w:pPr>
      <w:r>
        <w:rPr>
          <w:b/>
          <w:i w:val="0"/>
        </w:rPr>
        <w:t>Tabla de contenido</w:t>
      </w:r>
    </w:p>
    <w:p>
      <w:pPr>
        <w:spacing w:line="480" w:lineRule="auto" w:before="0" w:after="0"/>
        <w:ind w:firstLine="0"/>
        <w:jc w:val="left"/>
      </w:pPr>
      <w:r>
        <w:fldChar w:fldCharType="begin"/>
        <w:instrText xml:space="preserve">TOC \o "1-3" \h \z \u</w:instrText>
        <w:fldChar w:fldCharType="separate"/>
        <w:t> </w:t>
        <w:fldChar w:fldCharType="end"/>
      </w:r>
    </w:p>
    <w:p>
      <w:r>
        <w:br w:type="page"/>
      </w:r>
    </w:p>
    <w:p>
      <w:pPr>
        <w:pStyle w:val="Heading1"/>
      </w:pPr>
      <w:r>
        <w:t>Prueba de formato</w:t>
      </w:r>
    </w:p>
    <w:p>
      <w:pPr>
        <w:spacing w:line="480" w:lineRule="auto" w:before="0" w:after="0"/>
        <w:ind w:firstLine="720"/>
        <w:jc w:val="left"/>
      </w:pPr>
      <w:r>
        <w:rPr>
          <w:b w:val="0"/>
          <w:i w:val="0"/>
        </w:rPr>
        <w:t>Este documento no hace parte de los entregables. Existe para verificar en Word que el motor de formato aplica lo que el instructivo exige: márgenes de 2,54 cm en los cuatro lados, Times New Roman de 12 puntos, interlineado doble, sangría de primera línea de 1,27 cm y numeración de páginas en la esquina superior derecha desde la portada.</w:t>
      </w:r>
    </w:p>
    <w:p>
      <w:pPr>
        <w:spacing w:line="480" w:lineRule="auto" w:before="0" w:after="0"/>
        <w:ind w:firstLine="720"/>
        <w:jc w:val="left"/>
      </w:pPr>
      <w:r>
        <w:rPr>
          <w:b w:val="0"/>
          <w:i w:val="0"/>
        </w:rPr>
        <w:t>Este segundo párrafo permite comprobar dos cosas a la vez: que la sangría de primera línea se repite y que entre párrafos no se agrega espacio adicional, porque en un texto a doble espacio ese espacio extra sobra.</w:t>
      </w:r>
    </w:p>
    <w:p>
      <w:pPr>
        <w:pStyle w:val="Heading2"/>
      </w:pPr>
      <w:r>
        <w:t>1.1 Un título de nivel 2</w:t>
      </w:r>
    </w:p>
    <w:p>
      <w:pPr>
        <w:spacing w:line="480" w:lineRule="auto" w:before="0" w:after="0"/>
        <w:ind w:firstLine="720"/>
        <w:jc w:val="left"/>
      </w:pPr>
      <w:r>
        <w:rPr>
          <w:b w:val="0"/>
          <w:i w:val="0"/>
        </w:rPr>
        <w:t>Los títulos no se escriben con mayúscula sostenida y conservan el tamaño del cuerpo del texto. Se distinguen por su peso y su posición, no por ser más grandes.</w:t>
      </w:r>
    </w:p>
    <w:p>
      <w:pPr>
        <w:pStyle w:val="Heading3"/>
      </w:pPr>
      <w:r>
        <w:t>1.1.1 Un título de nivel 3.</w:t>
      </w:r>
    </w:p>
    <w:p>
      <w:pPr>
        <w:spacing w:line="480" w:lineRule="auto" w:before="0" w:after="0"/>
        <w:ind w:firstLine="720"/>
        <w:jc w:val="left"/>
      </w:pPr>
      <w:r>
        <w:rPr>
          <w:b w:val="0"/>
          <w:i w:val="0"/>
        </w:rPr>
        <w:t>El de nivel 3 va en negrita cursiva y termina en punto. El motor le agrega el punto si quien escribe lo olvida.</w:t>
      </w:r>
    </w:p>
    <w:p>
      <w:pPr>
        <w:spacing w:line="480" w:lineRule="auto" w:before="0" w:after="0"/>
        <w:ind w:firstLine="0"/>
        <w:jc w:val="left"/>
      </w:pPr>
      <w:r>
        <w:rPr>
          <w:b w:val="0"/>
          <w:i w:val="0"/>
        </w:rPr>
        <w:t>Una lista con viñetas:</w:t>
      </w:r>
    </w:p>
    <w:p>
      <w:pPr>
        <w:pStyle w:val="ListBullet"/>
        <w:spacing w:line="480" w:lineRule="auto" w:before="0" w:after="0"/>
        <w:ind w:left="720"/>
      </w:pPr>
      <w:r>
        <w:rPr>
          <w:rFonts w:ascii="Times New Roman" w:hAnsi="Times New Roman"/>
          <w:sz w:val="24"/>
        </w:rPr>
        <w:t>Emisión de facturas de venta, notas crédito y notas débito.</w:t>
      </w:r>
    </w:p>
    <w:p>
      <w:pPr>
        <w:pStyle w:val="ListBullet"/>
        <w:spacing w:line="480" w:lineRule="auto" w:before="0" w:after="0"/>
        <w:ind w:left="720"/>
      </w:pPr>
      <w:r>
        <w:rPr>
          <w:rFonts w:ascii="Times New Roman" w:hAnsi="Times New Roman"/>
          <w:sz w:val="24"/>
        </w:rPr>
        <w:t>API REST de integración autenticada con llave por cliente.</w:t>
      </w:r>
    </w:p>
    <w:p>
      <w:pPr>
        <w:pStyle w:val="ListBullet"/>
        <w:spacing w:line="480" w:lineRule="auto" w:before="0" w:after="0"/>
        <w:ind w:left="720"/>
      </w:pPr>
      <w:r>
        <w:rPr>
          <w:rFonts w:ascii="Times New Roman" w:hAnsi="Times New Roman"/>
          <w:sz w:val="24"/>
        </w:rPr>
        <w:t>Control de consumo contra el cupo del plan contratado.</w:t>
      </w:r>
    </w:p>
    <w:p>
      <w:pPr>
        <w:spacing w:line="480" w:lineRule="auto" w:before="0" w:after="0"/>
        <w:ind w:firstLine="0"/>
        <w:jc w:val="left"/>
      </w:pPr>
      <w:r>
        <w:rPr>
          <w:b w:val="0"/>
          <w:i w:val="0"/>
        </w:rPr>
        <w:t>Una cita de más de cuarenta palabras, en bloque y sin comillas:</w:t>
      </w:r>
    </w:p>
    <w:p>
      <w:pPr>
        <w:spacing w:line="480" w:lineRule="auto" w:before="0" w:after="0"/>
        <w:ind w:firstLine="0" w:left="720"/>
        <w:jc w:val="left"/>
      </w:pPr>
      <w:r>
        <w:rPr>
          <w:b w:val="0"/>
          <w:i w:val="0"/>
        </w:rPr>
        <w:t>La facturación electrónica es en Colombia un requisito de obligatorio cumplimiento para los sujetos definidos por la administración tributaria, y su incumplimiento compromete la deducibilidad de costos y gastos, dificulta las relaciones comerciales con clientes que exigen soporte válido y expone al contribuyente a sanciones. (Autor, 2024, p. 12)</w:t>
      </w:r>
    </w:p>
    <w:p>
      <w:pPr>
        <w:spacing w:line="480" w:lineRule="auto" w:before="0" w:after="0"/>
        <w:ind w:firstLine="0"/>
        <w:jc w:val="left"/>
      </w:pPr>
      <w:r>
        <w:rPr>
          <w:b/>
        </w:rPr>
        <w:t>Tabla 1</w:t>
      </w:r>
    </w:p>
    <w:p>
      <w:pPr>
        <w:spacing w:line="480" w:lineRule="auto" w:before="0" w:after="0"/>
        <w:ind w:firstLine="0"/>
        <w:jc w:val="left"/>
      </w:pPr>
      <w:r>
        <w:rPr>
          <w:b w:val="0"/>
          <w:i/>
        </w:rPr>
        <w:t>Planes de suscripción de FactuGest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left w:val="nil"/>
          <w:right w:val="nil"/>
          <w:insideH w:val="nil"/>
          <w:insideV w:val="nil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bottom w:val="single" w:sz="6" w:space="0" w:color="000000"/>
            </w:tcBorders>
          </w:tcPr>
          <w:p>
            <w:pPr>
              <w:spacing w:line="240" w:lineRule="auto" w:before="0" w:after="0"/>
            </w:pPr>
            <w:r>
              <w:rPr>
                <w:rFonts w:ascii="Times New Roman" w:hAnsi="Times New Roman"/>
                <w:b/>
                <w:sz w:val="20"/>
              </w:rPr>
              <w:t>Plan</w:t>
            </w:r>
          </w:p>
        </w:tc>
        <w:tc>
          <w:tcPr>
            <w:tcW w:type="dxa" w:w="3120"/>
            <w:tcBorders>
              <w:bottom w:val="single" w:sz="6" w:space="0" w:color="000000"/>
            </w:tcBorders>
          </w:tcPr>
          <w:p>
            <w:pPr>
              <w:spacing w:line="240" w:lineRule="auto" w:before="0" w:after="0"/>
            </w:pPr>
            <w:r>
              <w:rPr>
                <w:rFonts w:ascii="Times New Roman" w:hAnsi="Times New Roman"/>
                <w:b/>
                <w:sz w:val="20"/>
              </w:rPr>
              <w:t>Precio mensual</w:t>
            </w:r>
          </w:p>
        </w:tc>
        <w:tc>
          <w:tcPr>
            <w:tcW w:type="dxa" w:w="3120"/>
            <w:tcBorders>
              <w:bottom w:val="single" w:sz="6" w:space="0" w:color="000000"/>
            </w:tcBorders>
          </w:tcPr>
          <w:p>
            <w:pPr>
              <w:spacing w:line="240" w:lineRule="auto" w:before="0" w:after="0"/>
            </w:pPr>
            <w:r>
              <w:rPr>
                <w:rFonts w:ascii="Times New Roman" w:hAnsi="Times New Roman"/>
                <w:b/>
                <w:sz w:val="20"/>
              </w:rPr>
              <w:t>Documentos incluidos</w:t>
            </w:r>
          </w:p>
        </w:tc>
      </w:tr>
      <w:tr>
        <w:tc>
          <w:tcPr>
            <w:tcW w:type="dxa" w:w="3120"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/>
                <w:b w:val="0"/>
                <w:sz w:val="20"/>
              </w:rPr>
              <w:t>Básico</w:t>
            </w:r>
          </w:p>
        </w:tc>
        <w:tc>
          <w:tcPr>
            <w:tcW w:type="dxa" w:w="3120"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/>
                <w:b w:val="0"/>
                <w:sz w:val="20"/>
              </w:rPr>
              <w:t>$ 89.000</w:t>
            </w:r>
          </w:p>
        </w:tc>
        <w:tc>
          <w:tcPr>
            <w:tcW w:type="dxa" w:w="3120"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/>
                <w:b w:val="0"/>
                <w:sz w:val="20"/>
              </w:rPr>
              <w:t>150</w:t>
            </w:r>
          </w:p>
        </w:tc>
      </w:tr>
      <w:tr>
        <w:tc>
          <w:tcPr>
            <w:tcW w:type="dxa" w:w="3120"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/>
                <w:b w:val="0"/>
                <w:sz w:val="20"/>
              </w:rPr>
              <w:t>Pro</w:t>
            </w:r>
          </w:p>
        </w:tc>
        <w:tc>
          <w:tcPr>
            <w:tcW w:type="dxa" w:w="3120"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/>
                <w:b w:val="0"/>
                <w:sz w:val="20"/>
              </w:rPr>
              <w:t>$ 189.000</w:t>
            </w:r>
          </w:p>
        </w:tc>
        <w:tc>
          <w:tcPr>
            <w:tcW w:type="dxa" w:w="3120"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/>
                <w:b w:val="0"/>
                <w:sz w:val="20"/>
              </w:rPr>
              <w:t>400</w:t>
            </w:r>
          </w:p>
        </w:tc>
      </w:tr>
      <w:tr>
        <w:tc>
          <w:tcPr>
            <w:tcW w:type="dxa" w:w="3120"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/>
                <w:b w:val="0"/>
                <w:sz w:val="20"/>
              </w:rPr>
              <w:t>Ilimitado</w:t>
            </w:r>
          </w:p>
        </w:tc>
        <w:tc>
          <w:tcPr>
            <w:tcW w:type="dxa" w:w="3120"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/>
                <w:b w:val="0"/>
                <w:sz w:val="20"/>
              </w:rPr>
              <w:t>$ 390.000</w:t>
            </w:r>
          </w:p>
        </w:tc>
        <w:tc>
          <w:tcPr>
            <w:tcW w:type="dxa" w:w="3120"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/>
                <w:b w:val="0"/>
                <w:sz w:val="20"/>
              </w:rPr>
              <w:t>Sin cupo</w:t>
            </w:r>
          </w:p>
        </w:tc>
      </w:tr>
    </w:tbl>
    <w:p>
      <w:pPr>
        <w:spacing w:line="240" w:lineRule="auto" w:before="0" w:after="0"/>
        <w:ind w:firstLine="0"/>
        <w:jc w:val="left"/>
      </w:pPr>
      <w:r>
        <w:rPr>
          <w:i/>
          <w:sz w:val="20"/>
        </w:rPr>
        <w:t xml:space="preserve">Nota. </w:t>
      </w:r>
      <w:r>
        <w:rPr>
          <w:sz w:val="20"/>
        </w:rPr>
        <w:t>Elaboración propia. Los precios corresponden al catálogo de servicios del sistema. El documento emitido por encima del cupo se cobra aparte.</w:t>
      </w:r>
    </w:p>
    <w:p>
      <w:pPr>
        <w:spacing w:line="480" w:lineRule="auto" w:before="0" w:after="0"/>
        <w:ind w:firstLine="720"/>
        <w:jc w:val="left"/>
      </w:pPr>
    </w:p>
    <w:p>
      <w:pPr>
        <w:spacing w:line="480" w:lineRule="auto" w:before="0" w:after="0"/>
        <w:ind w:firstLine="0"/>
        <w:jc w:val="left"/>
      </w:pPr>
      <w:r>
        <w:rPr>
          <w:b/>
        </w:rPr>
        <w:t>Figura 1</w:t>
      </w:r>
    </w:p>
    <w:p>
      <w:pPr>
        <w:spacing w:line="480" w:lineRule="auto" w:before="0" w:after="0"/>
        <w:ind w:firstLine="0"/>
        <w:jc w:val="left"/>
      </w:pPr>
      <w:r>
        <w:rPr>
          <w:b w:val="0"/>
          <w:i/>
        </w:rPr>
        <w:t>Estructura del proyecto FactuGest</w:t>
      </w:r>
    </w:p>
    <w:p>
      <w:pPr>
        <w:spacing w:line="480" w:lineRule="auto" w:before="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675" cy="5124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tructura del proyect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5124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0"/>
        <w:ind w:firstLine="0"/>
        <w:jc w:val="left"/>
      </w:pPr>
      <w:r>
        <w:rPr>
          <w:i/>
          <w:sz w:val="20"/>
        </w:rPr>
        <w:t xml:space="preserve">Nota. </w:t>
      </w:r>
      <w:r>
        <w:rPr>
          <w:sz w:val="20"/>
        </w:rPr>
        <w:t>Organización de carpetas del repositorio. Elaboración propia.</w:t>
      </w:r>
    </w:p>
    <w:p>
      <w:pPr>
        <w:spacing w:line="480" w:lineRule="auto" w:before="0" w:after="0"/>
        <w:ind w:firstLine="720"/>
        <w:jc w:val="left"/>
      </w:pP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/>
      <w:jc w:val="right"/>
    </w:pPr>
    <w:r>
      <w:rPr>
        <w:rFonts w:ascii="Times New Roman" w:hAnsi="Times New Roman"/>
        <w:sz w:val="24"/>
      </w:rPr>
      <w:fldChar w:fldCharType="begin"/>
      <w:instrText xml:space="preserve">PAGE</w:instrText>
      <w:fldChar w:fldCharType="separate"/>
      <w:t> </w: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before="0" w:after="0"/>
      <w:jc w:val="left"/>
    </w:pPr>
    <w:rPr>
      <w:rFonts w:ascii="Times New Roman" w:hAnsi="Times New Roman" w:eastAsia="Times New Roman" w:cs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 w:line="480" w:lineRule="auto"/>
      <w:ind w:firstLine="0"/>
      <w:jc w:val="center"/>
      <w:outlineLvl w:val="0"/>
    </w:pPr>
    <w:rPr>
      <w:rFonts w:ascii="Times New Roman" w:hAnsi="Times New Roman" w:eastAsia="Times New Roman" w:cs="Times New Roman"/>
      <w:b/>
      <w:bCs/>
      <w:i w:val="0"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 w:line="480" w:lineRule="auto"/>
      <w:ind w:firstLine="0"/>
      <w:jc w:val="left"/>
      <w:outlineLvl w:val="1"/>
    </w:pPr>
    <w:rPr>
      <w:rFonts w:ascii="Times New Roman" w:hAnsi="Times New Roman" w:eastAsia="Times New Roman" w:cs="Times New Roman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0" w:line="480" w:lineRule="auto"/>
      <w:ind w:firstLine="0"/>
      <w:jc w:val="left"/>
      <w:outlineLvl w:val="2"/>
    </w:pPr>
    <w:rPr>
      <w:rFonts w:ascii="Times New Roman" w:hAnsi="Times New Roman" w:eastAsia="Times New Roman" w:cs="Times New Roman"/>
      <w:b/>
      <w:bCs/>
      <w:i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