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178E2" w14:textId="1127B6A7" w:rsidR="005015A8" w:rsidRDefault="002473AB" w:rsidP="002473AB">
      <w:pPr>
        <w:jc w:val="center"/>
        <w:rPr>
          <w:b/>
          <w:bCs/>
          <w:sz w:val="32"/>
          <w:szCs w:val="32"/>
          <w:u w:val="single"/>
        </w:rPr>
      </w:pPr>
      <w:r w:rsidRPr="002473AB">
        <w:rPr>
          <w:b/>
          <w:bCs/>
          <w:sz w:val="32"/>
          <w:szCs w:val="32"/>
          <w:u w:val="single"/>
        </w:rPr>
        <w:t>Assessment 7</w:t>
      </w:r>
    </w:p>
    <w:p w14:paraId="3B96E3FC" w14:textId="26B500AE" w:rsidR="002473AB" w:rsidRDefault="002473AB" w:rsidP="002473AB">
      <w:pPr>
        <w:jc w:val="center"/>
        <w:rPr>
          <w:b/>
          <w:bCs/>
          <w:sz w:val="32"/>
          <w:szCs w:val="32"/>
          <w:u w:val="single"/>
        </w:rPr>
      </w:pPr>
    </w:p>
    <w:tbl>
      <w:tblPr>
        <w:tblStyle w:val="TableGrid"/>
        <w:tblW w:w="0" w:type="auto"/>
        <w:tblLook w:val="04A0" w:firstRow="1" w:lastRow="0" w:firstColumn="1" w:lastColumn="0" w:noHBand="0" w:noVBand="1"/>
      </w:tblPr>
      <w:tblGrid>
        <w:gridCol w:w="2775"/>
        <w:gridCol w:w="2295"/>
        <w:gridCol w:w="2295"/>
        <w:gridCol w:w="1985"/>
      </w:tblGrid>
      <w:tr w:rsidR="002473AB" w14:paraId="054F05DF" w14:textId="61FCD0F8" w:rsidTr="00F50BDC">
        <w:tc>
          <w:tcPr>
            <w:tcW w:w="9350" w:type="dxa"/>
            <w:gridSpan w:val="4"/>
          </w:tcPr>
          <w:p w14:paraId="3AE9A026" w14:textId="3757B756" w:rsidR="002473AB" w:rsidRPr="002473AB" w:rsidRDefault="002473AB" w:rsidP="002473AB">
            <w:pPr>
              <w:jc w:val="center"/>
              <w:rPr>
                <w:b/>
                <w:bCs/>
                <w:sz w:val="28"/>
                <w:szCs w:val="28"/>
              </w:rPr>
            </w:pPr>
            <w:r w:rsidRPr="002473AB">
              <w:rPr>
                <w:b/>
                <w:bCs/>
                <w:sz w:val="28"/>
                <w:szCs w:val="28"/>
              </w:rPr>
              <w:t>Runtime</w:t>
            </w:r>
          </w:p>
        </w:tc>
      </w:tr>
      <w:tr w:rsidR="002473AB" w14:paraId="58F2A14B" w14:textId="2FB1946B" w:rsidTr="002473AB">
        <w:tc>
          <w:tcPr>
            <w:tcW w:w="2775" w:type="dxa"/>
          </w:tcPr>
          <w:p w14:paraId="43A0FFBF" w14:textId="5AD9B147" w:rsidR="002473AB" w:rsidRPr="002473AB" w:rsidRDefault="002473AB" w:rsidP="002473AB">
            <w:pPr>
              <w:jc w:val="center"/>
              <w:rPr>
                <w:b/>
                <w:bCs/>
                <w:sz w:val="24"/>
                <w:szCs w:val="24"/>
              </w:rPr>
            </w:pPr>
            <w:r w:rsidRPr="002473AB">
              <w:rPr>
                <w:b/>
                <w:bCs/>
                <w:sz w:val="24"/>
                <w:szCs w:val="24"/>
              </w:rPr>
              <w:t>Array Type</w:t>
            </w:r>
          </w:p>
        </w:tc>
        <w:tc>
          <w:tcPr>
            <w:tcW w:w="2295" w:type="dxa"/>
          </w:tcPr>
          <w:p w14:paraId="12802405" w14:textId="14C280B8" w:rsidR="002473AB" w:rsidRPr="002473AB" w:rsidRDefault="002473AB" w:rsidP="002473AB">
            <w:pPr>
              <w:jc w:val="center"/>
              <w:rPr>
                <w:b/>
                <w:bCs/>
                <w:sz w:val="24"/>
                <w:szCs w:val="24"/>
              </w:rPr>
            </w:pPr>
            <w:r w:rsidRPr="002473AB">
              <w:rPr>
                <w:b/>
                <w:bCs/>
                <w:sz w:val="24"/>
                <w:szCs w:val="24"/>
              </w:rPr>
              <w:t>Insert Function</w:t>
            </w:r>
          </w:p>
        </w:tc>
        <w:tc>
          <w:tcPr>
            <w:tcW w:w="2295" w:type="dxa"/>
          </w:tcPr>
          <w:p w14:paraId="3EE5E639" w14:textId="1D3652F7" w:rsidR="002473AB" w:rsidRPr="002473AB" w:rsidRDefault="002473AB" w:rsidP="002473AB">
            <w:pPr>
              <w:jc w:val="center"/>
              <w:rPr>
                <w:b/>
                <w:bCs/>
                <w:sz w:val="24"/>
                <w:szCs w:val="24"/>
              </w:rPr>
            </w:pPr>
            <w:r w:rsidRPr="002473AB">
              <w:rPr>
                <w:b/>
                <w:bCs/>
                <w:sz w:val="24"/>
                <w:szCs w:val="24"/>
              </w:rPr>
              <w:t>Append Function</w:t>
            </w:r>
          </w:p>
        </w:tc>
        <w:tc>
          <w:tcPr>
            <w:tcW w:w="1985" w:type="dxa"/>
          </w:tcPr>
          <w:p w14:paraId="4A9792B4" w14:textId="1C04588F" w:rsidR="002473AB" w:rsidRPr="002473AB" w:rsidRDefault="002473AB" w:rsidP="002473AB">
            <w:pPr>
              <w:jc w:val="center"/>
              <w:rPr>
                <w:b/>
                <w:bCs/>
                <w:sz w:val="24"/>
                <w:szCs w:val="24"/>
              </w:rPr>
            </w:pPr>
            <w:r>
              <w:rPr>
                <w:b/>
                <w:bCs/>
                <w:sz w:val="24"/>
                <w:szCs w:val="24"/>
              </w:rPr>
              <w:t>Ratio</w:t>
            </w:r>
          </w:p>
        </w:tc>
      </w:tr>
      <w:tr w:rsidR="002473AB" w:rsidRPr="002473AB" w14:paraId="0BDE2E6E" w14:textId="33E3E852" w:rsidTr="002473AB">
        <w:tc>
          <w:tcPr>
            <w:tcW w:w="2775" w:type="dxa"/>
          </w:tcPr>
          <w:p w14:paraId="6F228D0A" w14:textId="6B64853A" w:rsidR="002473AB" w:rsidRPr="002473AB" w:rsidRDefault="002473AB" w:rsidP="002473AB">
            <w:pPr>
              <w:jc w:val="center"/>
            </w:pPr>
            <w:proofErr w:type="spellStart"/>
            <w:r w:rsidRPr="002473AB">
              <w:t>extraLargeArray</w:t>
            </w:r>
            <w:proofErr w:type="spellEnd"/>
          </w:p>
        </w:tc>
        <w:tc>
          <w:tcPr>
            <w:tcW w:w="2295" w:type="dxa"/>
          </w:tcPr>
          <w:p w14:paraId="1B89ADD3" w14:textId="11558ED3" w:rsidR="002473AB" w:rsidRPr="002473AB" w:rsidRDefault="002473AB" w:rsidP="002473AB">
            <w:pPr>
              <w:jc w:val="center"/>
            </w:pPr>
            <w:r w:rsidRPr="002473AB">
              <w:t>865.6146</w:t>
            </w:r>
            <w:r w:rsidRPr="002473AB">
              <w:t xml:space="preserve"> </w:t>
            </w:r>
            <w:proofErr w:type="spellStart"/>
            <w:r w:rsidRPr="002473AB">
              <w:t>ms</w:t>
            </w:r>
            <w:proofErr w:type="spellEnd"/>
          </w:p>
        </w:tc>
        <w:tc>
          <w:tcPr>
            <w:tcW w:w="2295" w:type="dxa"/>
          </w:tcPr>
          <w:p w14:paraId="554E1F32" w14:textId="44276143" w:rsidR="002473AB" w:rsidRPr="002473AB" w:rsidRDefault="002473AB" w:rsidP="002473AB">
            <w:pPr>
              <w:jc w:val="center"/>
            </w:pPr>
            <w:r w:rsidRPr="002473AB">
              <w:t>3.2696</w:t>
            </w:r>
            <w:r w:rsidRPr="002473AB">
              <w:t xml:space="preserve"> </w:t>
            </w:r>
            <w:proofErr w:type="spellStart"/>
            <w:r w:rsidRPr="002473AB">
              <w:t>ms</w:t>
            </w:r>
            <w:proofErr w:type="spellEnd"/>
          </w:p>
        </w:tc>
        <w:tc>
          <w:tcPr>
            <w:tcW w:w="1985" w:type="dxa"/>
          </w:tcPr>
          <w:tbl>
            <w:tblPr>
              <w:tblW w:w="1245" w:type="dxa"/>
              <w:tblLook w:val="04A0" w:firstRow="1" w:lastRow="0" w:firstColumn="1" w:lastColumn="0" w:noHBand="0" w:noVBand="1"/>
            </w:tblPr>
            <w:tblGrid>
              <w:gridCol w:w="1245"/>
            </w:tblGrid>
            <w:tr w:rsidR="002473AB" w:rsidRPr="002473AB" w14:paraId="0510BD7F" w14:textId="77777777" w:rsidTr="002473AB">
              <w:trPr>
                <w:trHeight w:val="315"/>
              </w:trPr>
              <w:tc>
                <w:tcPr>
                  <w:tcW w:w="1245" w:type="dxa"/>
                  <w:tcBorders>
                    <w:top w:val="nil"/>
                    <w:left w:val="nil"/>
                    <w:bottom w:val="nil"/>
                    <w:right w:val="nil"/>
                  </w:tcBorders>
                  <w:shd w:val="clear" w:color="auto" w:fill="auto"/>
                  <w:noWrap/>
                  <w:vAlign w:val="bottom"/>
                  <w:hideMark/>
                </w:tcPr>
                <w:p w14:paraId="3A2052AE" w14:textId="77777777" w:rsidR="002473AB" w:rsidRPr="002473AB" w:rsidRDefault="002473AB" w:rsidP="002473AB">
                  <w:pPr>
                    <w:spacing w:after="0" w:line="240" w:lineRule="auto"/>
                    <w:ind w:right="-120"/>
                    <w:jc w:val="right"/>
                    <w:rPr>
                      <w:rFonts w:ascii="Calibri" w:eastAsia="Times New Roman" w:hAnsi="Calibri" w:cs="Calibri"/>
                      <w:color w:val="000000"/>
                    </w:rPr>
                  </w:pPr>
                  <w:r w:rsidRPr="002473AB">
                    <w:rPr>
                      <w:rFonts w:ascii="Calibri" w:eastAsia="Times New Roman" w:hAnsi="Calibri" w:cs="Calibri"/>
                      <w:color w:val="000000"/>
                    </w:rPr>
                    <w:t>264.7463</w:t>
                  </w:r>
                </w:p>
              </w:tc>
            </w:tr>
          </w:tbl>
          <w:p w14:paraId="49545EF7" w14:textId="77777777" w:rsidR="002473AB" w:rsidRPr="002473AB" w:rsidRDefault="002473AB" w:rsidP="002473AB">
            <w:pPr>
              <w:jc w:val="center"/>
            </w:pPr>
          </w:p>
        </w:tc>
      </w:tr>
      <w:tr w:rsidR="002473AB" w:rsidRPr="002473AB" w14:paraId="4C86A42A" w14:textId="44CC0704" w:rsidTr="002473AB">
        <w:tc>
          <w:tcPr>
            <w:tcW w:w="2775" w:type="dxa"/>
          </w:tcPr>
          <w:p w14:paraId="65A7DCF8" w14:textId="0226EE49" w:rsidR="002473AB" w:rsidRPr="002473AB" w:rsidRDefault="002473AB" w:rsidP="002473AB">
            <w:pPr>
              <w:jc w:val="center"/>
            </w:pPr>
            <w:proofErr w:type="spellStart"/>
            <w:r w:rsidRPr="002473AB">
              <w:t>largeArray</w:t>
            </w:r>
            <w:proofErr w:type="spellEnd"/>
          </w:p>
        </w:tc>
        <w:tc>
          <w:tcPr>
            <w:tcW w:w="2295" w:type="dxa"/>
          </w:tcPr>
          <w:p w14:paraId="73D4F9F8" w14:textId="7809BB62" w:rsidR="002473AB" w:rsidRPr="002473AB" w:rsidRDefault="002473AB" w:rsidP="002473AB">
            <w:pPr>
              <w:jc w:val="center"/>
            </w:pPr>
            <w:r w:rsidRPr="002473AB">
              <w:t>9464.3</w:t>
            </w:r>
            <w:r w:rsidRPr="002473AB">
              <w:t xml:space="preserve"> </w:t>
            </w:r>
            <w:proofErr w:type="spellStart"/>
            <w:r w:rsidRPr="002473AB">
              <w:t>μs</w:t>
            </w:r>
            <w:proofErr w:type="spellEnd"/>
          </w:p>
        </w:tc>
        <w:tc>
          <w:tcPr>
            <w:tcW w:w="2295" w:type="dxa"/>
          </w:tcPr>
          <w:p w14:paraId="3FCB5AC0" w14:textId="6160D71F" w:rsidR="002473AB" w:rsidRPr="002473AB" w:rsidRDefault="002473AB" w:rsidP="002473AB">
            <w:pPr>
              <w:jc w:val="center"/>
            </w:pPr>
            <w:r w:rsidRPr="002473AB">
              <w:t xml:space="preserve">528.1 </w:t>
            </w:r>
            <w:proofErr w:type="spellStart"/>
            <w:r w:rsidRPr="002473AB">
              <w:t>μs</w:t>
            </w:r>
            <w:proofErr w:type="spellEnd"/>
          </w:p>
        </w:tc>
        <w:tc>
          <w:tcPr>
            <w:tcW w:w="1985" w:type="dxa"/>
          </w:tcPr>
          <w:p w14:paraId="623603C3" w14:textId="707B6D29" w:rsidR="002473AB" w:rsidRPr="002473AB" w:rsidRDefault="002473AB" w:rsidP="002473AB">
            <w:pPr>
              <w:jc w:val="center"/>
            </w:pPr>
            <w:r w:rsidRPr="002473AB">
              <w:rPr>
                <w:rFonts w:ascii="Calibri" w:eastAsia="Times New Roman" w:hAnsi="Calibri" w:cs="Calibri"/>
                <w:color w:val="000000"/>
              </w:rPr>
              <w:t>17.92142</w:t>
            </w:r>
          </w:p>
        </w:tc>
      </w:tr>
      <w:tr w:rsidR="002473AB" w:rsidRPr="002473AB" w14:paraId="33461544" w14:textId="4D3B2B7A" w:rsidTr="002473AB">
        <w:tc>
          <w:tcPr>
            <w:tcW w:w="2775" w:type="dxa"/>
          </w:tcPr>
          <w:p w14:paraId="6454CFE0" w14:textId="6E869A88" w:rsidR="002473AB" w:rsidRPr="002473AB" w:rsidRDefault="002473AB" w:rsidP="002473AB">
            <w:pPr>
              <w:jc w:val="center"/>
            </w:pPr>
            <w:proofErr w:type="spellStart"/>
            <w:r w:rsidRPr="002473AB">
              <w:t>mediumArray</w:t>
            </w:r>
            <w:proofErr w:type="spellEnd"/>
          </w:p>
        </w:tc>
        <w:tc>
          <w:tcPr>
            <w:tcW w:w="2295" w:type="dxa"/>
          </w:tcPr>
          <w:p w14:paraId="24B79E71" w14:textId="2D635366" w:rsidR="002473AB" w:rsidRPr="002473AB" w:rsidRDefault="002473AB" w:rsidP="002473AB">
            <w:pPr>
              <w:jc w:val="center"/>
            </w:pPr>
            <w:r w:rsidRPr="002473AB">
              <w:t xml:space="preserve">273.2 </w:t>
            </w:r>
            <w:proofErr w:type="spellStart"/>
            <w:r w:rsidRPr="002473AB">
              <w:t>μs</w:t>
            </w:r>
            <w:proofErr w:type="spellEnd"/>
          </w:p>
        </w:tc>
        <w:tc>
          <w:tcPr>
            <w:tcW w:w="2295" w:type="dxa"/>
          </w:tcPr>
          <w:p w14:paraId="03B8CDE3" w14:textId="5F50742B" w:rsidR="002473AB" w:rsidRPr="002473AB" w:rsidRDefault="002473AB" w:rsidP="002473AB">
            <w:pPr>
              <w:jc w:val="center"/>
            </w:pPr>
            <w:r w:rsidRPr="002473AB">
              <w:t xml:space="preserve">309.7 </w:t>
            </w:r>
            <w:proofErr w:type="spellStart"/>
            <w:r w:rsidRPr="002473AB">
              <w:t>μs</w:t>
            </w:r>
            <w:proofErr w:type="spellEnd"/>
          </w:p>
        </w:tc>
        <w:tc>
          <w:tcPr>
            <w:tcW w:w="1985" w:type="dxa"/>
          </w:tcPr>
          <w:p w14:paraId="71FFC6C7" w14:textId="71BA5061" w:rsidR="002473AB" w:rsidRPr="002473AB" w:rsidRDefault="002473AB" w:rsidP="002473AB">
            <w:pPr>
              <w:jc w:val="center"/>
            </w:pPr>
            <w:r w:rsidRPr="002473AB">
              <w:rPr>
                <w:rFonts w:ascii="Calibri" w:eastAsia="Times New Roman" w:hAnsi="Calibri" w:cs="Calibri"/>
                <w:color w:val="000000"/>
              </w:rPr>
              <w:t>0.882144</w:t>
            </w:r>
          </w:p>
        </w:tc>
      </w:tr>
      <w:tr w:rsidR="002473AB" w:rsidRPr="002473AB" w14:paraId="192720B6" w14:textId="7C79A9DD" w:rsidTr="002473AB">
        <w:tc>
          <w:tcPr>
            <w:tcW w:w="2775" w:type="dxa"/>
          </w:tcPr>
          <w:p w14:paraId="22AA9EBB" w14:textId="083CC09A" w:rsidR="002473AB" w:rsidRPr="002473AB" w:rsidRDefault="002473AB" w:rsidP="002473AB">
            <w:pPr>
              <w:jc w:val="center"/>
            </w:pPr>
            <w:proofErr w:type="spellStart"/>
            <w:r w:rsidRPr="002473AB">
              <w:t>smallArray</w:t>
            </w:r>
            <w:proofErr w:type="spellEnd"/>
          </w:p>
        </w:tc>
        <w:tc>
          <w:tcPr>
            <w:tcW w:w="2295" w:type="dxa"/>
          </w:tcPr>
          <w:p w14:paraId="06983B49" w14:textId="7DE7B8F9" w:rsidR="002473AB" w:rsidRPr="002473AB" w:rsidRDefault="002473AB" w:rsidP="002473AB">
            <w:pPr>
              <w:jc w:val="center"/>
            </w:pPr>
            <w:r w:rsidRPr="002473AB">
              <w:t xml:space="preserve">9 </w:t>
            </w:r>
            <w:proofErr w:type="spellStart"/>
            <w:r w:rsidRPr="002473AB">
              <w:t>μs</w:t>
            </w:r>
            <w:proofErr w:type="spellEnd"/>
          </w:p>
        </w:tc>
        <w:tc>
          <w:tcPr>
            <w:tcW w:w="2295" w:type="dxa"/>
          </w:tcPr>
          <w:p w14:paraId="3846E4EA" w14:textId="4E85B5A9" w:rsidR="002473AB" w:rsidRPr="002473AB" w:rsidRDefault="002473AB" w:rsidP="002473AB">
            <w:pPr>
              <w:jc w:val="center"/>
            </w:pPr>
            <w:r w:rsidRPr="002473AB">
              <w:t xml:space="preserve">8.7 </w:t>
            </w:r>
            <w:proofErr w:type="spellStart"/>
            <w:r w:rsidRPr="002473AB">
              <w:t>μs</w:t>
            </w:r>
            <w:proofErr w:type="spellEnd"/>
          </w:p>
        </w:tc>
        <w:tc>
          <w:tcPr>
            <w:tcW w:w="1985" w:type="dxa"/>
          </w:tcPr>
          <w:p w14:paraId="627680F0" w14:textId="3B84CEDE" w:rsidR="002473AB" w:rsidRPr="002473AB" w:rsidRDefault="002473AB" w:rsidP="002473AB">
            <w:pPr>
              <w:jc w:val="center"/>
            </w:pPr>
            <w:r w:rsidRPr="002473AB">
              <w:rPr>
                <w:rFonts w:ascii="Calibri" w:eastAsia="Times New Roman" w:hAnsi="Calibri" w:cs="Calibri"/>
                <w:color w:val="000000"/>
              </w:rPr>
              <w:t>1.034483</w:t>
            </w:r>
          </w:p>
        </w:tc>
      </w:tr>
      <w:tr w:rsidR="002473AB" w:rsidRPr="002473AB" w14:paraId="71BEFE15" w14:textId="773D688D" w:rsidTr="002473AB">
        <w:tc>
          <w:tcPr>
            <w:tcW w:w="2775" w:type="dxa"/>
          </w:tcPr>
          <w:p w14:paraId="1B61BBD8" w14:textId="0A326901" w:rsidR="002473AB" w:rsidRPr="002473AB" w:rsidRDefault="002473AB" w:rsidP="002473AB">
            <w:pPr>
              <w:jc w:val="center"/>
            </w:pPr>
            <w:proofErr w:type="spellStart"/>
            <w:r w:rsidRPr="002473AB">
              <w:t>tinyArray</w:t>
            </w:r>
            <w:proofErr w:type="spellEnd"/>
          </w:p>
        </w:tc>
        <w:tc>
          <w:tcPr>
            <w:tcW w:w="2295" w:type="dxa"/>
          </w:tcPr>
          <w:p w14:paraId="0F702104" w14:textId="25B23535" w:rsidR="002473AB" w:rsidRPr="002473AB" w:rsidRDefault="002473AB" w:rsidP="002473AB">
            <w:pPr>
              <w:jc w:val="center"/>
            </w:pPr>
            <w:r w:rsidRPr="002473AB">
              <w:t xml:space="preserve">39.7 </w:t>
            </w:r>
            <w:proofErr w:type="spellStart"/>
            <w:r w:rsidRPr="002473AB">
              <w:t>μs</w:t>
            </w:r>
            <w:proofErr w:type="spellEnd"/>
          </w:p>
        </w:tc>
        <w:tc>
          <w:tcPr>
            <w:tcW w:w="2295" w:type="dxa"/>
          </w:tcPr>
          <w:p w14:paraId="5BAF5E3C" w14:textId="5C7EC9A0" w:rsidR="002473AB" w:rsidRPr="002473AB" w:rsidRDefault="002473AB" w:rsidP="002473AB">
            <w:pPr>
              <w:jc w:val="center"/>
            </w:pPr>
            <w:r w:rsidRPr="002473AB">
              <w:t xml:space="preserve">5.5 </w:t>
            </w:r>
            <w:proofErr w:type="spellStart"/>
            <w:r w:rsidRPr="002473AB">
              <w:t>μs</w:t>
            </w:r>
            <w:proofErr w:type="spellEnd"/>
          </w:p>
        </w:tc>
        <w:tc>
          <w:tcPr>
            <w:tcW w:w="1985" w:type="dxa"/>
          </w:tcPr>
          <w:p w14:paraId="09E0E29C" w14:textId="57EDE828" w:rsidR="002473AB" w:rsidRPr="002473AB" w:rsidRDefault="002473AB" w:rsidP="002473AB">
            <w:pPr>
              <w:jc w:val="center"/>
            </w:pPr>
            <w:r w:rsidRPr="002473AB">
              <w:rPr>
                <w:rFonts w:ascii="Calibri" w:eastAsia="Times New Roman" w:hAnsi="Calibri" w:cs="Calibri"/>
                <w:color w:val="000000"/>
              </w:rPr>
              <w:t>7.218182</w:t>
            </w:r>
          </w:p>
        </w:tc>
      </w:tr>
    </w:tbl>
    <w:p w14:paraId="6051FDB3" w14:textId="447EA18E" w:rsidR="002473AB" w:rsidRDefault="002473AB" w:rsidP="002473AB"/>
    <w:p w14:paraId="4908A325" w14:textId="45511597" w:rsidR="002473AB" w:rsidRDefault="002473AB" w:rsidP="002473AB">
      <w:r>
        <w:t xml:space="preserve">The Insert function has a significantly longer runtime than the Append Function, with the </w:t>
      </w:r>
      <w:r w:rsidR="00976BBD">
        <w:t>exception</w:t>
      </w:r>
      <w:r>
        <w:t xml:space="preserve"> of the medium array. I am not sure what is happening with the medium array</w:t>
      </w:r>
      <w:r w:rsidR="00976BBD">
        <w:t xml:space="preserve"> and why the Insert Function is lower than the Append Function. When it comes to scaling, the Insert function’s differences are significantly larger than the Append Functions differences. As such, the Append function has a smaller difference, so the Append Function would be ‘better’.</w:t>
      </w:r>
    </w:p>
    <w:p w14:paraId="3F85BDAD" w14:textId="2EDB5533" w:rsidR="00976BBD" w:rsidRDefault="00976BBD" w:rsidP="002473AB">
      <w:r>
        <w:t>(Extra Credit):</w:t>
      </w:r>
    </w:p>
    <w:p w14:paraId="2F603F99" w14:textId="0A6F0B01" w:rsidR="00976BBD" w:rsidRDefault="00976BBD" w:rsidP="002473AB">
      <w:r>
        <w:t>This makes sense because the Insert Function contains ‘</w:t>
      </w:r>
      <w:proofErr w:type="gramStart"/>
      <w:r>
        <w:t>unshift(</w:t>
      </w:r>
      <w:proofErr w:type="gramEnd"/>
      <w:r>
        <w:t>)’ which includes one other step other than adding to an array. That is, counting the array. This step creates a massive difference in time because there is another action going on.</w:t>
      </w:r>
    </w:p>
    <w:p w14:paraId="6105E101" w14:textId="3995D3AE" w:rsidR="00976BBD" w:rsidRDefault="00976BBD" w:rsidP="002473AB"/>
    <w:p w14:paraId="43E69EC4" w14:textId="2D9566E0" w:rsidR="00976BBD" w:rsidRPr="002473AB" w:rsidRDefault="00976BBD" w:rsidP="002473AB">
      <w:r>
        <w:t xml:space="preserve">Side note, there are some small inconsistencies with this report. Like the </w:t>
      </w:r>
      <w:proofErr w:type="spellStart"/>
      <w:r>
        <w:t>tinyArray’s</w:t>
      </w:r>
      <w:proofErr w:type="spellEnd"/>
      <w:r>
        <w:t xml:space="preserve"> Insert Function being larger than </w:t>
      </w:r>
      <w:proofErr w:type="spellStart"/>
      <w:r>
        <w:t>smallArray</w:t>
      </w:r>
      <w:proofErr w:type="spellEnd"/>
      <w:r>
        <w:t xml:space="preserve">. And </w:t>
      </w:r>
      <w:proofErr w:type="spellStart"/>
      <w:r>
        <w:t>mediumArray’s</w:t>
      </w:r>
      <w:proofErr w:type="spellEnd"/>
      <w:r>
        <w:t xml:space="preserve"> Insert Function being smaller than it’s Append Function. I suspect there are many causes of this. Such as computer performance tasks in every given microsecond.</w:t>
      </w:r>
    </w:p>
    <w:sectPr w:rsidR="00976BBD" w:rsidRPr="002473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3AB"/>
    <w:rsid w:val="002473AB"/>
    <w:rsid w:val="00262690"/>
    <w:rsid w:val="005015A8"/>
    <w:rsid w:val="007C43F3"/>
    <w:rsid w:val="00976B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87285"/>
  <w15:chartTrackingRefBased/>
  <w15:docId w15:val="{1D7902EA-7A73-474B-920E-D2989F0AD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473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340143">
      <w:bodyDiv w:val="1"/>
      <w:marLeft w:val="0"/>
      <w:marRight w:val="0"/>
      <w:marTop w:val="0"/>
      <w:marBottom w:val="0"/>
      <w:divBdr>
        <w:top w:val="none" w:sz="0" w:space="0" w:color="auto"/>
        <w:left w:val="none" w:sz="0" w:space="0" w:color="auto"/>
        <w:bottom w:val="none" w:sz="0" w:space="0" w:color="auto"/>
        <w:right w:val="none" w:sz="0" w:space="0" w:color="auto"/>
      </w:divBdr>
    </w:div>
    <w:div w:id="1531072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194</Words>
  <Characters>1111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Slade</dc:creator>
  <cp:keywords/>
  <dc:description/>
  <cp:lastModifiedBy>Brandon Slade</cp:lastModifiedBy>
  <cp:revision>1</cp:revision>
  <dcterms:created xsi:type="dcterms:W3CDTF">2022-09-30T23:11:00Z</dcterms:created>
  <dcterms:modified xsi:type="dcterms:W3CDTF">2022-09-30T23:29:00Z</dcterms:modified>
</cp:coreProperties>
</file>