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rFonts w:ascii="Arial" w:hAnsi="Arial" w:eastAsia="Arial"/>
          <w:b/>
          <w:i w:val="0"/>
          <w:color w:val="000000"/>
          <w:sz w:val="32"/>
        </w:rPr>
        <w:t>Weekly Status - Week 05</w:t>
      </w:r>
    </w:p>
    <w:p>
      <w:pPr>
        <w:spacing w:after="40" w:line="276" w:lineRule="auto"/>
        <w:jc w:val="center"/>
      </w:pPr>
      <w:r>
        <w:rPr>
          <w:rFonts w:ascii="Arial" w:hAnsi="Arial" w:eastAsia="Arial"/>
          <w:b w:val="0"/>
          <w:i w:val="0"/>
          <w:color w:val="000000"/>
          <w:sz w:val="24"/>
        </w:rPr>
        <w:t>Distributed Systems 2026-B - Group 2 - Amaranta</w:t>
      </w:r>
    </w:p>
    <w:p>
      <w:pPr>
        <w:spacing w:after="200" w:line="276" w:lineRule="auto"/>
        <w:jc w:val="center"/>
      </w:pPr>
      <w:r>
        <w:rPr>
          <w:rFonts w:ascii="Arial" w:hAnsi="Arial" w:eastAsia="Arial"/>
          <w:b w:val="0"/>
          <w:i w:val="0"/>
          <w:color w:val="000000"/>
          <w:sz w:val="24"/>
        </w:rPr>
        <w:t>Sprint window: Sep 7 - Sep 13, 2026</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4680"/>
        <w:gridCol w:w="4680"/>
      </w:tblGrid>
      <w:tr>
        <w:trPr>
          <w:tblHeader w:val="true"/>
        </w:trPr>
        <w:tc>
          <w:tcPr>
            <w:tcW w:type="dxa" w:w="2304"/>
          </w:tcPr>
          <w:p>
            <w:pPr>
              <w:spacing w:after="40"/>
            </w:pPr>
            <w:r/>
            <w:r>
              <w:rPr>
                <w:rFonts w:ascii="Arial" w:hAnsi="Arial" w:eastAsia="Arial"/>
                <w:b/>
                <w:i w:val="0"/>
                <w:color w:val="000000"/>
                <w:sz w:val="24"/>
              </w:rPr>
              <w:t>Field</w:t>
            </w:r>
          </w:p>
        </w:tc>
        <w:tc>
          <w:tcPr>
            <w:tcW w:type="dxa" w:w="7056"/>
          </w:tcPr>
          <w:p>
            <w:pPr>
              <w:spacing w:after="40"/>
            </w:pPr>
            <w:r/>
            <w:r>
              <w:rPr>
                <w:rFonts w:ascii="Arial" w:hAnsi="Arial" w:eastAsia="Arial"/>
                <w:b/>
                <w:i w:val="0"/>
                <w:color w:val="000000"/>
                <w:sz w:val="24"/>
              </w:rPr>
              <w:t>Value</w:t>
            </w:r>
          </w:p>
        </w:tc>
      </w:tr>
      <w:tr>
        <w:tc>
          <w:tcPr>
            <w:tcW w:type="dxa" w:w="2304"/>
          </w:tcPr>
          <w:p>
            <w:pPr>
              <w:spacing w:after="40"/>
            </w:pPr>
            <w:r/>
            <w:r>
              <w:rPr>
                <w:rFonts w:ascii="Arial" w:hAnsi="Arial" w:eastAsia="Arial"/>
                <w:b w:val="0"/>
                <w:i w:val="0"/>
                <w:color w:val="000000"/>
                <w:sz w:val="24"/>
              </w:rPr>
              <w:t>FULL_NAME</w:t>
            </w:r>
          </w:p>
        </w:tc>
        <w:tc>
          <w:tcPr>
            <w:tcW w:type="dxa" w:w="7056"/>
          </w:tcPr>
          <w:p>
            <w:pPr>
              <w:spacing w:after="40"/>
            </w:pPr>
            <w:r/>
            <w:r>
              <w:rPr>
                <w:rFonts w:ascii="Arial" w:hAnsi="Arial" w:eastAsia="Arial"/>
                <w:b w:val="0"/>
                <w:i w:val="0"/>
                <w:color w:val="000000"/>
                <w:sz w:val="24"/>
              </w:rPr>
              <w:t>Brandow Stivent Claros Polania</w:t>
            </w:r>
          </w:p>
        </w:tc>
      </w:tr>
      <w:tr>
        <w:tc>
          <w:tcPr>
            <w:tcW w:type="dxa" w:w="2304"/>
          </w:tcPr>
          <w:p>
            <w:pPr>
              <w:spacing w:after="40"/>
            </w:pPr>
            <w:r/>
            <w:r>
              <w:rPr>
                <w:rFonts w:ascii="Arial" w:hAnsi="Arial" w:eastAsia="Arial"/>
                <w:b w:val="0"/>
                <w:i w:val="0"/>
                <w:color w:val="000000"/>
                <w:sz w:val="24"/>
              </w:rPr>
              <w:t>GITHUB_USER</w:t>
            </w:r>
          </w:p>
        </w:tc>
        <w:tc>
          <w:tcPr>
            <w:tcW w:type="dxa" w:w="7056"/>
          </w:tcPr>
          <w:p>
            <w:pPr>
              <w:spacing w:after="40"/>
            </w:pPr>
            <w:r/>
            <w:r>
              <w:rPr>
                <w:rFonts w:ascii="Arial" w:hAnsi="Arial" w:eastAsia="Arial"/>
                <w:b w:val="0"/>
                <w:i w:val="0"/>
                <w:color w:val="000000"/>
                <w:sz w:val="24"/>
              </w:rPr>
              <w:t>BrandowC</w:t>
            </w:r>
          </w:p>
        </w:tc>
      </w:tr>
      <w:tr>
        <w:tc>
          <w:tcPr>
            <w:tcW w:type="dxa" w:w="2304"/>
          </w:tcPr>
          <w:p>
            <w:pPr>
              <w:spacing w:after="40"/>
            </w:pPr>
            <w:r/>
            <w:r>
              <w:rPr>
                <w:rFonts w:ascii="Arial" w:hAnsi="Arial" w:eastAsia="Arial"/>
                <w:b w:val="0"/>
                <w:i w:val="0"/>
                <w:color w:val="000000"/>
                <w:sz w:val="24"/>
              </w:rPr>
              <w:t>TEAM</w:t>
            </w:r>
          </w:p>
        </w:tc>
        <w:tc>
          <w:tcPr>
            <w:tcW w:type="dxa" w:w="7056"/>
          </w:tcPr>
          <w:p>
            <w:pPr>
              <w:spacing w:after="40"/>
            </w:pPr>
            <w:r/>
            <w:r>
              <w:rPr>
                <w:rFonts w:ascii="Arial" w:hAnsi="Arial" w:eastAsia="Arial"/>
                <w:b w:val="0"/>
                <w:i w:val="0"/>
                <w:color w:val="000000"/>
                <w:sz w:val="24"/>
              </w:rPr>
              <w:t>amaranta</w:t>
            </w:r>
          </w:p>
        </w:tc>
      </w:tr>
      <w:tr>
        <w:tc>
          <w:tcPr>
            <w:tcW w:type="dxa" w:w="2304"/>
          </w:tcPr>
          <w:p>
            <w:pPr>
              <w:spacing w:after="40"/>
            </w:pPr>
            <w:r/>
            <w:r>
              <w:rPr>
                <w:rFonts w:ascii="Arial" w:hAnsi="Arial" w:eastAsia="Arial"/>
                <w:b w:val="0"/>
                <w:i w:val="0"/>
                <w:color w:val="000000"/>
                <w:sz w:val="24"/>
              </w:rPr>
              <w:t>SPRINT_GOAL</w:t>
            </w:r>
          </w:p>
        </w:tc>
        <w:tc>
          <w:tcPr>
            <w:tcW w:type="dxa" w:w="7056"/>
          </w:tcPr>
          <w:p>
            <w:pPr>
              <w:spacing w:after="40"/>
            </w:pPr>
            <w:r/>
            <w:r>
              <w:rPr>
                <w:rFonts w:ascii="Arial" w:hAnsi="Arial" w:eastAsia="Arial"/>
                <w:b w:val="0"/>
                <w:i w:val="0"/>
                <w:color w:val="000000"/>
                <w:sz w:val="24"/>
              </w:rPr>
              <w:t>Package and publish the individual evidence of weeks 1-4 in the fork and get the Cut 1 backlog (clinic and scheduling stories) ready for the next sprint. Low-activity week: no commits to the code or docs repos.</w:t>
            </w:r>
          </w:p>
        </w:tc>
      </w:tr>
    </w:tbl>
    <w:p>
      <w:pPr>
        <w:spacing w:after="80"/>
      </w:pPr>
    </w:p>
    <w:p>
      <w:pPr>
        <w:keepNext/>
        <w:spacing w:after="80" w:line="276" w:lineRule="auto" w:before="240"/>
      </w:pPr>
      <w:r>
        <w:rPr>
          <w:rFonts w:ascii="Arial" w:hAnsi="Arial" w:eastAsia="Arial"/>
          <w:b/>
          <w:i w:val="0"/>
          <w:color w:val="000000"/>
          <w:sz w:val="24"/>
        </w:rPr>
        <w:t>1. Context of the week</w:t>
      </w:r>
    </w:p>
    <w:p>
      <w:pPr>
        <w:spacing w:after="120" w:line="276" w:lineRule="auto"/>
      </w:pPr>
      <w:r>
        <w:rPr>
          <w:rFonts w:ascii="Arial" w:hAnsi="Arial" w:eastAsia="Arial"/>
          <w:b w:val="0"/>
          <w:i w:val="0"/>
          <w:color w:val="000000"/>
          <w:sz w:val="24"/>
        </w:rPr>
        <w:t>Week 05 (Sep 7 - Sep 13, 2026) was a low-activity week for the project repositories. No commit authored by BrandowC is dated in the code or documentation repositories in this window, and this report says so plainly instead of padding the week.</w:t>
      </w:r>
    </w:p>
    <w:p>
      <w:pPr>
        <w:spacing w:after="120" w:line="276" w:lineRule="auto"/>
      </w:pPr>
      <w:r>
        <w:rPr>
          <w:rFonts w:ascii="Arial" w:hAnsi="Arial" w:eastAsia="Arial"/>
          <w:b w:val="0"/>
          <w:i w:val="0"/>
          <w:color w:val="000000"/>
          <w:sz w:val="24"/>
        </w:rPr>
        <w:t>The week served as a transition between the MVP 1 monolith of Sprint 4 and the Cut 1 backlog (the clinic side of Amaranta) that was implemented in Sprint 6. The individual delivery pipeline of the course moved forward in the fork.</w:t>
      </w:r>
    </w:p>
    <w:p>
      <w:pPr>
        <w:keepNext/>
        <w:spacing w:after="80" w:line="276" w:lineRule="auto" w:before="240"/>
      </w:pPr>
      <w:r>
        <w:rPr>
          <w:rFonts w:ascii="Arial" w:hAnsi="Arial" w:eastAsia="Arial"/>
          <w:b/>
          <w:i w:val="0"/>
          <w:color w:val="000000"/>
          <w:sz w:val="24"/>
        </w:rPr>
        <w:t>2. What was done</w:t>
      </w:r>
    </w:p>
    <w:p>
      <w:pPr>
        <w:spacing w:after="120" w:line="276" w:lineRule="auto"/>
      </w:pPr>
      <w:r>
        <w:rPr>
          <w:rFonts w:ascii="Arial" w:hAnsi="Arial" w:eastAsia="Arial"/>
          <w:b/>
          <w:i w:val="0"/>
          <w:color w:val="000000"/>
          <w:sz w:val="24"/>
        </w:rPr>
        <w:t xml:space="preserve">Course deliverables published. </w:t>
      </w:r>
      <w:r>
        <w:rPr>
          <w:rFonts w:ascii="Arial" w:hAnsi="Arial" w:eastAsia="Arial"/>
          <w:b w:val="0"/>
          <w:i w:val="0"/>
          <w:color w:val="000000"/>
          <w:sz w:val="24"/>
        </w:rPr>
        <w:t>On Sep 10 the session reports of weeks 1 to 4 were published in the fork (commit 6ef29d6): six PDF reports and the example diagrams of weeks 3 and 4. The same commit removed the earlier PDR drafts of weeks 1 and 2, which the session reports replaced.</w:t>
      </w:r>
    </w:p>
    <w:p>
      <w:pPr>
        <w:spacing w:after="120" w:line="276" w:lineRule="auto"/>
      </w:pPr>
      <w:r>
        <w:rPr>
          <w:rFonts w:ascii="Arial" w:hAnsi="Arial" w:eastAsia="Arial"/>
          <w:b/>
          <w:i w:val="0"/>
          <w:color w:val="000000"/>
          <w:sz w:val="24"/>
        </w:rPr>
        <w:t xml:space="preserve">Preparation of Cut 1. </w:t>
      </w:r>
      <w:r>
        <w:rPr>
          <w:rFonts w:ascii="Arial" w:hAnsi="Arial" w:eastAsia="Arial"/>
          <w:b w:val="0"/>
          <w:i w:val="0"/>
          <w:color w:val="000000"/>
          <w:sz w:val="24"/>
        </w:rPr>
        <w:t>The Clinical and Scheduling user stories in 04-requirements/user-stories.md were reviewed together with the domain rules and the data model to decide which stories belong to Cut 1 and which bounded contexts had to be added to the monolith. This preparation has no commit of its own; its result is the implementation delivered in week 06.</w:t>
      </w:r>
    </w:p>
    <w:p>
      <w:pPr>
        <w:keepNext/>
        <w:spacing w:after="80" w:line="276" w:lineRule="auto" w:before="240"/>
      </w:pPr>
      <w:r>
        <w:rPr>
          <w:rFonts w:ascii="Arial" w:hAnsi="Arial" w:eastAsia="Arial"/>
          <w:b/>
          <w:i w:val="0"/>
          <w:color w:val="000000"/>
          <w:sz w:val="24"/>
        </w:rPr>
        <w:t>3. User stories worked this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584"/>
          </w:tcPr>
          <w:p>
            <w:pPr>
              <w:spacing w:after="40"/>
            </w:pPr>
            <w:r/>
            <w:r>
              <w:rPr>
                <w:rFonts w:ascii="Arial" w:hAnsi="Arial" w:eastAsia="Arial"/>
                <w:b/>
                <w:i w:val="0"/>
                <w:color w:val="000000"/>
                <w:sz w:val="24"/>
              </w:rPr>
              <w:t>HU ID</w:t>
            </w:r>
          </w:p>
        </w:tc>
        <w:tc>
          <w:tcPr>
            <w:tcW w:type="dxa" w:w="3744"/>
          </w:tcPr>
          <w:p>
            <w:pPr>
              <w:spacing w:after="40"/>
            </w:pPr>
            <w:r/>
            <w:r>
              <w:rPr>
                <w:rFonts w:ascii="Arial" w:hAnsi="Arial" w:eastAsia="Arial"/>
                <w:b/>
                <w:i w:val="0"/>
                <w:color w:val="000000"/>
                <w:sz w:val="24"/>
              </w:rPr>
              <w:t>Title</w:t>
            </w:r>
          </w:p>
        </w:tc>
        <w:tc>
          <w:tcPr>
            <w:tcW w:type="dxa" w:w="1152"/>
          </w:tcPr>
          <w:p>
            <w:pPr>
              <w:spacing w:after="40"/>
            </w:pPr>
            <w:r/>
            <w:r>
              <w:rPr>
                <w:rFonts w:ascii="Arial" w:hAnsi="Arial" w:eastAsia="Arial"/>
                <w:b/>
                <w:i w:val="0"/>
                <w:color w:val="000000"/>
                <w:sz w:val="24"/>
              </w:rPr>
              <w:t>Status</w:t>
            </w:r>
          </w:p>
        </w:tc>
        <w:tc>
          <w:tcPr>
            <w:tcW w:type="dxa" w:w="2880"/>
          </w:tcPr>
          <w:p>
            <w:pPr>
              <w:spacing w:after="40"/>
            </w:pPr>
            <w:r/>
            <w:r>
              <w:rPr>
                <w:rFonts w:ascii="Arial" w:hAnsi="Arial" w:eastAsia="Arial"/>
                <w:b/>
                <w:i w:val="0"/>
                <w:color w:val="000000"/>
                <w:sz w:val="24"/>
              </w:rPr>
              <w:t>Evidence</w:t>
            </w:r>
          </w:p>
        </w:tc>
      </w:tr>
      <w:tr>
        <w:tc>
          <w:tcPr>
            <w:tcW w:type="dxa" w:w="1584"/>
          </w:tcPr>
          <w:p>
            <w:pPr>
              <w:spacing w:after="40"/>
            </w:pPr>
            <w:r/>
            <w:r>
              <w:rPr>
                <w:rFonts w:ascii="Arial" w:hAnsi="Arial" w:eastAsia="Arial"/>
                <w:b w:val="0"/>
                <w:i w:val="0"/>
                <w:color w:val="000000"/>
                <w:sz w:val="24"/>
              </w:rPr>
              <w:t>HU-CLIN-001</w:t>
            </w:r>
          </w:p>
        </w:tc>
        <w:tc>
          <w:tcPr>
            <w:tcW w:type="dxa" w:w="3744"/>
          </w:tcPr>
          <w:p>
            <w:pPr>
              <w:spacing w:after="40"/>
            </w:pPr>
            <w:r/>
            <w:r>
              <w:rPr>
                <w:rFonts w:ascii="Arial" w:hAnsi="Arial" w:eastAsia="Arial"/>
                <w:b w:val="0"/>
                <w:i w:val="0"/>
                <w:color w:val="000000"/>
                <w:sz w:val="24"/>
              </w:rPr>
              <w:t>Register a pet - analysis and planning for Cut 1</w:t>
            </w:r>
          </w:p>
        </w:tc>
        <w:tc>
          <w:tcPr>
            <w:tcW w:type="dxa" w:w="1152"/>
          </w:tcPr>
          <w:p>
            <w:pPr>
              <w:spacing w:after="40"/>
            </w:pPr>
            <w:r/>
            <w:r>
              <w:rPr>
                <w:rFonts w:ascii="Arial" w:hAnsi="Arial" w:eastAsia="Arial"/>
                <w:b w:val="0"/>
                <w:i w:val="0"/>
                <w:color w:val="000000"/>
                <w:sz w:val="24"/>
              </w:rPr>
              <w:t>todo</w:t>
            </w:r>
          </w:p>
        </w:tc>
        <w:tc>
          <w:tcPr>
            <w:tcW w:type="dxa" w:w="2880"/>
          </w:tcPr>
          <w:p>
            <w:pPr>
              <w:spacing w:after="40"/>
            </w:pPr>
            <w:r/>
            <w:r>
              <w:rPr>
                <w:rFonts w:ascii="Arial" w:hAnsi="Arial" w:eastAsia="Arial"/>
                <w:b w:val="0"/>
                <w:i w:val="0"/>
                <w:color w:val="000000"/>
                <w:sz w:val="24"/>
              </w:rPr>
              <w:t>No commit yet; implemented in week 06</w:t>
            </w:r>
          </w:p>
        </w:tc>
      </w:tr>
      <w:tr>
        <w:tc>
          <w:tcPr>
            <w:tcW w:type="dxa" w:w="1584"/>
          </w:tcPr>
          <w:p>
            <w:pPr>
              <w:spacing w:after="40"/>
            </w:pPr>
            <w:r/>
            <w:r>
              <w:rPr>
                <w:rFonts w:ascii="Arial" w:hAnsi="Arial" w:eastAsia="Arial"/>
                <w:b w:val="0"/>
                <w:i w:val="0"/>
                <w:color w:val="000000"/>
                <w:sz w:val="24"/>
              </w:rPr>
              <w:t>HU-SCHED-001</w:t>
            </w:r>
          </w:p>
        </w:tc>
        <w:tc>
          <w:tcPr>
            <w:tcW w:type="dxa" w:w="3744"/>
          </w:tcPr>
          <w:p>
            <w:pPr>
              <w:spacing w:after="40"/>
            </w:pPr>
            <w:r/>
            <w:r>
              <w:rPr>
                <w:rFonts w:ascii="Arial" w:hAnsi="Arial" w:eastAsia="Arial"/>
                <w:b w:val="0"/>
                <w:i w:val="0"/>
                <w:color w:val="000000"/>
                <w:sz w:val="24"/>
              </w:rPr>
              <w:t>Book an appointment within business hours - analysis and planning for Cut 1</w:t>
            </w:r>
          </w:p>
        </w:tc>
        <w:tc>
          <w:tcPr>
            <w:tcW w:type="dxa" w:w="1152"/>
          </w:tcPr>
          <w:p>
            <w:pPr>
              <w:spacing w:after="40"/>
            </w:pPr>
            <w:r/>
            <w:r>
              <w:rPr>
                <w:rFonts w:ascii="Arial" w:hAnsi="Arial" w:eastAsia="Arial"/>
                <w:b w:val="0"/>
                <w:i w:val="0"/>
                <w:color w:val="000000"/>
                <w:sz w:val="24"/>
              </w:rPr>
              <w:t>todo</w:t>
            </w:r>
          </w:p>
        </w:tc>
        <w:tc>
          <w:tcPr>
            <w:tcW w:type="dxa" w:w="2880"/>
          </w:tcPr>
          <w:p>
            <w:pPr>
              <w:spacing w:after="40"/>
            </w:pPr>
            <w:r/>
            <w:r>
              <w:rPr>
                <w:rFonts w:ascii="Arial" w:hAnsi="Arial" w:eastAsia="Arial"/>
                <w:b w:val="0"/>
                <w:i w:val="0"/>
                <w:color w:val="000000"/>
                <w:sz w:val="24"/>
              </w:rPr>
              <w:t>No commit yet; implemented in week 06</w:t>
            </w:r>
          </w:p>
        </w:tc>
      </w:tr>
    </w:tbl>
    <w:p>
      <w:pPr>
        <w:spacing w:after="80"/>
      </w:pPr>
    </w:p>
    <w:p>
      <w:pPr>
        <w:keepNext/>
        <w:spacing w:after="80" w:line="276" w:lineRule="auto" w:before="240"/>
      </w:pPr>
      <w:r>
        <w:rPr>
          <w:rFonts w:ascii="Arial" w:hAnsi="Arial" w:eastAsia="Arial"/>
          <w:b/>
          <w:i w:val="0"/>
          <w:color w:val="000000"/>
          <w:sz w:val="24"/>
        </w:rPr>
        <w:t>4. Supporting evidence</w:t>
      </w:r>
    </w:p>
    <w:p>
      <w:pPr>
        <w:spacing w:after="120" w:line="276" w:lineRule="auto"/>
      </w:pPr>
      <w:r>
        <w:rPr>
          <w:rFonts w:ascii="Arial" w:hAnsi="Arial" w:eastAsia="Arial"/>
          <w:b w:val="0"/>
          <w:i w:val="0"/>
          <w:color w:val="000000"/>
          <w:sz w:val="24"/>
        </w:rPr>
        <w:t>The figures below are generated from the real git history and from the project artefacts. The tables list every commit and pull request authored by BrandowC in the week.</w:t>
      </w:r>
    </w:p>
    <w:p>
      <w:pPr>
        <w:keepNext/>
        <w:jc w:val="center"/>
      </w:pPr>
      <w:r>
        <w:rPr>
          <w:rFonts w:ascii="Arial" w:hAnsi="Arial"/>
          <w:color w:val="000000"/>
          <w:sz w:val="24"/>
        </w:rPr>
        <w:drawing>
          <wp:inline xmlns:a="http://schemas.openxmlformats.org/drawingml/2006/main" xmlns:pic="http://schemas.openxmlformats.org/drawingml/2006/picture">
            <wp:extent cx="5852160" cy="2438400"/>
            <wp:docPr id="1" name="Picture 1"/>
            <wp:cNvGraphicFramePr>
              <a:graphicFrameLocks noChangeAspect="1"/>
            </wp:cNvGraphicFramePr>
            <a:graphic>
              <a:graphicData uri="http://schemas.openxmlformats.org/drawingml/2006/picture">
                <pic:pic>
                  <pic:nvPicPr>
                    <pic:cNvPr id="0" name="act5.png"/>
                    <pic:cNvPicPr/>
                  </pic:nvPicPr>
                  <pic:blipFill>
                    <a:blip r:embed="rId9"/>
                    <a:stretch>
                      <a:fillRect/>
                    </a:stretch>
                  </pic:blipFill>
                  <pic:spPr>
                    <a:xfrm>
                      <a:off x="0" y="0"/>
                      <a:ext cx="5852160" cy="2438400"/>
                    </a:xfrm>
                    <a:prstGeom prst="rect"/>
                  </pic:spPr>
                </pic:pic>
              </a:graphicData>
            </a:graphic>
          </wp:inline>
        </w:drawing>
      </w:r>
    </w:p>
    <w:p>
      <w:pPr>
        <w:spacing w:after="200" w:line="276" w:lineRule="auto"/>
        <w:jc w:val="center"/>
      </w:pPr>
      <w:r>
        <w:rPr>
          <w:rFonts w:ascii="Arial" w:hAnsi="Arial" w:eastAsia="Arial"/>
          <w:b w:val="0"/>
          <w:i w:val="0"/>
          <w:color w:val="000000"/>
          <w:sz w:val="24"/>
        </w:rPr>
        <w:t>Figure 5.1. Daily commits and merged pull requests authored by BrandowC in week 05, counted from git history of the code, documentation, infrastructure and course-fork repositories.</w:t>
      </w:r>
    </w:p>
    <w:p>
      <w:pPr>
        <w:keepNext/>
        <w:jc w:val="center"/>
      </w:pPr>
      <w:r>
        <w:rPr>
          <w:rFonts w:ascii="Arial" w:hAnsi="Arial"/>
          <w:color w:val="000000"/>
          <w:sz w:val="24"/>
        </w:rPr>
        <w:drawing>
          <wp:inline xmlns:a="http://schemas.openxmlformats.org/drawingml/2006/main" xmlns:pic="http://schemas.openxmlformats.org/drawingml/2006/picture">
            <wp:extent cx="5852160" cy="2755629"/>
            <wp:docPr id="2" name="Picture 2"/>
            <wp:cNvGraphicFramePr>
              <a:graphicFrameLocks noChangeAspect="1"/>
            </wp:cNvGraphicFramePr>
            <a:graphic>
              <a:graphicData uri="http://schemas.openxmlformats.org/drawingml/2006/picture">
                <pic:pic>
                  <pic:nvPicPr>
                    <pic:cNvPr id="0" name="w5a.png"/>
                    <pic:cNvPicPr/>
                  </pic:nvPicPr>
                  <pic:blipFill>
                    <a:blip r:embed="rId10"/>
                    <a:stretch>
                      <a:fillRect/>
                    </a:stretch>
                  </pic:blipFill>
                  <pic:spPr>
                    <a:xfrm>
                      <a:off x="0" y="0"/>
                      <a:ext cx="5852160" cy="2755629"/>
                    </a:xfrm>
                    <a:prstGeom prst="rect"/>
                  </pic:spPr>
                </pic:pic>
              </a:graphicData>
            </a:graphic>
          </wp:inline>
        </w:drawing>
      </w:r>
    </w:p>
    <w:p>
      <w:pPr>
        <w:spacing w:after="200" w:line="276" w:lineRule="auto"/>
        <w:jc w:val="center"/>
      </w:pPr>
      <w:r>
        <w:rPr>
          <w:rFonts w:ascii="Arial" w:hAnsi="Arial" w:eastAsia="Arial"/>
          <w:b w:val="0"/>
          <w:i w:val="0"/>
          <w:color w:val="000000"/>
          <w:sz w:val="24"/>
        </w:rPr>
        <w:t>Figure 5.2. The only commit of the window: session reports of weeks 1-4 published in the fork, replacing the PDR drafts.</w:t>
      </w:r>
    </w:p>
    <w:p>
      <w:pPr>
        <w:spacing w:after="60" w:line="276" w:lineRule="auto"/>
      </w:pPr>
      <w:r>
        <w:rPr>
          <w:rFonts w:ascii="Arial" w:hAnsi="Arial" w:eastAsia="Arial"/>
          <w:b/>
          <w:i w:val="0"/>
          <w:color w:val="000000"/>
          <w:sz w:val="24"/>
        </w:rPr>
        <w:t>Table 1. Commits authored in the week</w:t>
      </w:r>
    </w:p>
    <w:tbl>
      <w:tblPr>
        <w:tblStyle w:val="TableGrid"/>
        <w:tblW w:type="auto" w:w="0"/>
        <w:tblLayout w:type="fixed"/>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Grid>
        <w:gridCol w:w="2340"/>
        <w:gridCol w:w="2340"/>
        <w:gridCol w:w="2340"/>
        <w:gridCol w:w="2340"/>
      </w:tblGrid>
      <w:tr>
        <w:trPr>
          <w:tblHeader w:val="true"/>
        </w:trPr>
        <w:tc>
          <w:tcPr>
            <w:tcW w:type="dxa" w:w="1368"/>
          </w:tcPr>
          <w:p>
            <w:pPr>
              <w:spacing w:after="40"/>
            </w:pPr>
            <w:r/>
            <w:r>
              <w:rPr>
                <w:rFonts w:ascii="Arial" w:hAnsi="Arial" w:eastAsia="Arial"/>
                <w:b/>
                <w:i w:val="0"/>
                <w:color w:val="000000"/>
                <w:sz w:val="24"/>
              </w:rPr>
              <w:t>Date</w:t>
            </w:r>
          </w:p>
        </w:tc>
        <w:tc>
          <w:tcPr>
            <w:tcW w:type="dxa" w:w="1728"/>
          </w:tcPr>
          <w:p>
            <w:pPr>
              <w:spacing w:after="40"/>
            </w:pPr>
            <w:r/>
            <w:r>
              <w:rPr>
                <w:rFonts w:ascii="Arial" w:hAnsi="Arial" w:eastAsia="Arial"/>
                <w:b/>
                <w:i w:val="0"/>
                <w:color w:val="000000"/>
                <w:sz w:val="24"/>
              </w:rPr>
              <w:t>Repository</w:t>
            </w:r>
          </w:p>
        </w:tc>
        <w:tc>
          <w:tcPr>
            <w:tcW w:type="dxa" w:w="1080"/>
          </w:tcPr>
          <w:p>
            <w:pPr>
              <w:spacing w:after="40"/>
            </w:pPr>
            <w:r/>
            <w:r>
              <w:rPr>
                <w:rFonts w:ascii="Arial" w:hAnsi="Arial" w:eastAsia="Arial"/>
                <w:b/>
                <w:i w:val="0"/>
                <w:color w:val="000000"/>
                <w:sz w:val="24"/>
              </w:rPr>
              <w:t>SHA</w:t>
            </w:r>
          </w:p>
        </w:tc>
        <w:tc>
          <w:tcPr>
            <w:tcW w:type="dxa" w:w="5184"/>
          </w:tcPr>
          <w:p>
            <w:pPr>
              <w:spacing w:after="40"/>
            </w:pPr>
            <w:r/>
            <w:r>
              <w:rPr>
                <w:rFonts w:ascii="Arial" w:hAnsi="Arial" w:eastAsia="Arial"/>
                <w:b/>
                <w:i w:val="0"/>
                <w:color w:val="000000"/>
                <w:sz w:val="24"/>
              </w:rPr>
              <w:t>Message</w:t>
            </w:r>
          </w:p>
        </w:tc>
      </w:tr>
      <w:tr>
        <w:tc>
          <w:tcPr>
            <w:tcW w:type="dxa" w:w="1368"/>
          </w:tcPr>
          <w:p>
            <w:pPr>
              <w:spacing w:after="40"/>
            </w:pPr>
            <w:r/>
            <w:r>
              <w:rPr>
                <w:rFonts w:ascii="Arial" w:hAnsi="Arial" w:eastAsia="Arial"/>
                <w:b w:val="0"/>
                <w:i w:val="0"/>
                <w:color w:val="000000"/>
                <w:sz w:val="24"/>
              </w:rPr>
              <w:t>2026-09-10</w:t>
            </w:r>
          </w:p>
        </w:tc>
        <w:tc>
          <w:tcPr>
            <w:tcW w:type="dxa" w:w="1728"/>
          </w:tcPr>
          <w:p>
            <w:pPr>
              <w:spacing w:after="40"/>
            </w:pPr>
            <w:r/>
            <w:r>
              <w:rPr>
                <w:rFonts w:ascii="Arial" w:hAnsi="Arial" w:eastAsia="Arial"/>
                <w:b w:val="0"/>
                <w:i w:val="0"/>
                <w:color w:val="000000"/>
                <w:sz w:val="24"/>
              </w:rPr>
              <w:t>course fork</w:t>
            </w:r>
          </w:p>
        </w:tc>
        <w:tc>
          <w:tcPr>
            <w:tcW w:type="dxa" w:w="1080"/>
          </w:tcPr>
          <w:p>
            <w:pPr>
              <w:spacing w:after="40"/>
            </w:pPr>
            <w:r/>
            <w:r>
              <w:rPr>
                <w:rFonts w:ascii="Arial" w:hAnsi="Arial" w:eastAsia="Arial"/>
                <w:b w:val="0"/>
                <w:i w:val="0"/>
                <w:color w:val="000000"/>
                <w:sz w:val="24"/>
              </w:rPr>
              <w:t>6ef29d6</w:t>
            </w:r>
          </w:p>
        </w:tc>
        <w:tc>
          <w:tcPr>
            <w:tcW w:type="dxa" w:w="5184"/>
          </w:tcPr>
          <w:p>
            <w:pPr>
              <w:spacing w:after="40"/>
            </w:pPr>
            <w:r/>
            <w:r>
              <w:rPr>
                <w:rFonts w:ascii="Arial" w:hAnsi="Arial" w:eastAsia="Arial"/>
                <w:b w:val="0"/>
                <w:i w:val="0"/>
                <w:color w:val="000000"/>
                <w:sz w:val="24"/>
              </w:rPr>
              <w:t>entregables de avances (EN: progress deliverables: session reports of weeks 1-4)</w:t>
            </w:r>
          </w:p>
        </w:tc>
      </w:tr>
    </w:tbl>
    <w:p>
      <w:pPr>
        <w:spacing w:after="80"/>
      </w:pPr>
    </w:p>
    <w:p>
      <w:pPr>
        <w:keepNext/>
        <w:spacing w:after="80" w:line="276" w:lineRule="auto" w:before="240"/>
      </w:pPr>
      <w:r>
        <w:rPr>
          <w:rFonts w:ascii="Arial" w:hAnsi="Arial" w:eastAsia="Arial"/>
          <w:b/>
          <w:i w:val="0"/>
          <w:color w:val="000000"/>
          <w:sz w:val="24"/>
        </w:rPr>
        <w:t>5. Individual contribution</w:t>
      </w:r>
    </w:p>
    <w:p>
      <w:pPr>
        <w:spacing w:after="60" w:line="276" w:lineRule="auto"/>
      </w:pPr>
      <w:r>
        <w:rPr>
          <w:rFonts w:ascii="Arial" w:hAnsi="Arial" w:eastAsia="Arial"/>
          <w:b/>
          <w:i w:val="0"/>
          <w:color w:val="000000"/>
          <w:sz w:val="24"/>
        </w:rPr>
        <w:t>Course deliverables</w:t>
      </w:r>
    </w:p>
    <w:p>
      <w:pPr>
        <w:pStyle w:val="ListBullet"/>
        <w:spacing w:after="60"/>
      </w:pPr>
      <w:r>
        <w:rPr>
          <w:rFonts w:ascii="Arial" w:hAnsi="Arial" w:eastAsia="Arial"/>
          <w:b w:val="0"/>
          <w:i w:val="0"/>
          <w:color w:val="000000"/>
          <w:sz w:val="24"/>
        </w:rPr>
        <w:t>Published the session reports for weeks 1-4 (six PDFs plus the week 03 and week 04 example diagrams) to the fork, and removed the superseded PDR drafts of weeks 1-2 (commit 6ef29d6, Sep 10).</w:t>
      </w:r>
    </w:p>
    <w:p>
      <w:pPr>
        <w:pStyle w:val="ListBullet"/>
        <w:spacing w:after="60"/>
      </w:pPr>
      <w:r>
        <w:rPr>
          <w:rFonts w:ascii="Arial" w:hAnsi="Arial" w:eastAsia="Arial"/>
          <w:b w:val="0"/>
          <w:i w:val="0"/>
          <w:color w:val="000000"/>
          <w:sz w:val="24"/>
        </w:rPr>
        <w:t>Prepared Cut 1 (clinic side of Amaranta): reviewed the Clinical and Scheduling user stories in `04-requirements/user-stories.md`, the domain rules and the data model to scope which stories belong to Cut 1 and which bounded contexts to add to the monolith. The implementation followed in week 06.</w:t>
      </w:r>
    </w:p>
    <w:p>
      <w:pPr>
        <w:spacing w:after="60" w:line="276" w:lineRule="auto"/>
      </w:pPr>
      <w:r>
        <w:rPr>
          <w:rFonts w:ascii="Arial" w:hAnsi="Arial" w:eastAsia="Arial"/>
          <w:b/>
          <w:i w:val="0"/>
          <w:color w:val="000000"/>
          <w:sz w:val="24"/>
        </w:rPr>
        <w:t>Honest status</w:t>
      </w:r>
    </w:p>
    <w:p>
      <w:pPr>
        <w:pStyle w:val="ListBullet"/>
        <w:spacing w:after="60"/>
      </w:pPr>
      <w:r>
        <w:rPr>
          <w:rFonts w:ascii="Arial" w:hAnsi="Arial" w:eastAsia="Arial"/>
          <w:b w:val="0"/>
          <w:i w:val="0"/>
          <w:color w:val="000000"/>
          <w:sz w:val="24"/>
        </w:rPr>
        <w:t>There are no commits in `amaranta` or `amaranta-shop-docs` dated in this window. The sprint goal was only partially met: the delivery pipeline of the fork moved forward, product work did not.</w:t>
      </w:r>
    </w:p>
    <w:p>
      <w:pPr>
        <w:keepNext/>
        <w:spacing w:after="80" w:line="276" w:lineRule="auto" w:before="240"/>
      </w:pPr>
      <w:r>
        <w:rPr>
          <w:rFonts w:ascii="Arial" w:hAnsi="Arial" w:eastAsia="Arial"/>
          <w:b/>
          <w:i w:val="0"/>
          <w:color w:val="000000"/>
          <w:sz w:val="24"/>
        </w:rPr>
        <w:t>6. Blockers and risks</w:t>
      </w:r>
    </w:p>
    <w:p>
      <w:pPr>
        <w:pStyle w:val="ListBullet"/>
      </w:pPr>
      <w:r>
        <w:rPr>
          <w:rFonts w:ascii="Arial" w:hAnsi="Arial" w:eastAsia="Arial"/>
          <w:b w:val="0"/>
          <w:i w:val="0"/>
          <w:color w:val="000000"/>
          <w:sz w:val="24"/>
        </w:rPr>
        <w:t>No product work was committed this week, which weakens the group sprint (board and backlog evidence) for week 05.</w:t>
      </w:r>
    </w:p>
    <w:p>
      <w:pPr>
        <w:pStyle w:val="ListBullet"/>
      </w:pPr>
      <w:r>
        <w:rPr>
          <w:rFonts w:ascii="Arial" w:hAnsi="Arial" w:eastAsia="Arial"/>
          <w:b w:val="0"/>
          <w:i w:val="0"/>
          <w:color w:val="000000"/>
          <w:sz w:val="24"/>
        </w:rPr>
        <w:t>No daily/board evidence of the Cut 1 planning was recorded, so it cannot be demonstrated beyond the user-stories document.</w:t>
      </w:r>
    </w:p>
    <w:p>
      <w:pPr>
        <w:keepNext/>
        <w:spacing w:after="80" w:line="276" w:lineRule="auto" w:before="240"/>
      </w:pPr>
      <w:r>
        <w:rPr>
          <w:rFonts w:ascii="Arial" w:hAnsi="Arial" w:eastAsia="Arial"/>
          <w:b/>
          <w:i w:val="0"/>
          <w:color w:val="000000"/>
          <w:sz w:val="24"/>
        </w:rPr>
        <w:t>7. Plan for next week</w:t>
      </w:r>
    </w:p>
    <w:p>
      <w:pPr>
        <w:pStyle w:val="ListBullet"/>
      </w:pPr>
      <w:r>
        <w:rPr>
          <w:rFonts w:ascii="Arial" w:hAnsi="Arial" w:eastAsia="Arial"/>
          <w:b w:val="0"/>
          <w:i w:val="0"/>
          <w:color w:val="000000"/>
          <w:sz w:val="24"/>
        </w:rPr>
        <w:t>Implement Clinical and Scheduling with staff RBAC (Cut 1) and merge it through a PR into `develop`.</w:t>
      </w:r>
    </w:p>
    <w:p>
      <w:pPr>
        <w:pStyle w:val="ListBullet"/>
      </w:pPr>
      <w:r>
        <w:rPr>
          <w:rFonts w:ascii="Arial" w:hAnsi="Arial" w:eastAsia="Arial"/>
          <w:b w:val="0"/>
          <w:i w:val="0"/>
          <w:color w:val="000000"/>
          <w:sz w:val="24"/>
        </w:rPr>
        <w:t>Add repository governance: CODEOWNERS and the Git conventions the course requires.</w:t>
      </w:r>
    </w:p>
    <w:p>
      <w:pPr>
        <w:pStyle w:val="ListBullet"/>
      </w:pPr>
      <w:r>
        <w:rPr>
          <w:rFonts w:ascii="Arial" w:hAnsi="Arial" w:eastAsia="Arial"/>
          <w:b w:val="0"/>
          <w:i w:val="0"/>
          <w:color w:val="000000"/>
          <w:sz w:val="24"/>
        </w:rPr>
        <w:t>Record planning, daily and review notes in the board each sprint so the ceremonies leave evidence.</w:t>
      </w:r>
    </w:p>
    <w:p>
      <w:pPr>
        <w:keepNext/>
        <w:spacing w:after="80" w:line="276" w:lineRule="auto" w:before="240"/>
      </w:pPr>
      <w:r>
        <w:rPr>
          <w:rFonts w:ascii="Arial" w:hAnsi="Arial" w:eastAsia="Arial"/>
          <w:b/>
          <w:i w:val="0"/>
          <w:color w:val="000000"/>
          <w:sz w:val="24"/>
        </w:rPr>
        <w:t>8. Evidence links</w:t>
      </w:r>
    </w:p>
    <w:p>
      <w:pPr>
        <w:pStyle w:val="ListBullet"/>
      </w:pPr>
      <w:r>
        <w:rPr>
          <w:rFonts w:ascii="Arial" w:hAnsi="Arial" w:eastAsia="Arial"/>
          <w:b w:val="0"/>
          <w:i w:val="0"/>
          <w:color w:val="000000"/>
          <w:sz w:val="24"/>
        </w:rPr>
        <w:t>Fork delivery commit (session reports weeks 1-4): https://github.com/BrandowC/sistemas-distribuidos-2026-b-g2/commit/6ef29d6</w:t>
      </w:r>
    </w:p>
    <w:p>
      <w:pPr>
        <w:pStyle w:val="ListBullet"/>
      </w:pPr>
      <w:r>
        <w:rPr>
          <w:rFonts w:ascii="Arial" w:hAnsi="Arial" w:eastAsia="Arial"/>
          <w:b w:val="0"/>
          <w:i w:val="0"/>
          <w:color w:val="000000"/>
          <w:sz w:val="24"/>
        </w:rPr>
        <w:t>Code repo: https://github.com/BrandowC/amaranta</w:t>
      </w:r>
    </w:p>
    <w:p>
      <w:pPr>
        <w:pStyle w:val="ListBullet"/>
      </w:pPr>
      <w:r>
        <w:rPr>
          <w:rFonts w:ascii="Arial" w:hAnsi="Arial" w:eastAsia="Arial"/>
          <w:b w:val="0"/>
          <w:i w:val="0"/>
          <w:color w:val="000000"/>
          <w:sz w:val="24"/>
        </w:rPr>
        <w:t>Docs repo: https://github.com/code-corhuila/amaranta-shop-docs</w:t>
      </w:r>
    </w:p>
    <w:p>
      <w:pPr>
        <w:pStyle w:val="ListBullet"/>
      </w:pPr>
      <w:r>
        <w:rPr>
          <w:rFonts w:ascii="Arial" w:hAnsi="Arial" w:eastAsia="Arial"/>
          <w:b w:val="0"/>
          <w:i w:val="0"/>
          <w:color w:val="000000"/>
          <w:sz w:val="24"/>
        </w:rPr>
        <w:t>Fork: https://github.com/BrandowC/sistemas-distribuidos-2026-b-g2</w:t>
      </w:r>
    </w:p>
    <w:p>
      <w:pPr>
        <w:pStyle w:val="ListBullet"/>
      </w:pPr>
      <w:r>
        <w:rPr>
          <w:rFonts w:ascii="Arial" w:hAnsi="Arial" w:eastAsia="Arial"/>
          <w:b w:val="0"/>
          <w:i w:val="0"/>
          <w:color w:val="000000"/>
          <w:sz w:val="24"/>
        </w:rPr>
        <w:t>Profile repo (CONFIG): https://github.com/BrandowC/BrandowC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cs="Arial"/>
      <w:b w:val="0"/>
      <w:i w:val="0"/>
      <w:color w:val="000000"/>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eastAsia="Arial" w:cs="Arial"/>
      <w:b w:val="0"/>
      <w:i w:val="0"/>
      <w:color w:val="00000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