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Arial" w:hAnsi="Arial" w:eastAsia="Arial"/>
          <w:b/>
          <w:i w:val="0"/>
          <w:color w:val="000000"/>
          <w:sz w:val="32"/>
        </w:rPr>
        <w:t>Weekly Status - Week 09</w:t>
      </w:r>
    </w:p>
    <w:p>
      <w:pPr>
        <w:spacing w:after="40" w:line="276" w:lineRule="auto"/>
        <w:jc w:val="center"/>
      </w:pPr>
      <w:r>
        <w:rPr>
          <w:rFonts w:ascii="Arial" w:hAnsi="Arial" w:eastAsia="Arial"/>
          <w:b w:val="0"/>
          <w:i w:val="0"/>
          <w:color w:val="000000"/>
          <w:sz w:val="24"/>
        </w:rPr>
        <w:t>Distributed Systems 2026-B - Group 2 - Amaranta</w:t>
      </w:r>
    </w:p>
    <w:p>
      <w:pPr>
        <w:spacing w:after="200" w:line="276" w:lineRule="auto"/>
        <w:jc w:val="center"/>
      </w:pPr>
      <w:r>
        <w:rPr>
          <w:rFonts w:ascii="Arial" w:hAnsi="Arial" w:eastAsia="Arial"/>
          <w:b w:val="0"/>
          <w:i w:val="0"/>
          <w:color w:val="000000"/>
          <w:sz w:val="24"/>
        </w:rPr>
        <w:t>Sprint window: Oct 5 - Oct 11, 2026 (current week, report as of Oct 9)</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tblHeader w:val="true"/>
        </w:trPr>
        <w:tc>
          <w:tcPr>
            <w:tcW w:type="dxa" w:w="2304"/>
          </w:tcPr>
          <w:p>
            <w:pPr>
              <w:spacing w:after="40"/>
            </w:pPr>
            <w:r/>
            <w:r>
              <w:rPr>
                <w:rFonts w:ascii="Arial" w:hAnsi="Arial" w:eastAsia="Arial"/>
                <w:b/>
                <w:i w:val="0"/>
                <w:color w:val="000000"/>
                <w:sz w:val="24"/>
              </w:rPr>
              <w:t>Field</w:t>
            </w:r>
          </w:p>
        </w:tc>
        <w:tc>
          <w:tcPr>
            <w:tcW w:type="dxa" w:w="7056"/>
          </w:tcPr>
          <w:p>
            <w:pPr>
              <w:spacing w:after="40"/>
            </w:pPr>
            <w:r/>
            <w:r>
              <w:rPr>
                <w:rFonts w:ascii="Arial" w:hAnsi="Arial" w:eastAsia="Arial"/>
                <w:b/>
                <w:i w:val="0"/>
                <w:color w:val="000000"/>
                <w:sz w:val="24"/>
              </w:rPr>
              <w:t>Value</w:t>
            </w:r>
          </w:p>
        </w:tc>
      </w:tr>
      <w:tr>
        <w:tc>
          <w:tcPr>
            <w:tcW w:type="dxa" w:w="2304"/>
          </w:tcPr>
          <w:p>
            <w:pPr>
              <w:spacing w:after="40"/>
            </w:pPr>
            <w:r/>
            <w:r>
              <w:rPr>
                <w:rFonts w:ascii="Arial" w:hAnsi="Arial" w:eastAsia="Arial"/>
                <w:b w:val="0"/>
                <w:i w:val="0"/>
                <w:color w:val="000000"/>
                <w:sz w:val="24"/>
              </w:rPr>
              <w:t>FULL_NAME</w:t>
            </w:r>
          </w:p>
        </w:tc>
        <w:tc>
          <w:tcPr>
            <w:tcW w:type="dxa" w:w="7056"/>
          </w:tcPr>
          <w:p>
            <w:pPr>
              <w:spacing w:after="40"/>
            </w:pPr>
            <w:r/>
            <w:r>
              <w:rPr>
                <w:rFonts w:ascii="Arial" w:hAnsi="Arial" w:eastAsia="Arial"/>
                <w:b w:val="0"/>
                <w:i w:val="0"/>
                <w:color w:val="000000"/>
                <w:sz w:val="24"/>
              </w:rPr>
              <w:t>Brandow Stivent Claros Polania</w:t>
            </w:r>
          </w:p>
        </w:tc>
      </w:tr>
      <w:tr>
        <w:tc>
          <w:tcPr>
            <w:tcW w:type="dxa" w:w="2304"/>
          </w:tcPr>
          <w:p>
            <w:pPr>
              <w:spacing w:after="40"/>
            </w:pPr>
            <w:r/>
            <w:r>
              <w:rPr>
                <w:rFonts w:ascii="Arial" w:hAnsi="Arial" w:eastAsia="Arial"/>
                <w:b w:val="0"/>
                <w:i w:val="0"/>
                <w:color w:val="000000"/>
                <w:sz w:val="24"/>
              </w:rPr>
              <w:t>GITHUB_USER</w:t>
            </w:r>
          </w:p>
        </w:tc>
        <w:tc>
          <w:tcPr>
            <w:tcW w:type="dxa" w:w="7056"/>
          </w:tcPr>
          <w:p>
            <w:pPr>
              <w:spacing w:after="40"/>
            </w:pPr>
            <w:r/>
            <w:r>
              <w:rPr>
                <w:rFonts w:ascii="Arial" w:hAnsi="Arial" w:eastAsia="Arial"/>
                <w:b w:val="0"/>
                <w:i w:val="0"/>
                <w:color w:val="000000"/>
                <w:sz w:val="24"/>
              </w:rPr>
              <w:t>BrandowC</w:t>
            </w:r>
          </w:p>
        </w:tc>
      </w:tr>
      <w:tr>
        <w:tc>
          <w:tcPr>
            <w:tcW w:type="dxa" w:w="2304"/>
          </w:tcPr>
          <w:p>
            <w:pPr>
              <w:spacing w:after="40"/>
            </w:pPr>
            <w:r/>
            <w:r>
              <w:rPr>
                <w:rFonts w:ascii="Arial" w:hAnsi="Arial" w:eastAsia="Arial"/>
                <w:b w:val="0"/>
                <w:i w:val="0"/>
                <w:color w:val="000000"/>
                <w:sz w:val="24"/>
              </w:rPr>
              <w:t>TEAM</w:t>
            </w:r>
          </w:p>
        </w:tc>
        <w:tc>
          <w:tcPr>
            <w:tcW w:type="dxa" w:w="7056"/>
          </w:tcPr>
          <w:p>
            <w:pPr>
              <w:spacing w:after="40"/>
            </w:pPr>
            <w:r/>
            <w:r>
              <w:rPr>
                <w:rFonts w:ascii="Arial" w:hAnsi="Arial" w:eastAsia="Arial"/>
                <w:b w:val="0"/>
                <w:i w:val="0"/>
                <w:color w:val="000000"/>
                <w:sz w:val="24"/>
              </w:rPr>
              <w:t>amaranta</w:t>
            </w:r>
          </w:p>
        </w:tc>
      </w:tr>
      <w:tr>
        <w:tc>
          <w:tcPr>
            <w:tcW w:type="dxa" w:w="2304"/>
          </w:tcPr>
          <w:p>
            <w:pPr>
              <w:spacing w:after="40"/>
            </w:pPr>
            <w:r/>
            <w:r>
              <w:rPr>
                <w:rFonts w:ascii="Arial" w:hAnsi="Arial" w:eastAsia="Arial"/>
                <w:b w:val="0"/>
                <w:i w:val="0"/>
                <w:color w:val="000000"/>
                <w:sz w:val="24"/>
              </w:rPr>
              <w:t>SPRINT_GOAL</w:t>
            </w:r>
          </w:p>
        </w:tc>
        <w:tc>
          <w:tcPr>
            <w:tcW w:type="dxa" w:w="7056"/>
          </w:tcPr>
          <w:p>
            <w:pPr>
              <w:spacing w:after="40"/>
            </w:pPr>
            <w:r/>
            <w:r>
              <w:rPr>
                <w:rFonts w:ascii="Arial" w:hAnsi="Arial" w:eastAsia="Arial"/>
                <w:b w:val="0"/>
                <w:i w:val="0"/>
                <w:color w:val="000000"/>
                <w:sz w:val="24"/>
              </w:rPr>
              <w:t>Prepare the MVP 2 extraction and its platform: record ADR-010..013 and the Sales checkout spec, harden the monolith (atomic stock reservation, idempotent release, checkout compensation, scheduling slots, public pet history, web screens) and bring up the infrastructure repositories (PostgreSQL, MongoDB, observability, security base).</w:t>
            </w:r>
          </w:p>
        </w:tc>
      </w:tr>
    </w:tbl>
    <w:p>
      <w:pPr>
        <w:spacing w:after="80"/>
      </w:pPr>
    </w:p>
    <w:p>
      <w:pPr>
        <w:keepNext/>
        <w:spacing w:after="80" w:line="276" w:lineRule="auto" w:before="240"/>
      </w:pPr>
      <w:r>
        <w:rPr>
          <w:rFonts w:ascii="Arial" w:hAnsi="Arial" w:eastAsia="Arial"/>
          <w:b/>
          <w:i w:val="0"/>
          <w:color w:val="000000"/>
          <w:sz w:val="24"/>
        </w:rPr>
        <w:t>1. Context of the week</w:t>
      </w:r>
    </w:p>
    <w:p>
      <w:pPr>
        <w:spacing w:after="120" w:line="276" w:lineRule="auto"/>
      </w:pPr>
      <w:r>
        <w:rPr>
          <w:rFonts w:ascii="Arial" w:hAnsi="Arial" w:eastAsia="Arial"/>
          <w:b w:val="0"/>
          <w:i w:val="0"/>
          <w:color w:val="000000"/>
          <w:sz w:val="24"/>
        </w:rPr>
        <w:t>Week 09 (Oct 5 - Oct 11, 2026) prepared the MVP 2 step: extracting services from the monolith without breaking it. The goal had three parts: record the architecture decisions and a written spec for the first extraction (Sales checkout), harden the monolith so that the extraction can happen on a safe baseline, and bring up the platform repositories (PostgreSQL, MongoDB, observability and the security base).</w:t>
      </w:r>
    </w:p>
    <w:p>
      <w:pPr>
        <w:spacing w:after="120" w:line="276" w:lineRule="auto"/>
      </w:pPr>
      <w:r>
        <w:rPr>
          <w:rFonts w:ascii="Arial" w:hAnsi="Arial" w:eastAsia="Arial"/>
          <w:b w:val="0"/>
          <w:i w:val="0"/>
          <w:color w:val="000000"/>
          <w:sz w:val="24"/>
        </w:rPr>
        <w:t>The work followed the course norm: every change on a short branch with one purpose, conventional commits, documentation committed before the code it governs, and one branch per user story for the code.</w:t>
      </w:r>
    </w:p>
    <w:p>
      <w:pPr>
        <w:keepNext/>
        <w:spacing w:after="80" w:line="276" w:lineRule="auto" w:before="240"/>
      </w:pPr>
      <w:r>
        <w:rPr>
          <w:rFonts w:ascii="Arial" w:hAnsi="Arial" w:eastAsia="Arial"/>
          <w:b/>
          <w:i w:val="0"/>
          <w:color w:val="000000"/>
          <w:sz w:val="24"/>
        </w:rPr>
        <w:t>2. What was done</w:t>
      </w:r>
    </w:p>
    <w:p>
      <w:pPr>
        <w:spacing w:after="120" w:line="276" w:lineRule="auto"/>
      </w:pPr>
      <w:r>
        <w:rPr>
          <w:rFonts w:ascii="Arial" w:hAnsi="Arial" w:eastAsia="Arial"/>
          <w:b/>
          <w:i w:val="0"/>
          <w:color w:val="000000"/>
          <w:sz w:val="24"/>
        </w:rPr>
        <w:t xml:space="preserve">Decisions and spec (documentation repository). </w:t>
      </w:r>
      <w:r>
        <w:rPr>
          <w:rFonts w:ascii="Arial" w:hAnsi="Arial" w:eastAsia="Arial"/>
          <w:b w:val="0"/>
          <w:i w:val="0"/>
          <w:color w:val="000000"/>
          <w:sz w:val="24"/>
        </w:rPr>
        <w:t>ADR-010 (database engine per domain: Sales on PostgreSQL, Catalog on MongoDB), ADR-011 (identity design with token revocation), ADR-012 (stack of the extracted services) and ADR-013 (monolith first, strangler fig) were written, together with specs/checkout.md, a 411-line single-capability spec with stories, fifteen business rules traced to tests, the contract changes of the extraction, the cutover and an executable Definition of Done. The Sales API decisions also record the checkout stock compensation. The branches were pushed on Oct 7; the pull requests of the checkout spec (#14), ADR-012/013 (#16) and the housekeeping branch (#17) were merged into main on Oct 12, after the week closed, and the ADR-010/011 branch is still waiting for review.</w:t>
      </w:r>
    </w:p>
    <w:p>
      <w:pPr>
        <w:spacing w:after="120" w:line="276" w:lineRule="auto"/>
      </w:pPr>
      <w:r>
        <w:rPr>
          <w:rFonts w:ascii="Arial" w:hAnsi="Arial" w:eastAsia="Arial"/>
          <w:b/>
          <w:i w:val="0"/>
          <w:color w:val="000000"/>
          <w:sz w:val="24"/>
        </w:rPr>
        <w:t xml:space="preserve">Monolith hardening (one branch per story). </w:t>
      </w:r>
      <w:r>
        <w:rPr>
          <w:rFonts w:ascii="Arial" w:hAnsi="Arial" w:eastAsia="Arial"/>
          <w:b w:val="0"/>
          <w:i w:val="0"/>
          <w:color w:val="000000"/>
          <w:sz w:val="24"/>
        </w:rPr>
        <w:t>Catalog: stock reservation became a conditional UPDATE (stock &gt;= quantity), so two concurrent reservations cannot take the last unit; release is an idempotent compensating increment; product deletion and image upload were added, with a concurrency spec (32862eb, fd757e1). Sales: checkout releases the reservation whenever the order is rejected or cannot be persisted (bdd83bd). Scheduling: availability honours business hours and conflicts and exposes available slots (94559a3). Clinical: public pet history, pets directory and symptoms on medical records (d26b05f). Web: reception, clinic and public pet screens with a QR code and the appointment slot picker (cffbbf4). The five branches were pushed on Oct 8 and merged into develop through pull requests #14 (HU-CAT-002), #11 (HU-SALES-001), #10 (HU-SCHED-001), #12 (HU-CLIN-001) and #15 (HU-WEB-001) on Oct 9 after code-owner review.</w:t>
      </w:r>
    </w:p>
    <w:p>
      <w:pPr>
        <w:spacing w:after="120" w:line="276" w:lineRule="auto"/>
      </w:pPr>
      <w:r>
        <w:rPr>
          <w:rFonts w:ascii="Arial" w:hAnsi="Arial" w:eastAsia="Arial"/>
          <w:b/>
          <w:i w:val="0"/>
          <w:color w:val="000000"/>
          <w:sz w:val="24"/>
        </w:rPr>
        <w:t xml:space="preserve">Repository hygiene. </w:t>
      </w:r>
      <w:r>
        <w:rPr>
          <w:rFonts w:ascii="Arial" w:hAnsi="Arial" w:eastAsia="Arial"/>
          <w:b w:val="0"/>
          <w:i w:val="0"/>
          <w:color w:val="000000"/>
          <w:sz w:val="24"/>
        </w:rPr>
        <w:t>Local keys, tsbuildinfo and tooling files were git-ignored. The change went into develop through PR #13 and was promoted to qa with git cherry-pick -x (de414d0, PR #16), which leaves the verifiable promotion trace the norm requires.</w:t>
      </w:r>
    </w:p>
    <w:p>
      <w:pPr>
        <w:spacing w:after="120" w:line="276" w:lineRule="auto"/>
      </w:pPr>
      <w:r>
        <w:rPr>
          <w:rFonts w:ascii="Arial" w:hAnsi="Arial" w:eastAsia="Arial"/>
          <w:b/>
          <w:i w:val="0"/>
          <w:color w:val="000000"/>
          <w:sz w:val="24"/>
        </w:rPr>
        <w:t xml:space="preserve">Platform repositories. </w:t>
      </w:r>
      <w:r>
        <w:rPr>
          <w:rFonts w:ascii="Arial" w:hAnsi="Arial" w:eastAsia="Arial"/>
          <w:b w:val="0"/>
          <w:i w:val="0"/>
          <w:color w:val="000000"/>
          <w:sz w:val="24"/>
        </w:rPr>
        <w:t>amaranta-shop-infra-postgres received the pull request template and board tracking, one PostgreSQL 16 instance with an idempotent bootstrap, one login user per domain, one environment file per environment and the Annex J privilege self-check, tested in CI by running the bootstrap twice, and an OpenTelemetry collector with Prometheus and Grafana. amaranta-shop-infra-mongo received the same template and one MongoDB 7.0 instance with one database and one restricted user per domain, with CI proving that the user cannot write outside its database. amaranta-shop-security received the minimum content of a code repository and the README that records the ADR-011 token design (lifetimes, rotating refresh token, revocation). Eight pull requests were merged into develop on Oct 9.</w:t>
      </w:r>
    </w:p>
    <w:p>
      <w:pPr>
        <w:spacing w:after="120" w:line="276" w:lineRule="auto"/>
      </w:pPr>
      <w:r>
        <w:rPr>
          <w:rFonts w:ascii="Arial" w:hAnsi="Arial" w:eastAsia="Arial"/>
          <w:b/>
          <w:i w:val="0"/>
          <w:color w:val="000000"/>
          <w:sz w:val="24"/>
        </w:rPr>
        <w:t xml:space="preserve">Quality of the audit trail. </w:t>
      </w:r>
      <w:r>
        <w:rPr>
          <w:rFonts w:ascii="Arial" w:hAnsi="Arial" w:eastAsia="Arial"/>
          <w:b w:val="0"/>
          <w:i w:val="0"/>
          <w:color w:val="000000"/>
          <w:sz w:val="24"/>
        </w:rPr>
        <w:t>Two CI details were fixed so that the secret-scanning audit of the norm has no false positives: fixed throwaway passwords were replaced by random per-run values and a bootstrap variable was renamed.</w:t>
      </w:r>
    </w:p>
    <w:p>
      <w:pPr>
        <w:keepNext/>
        <w:spacing w:after="80" w:line="276" w:lineRule="auto" w:before="240"/>
      </w:pPr>
      <w:r>
        <w:rPr>
          <w:rFonts w:ascii="Arial" w:hAnsi="Arial" w:eastAsia="Arial"/>
          <w:b/>
          <w:i w:val="0"/>
          <w:color w:val="000000"/>
          <w:sz w:val="24"/>
        </w:rPr>
        <w:t>3. User stories worked this week</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tblHeader w:val="true"/>
        </w:trPr>
        <w:tc>
          <w:tcPr>
            <w:tcW w:type="dxa" w:w="1584"/>
          </w:tcPr>
          <w:p>
            <w:pPr>
              <w:spacing w:after="40"/>
            </w:pPr>
            <w:r/>
            <w:r>
              <w:rPr>
                <w:rFonts w:ascii="Arial" w:hAnsi="Arial" w:eastAsia="Arial"/>
                <w:b/>
                <w:i w:val="0"/>
                <w:color w:val="000000"/>
                <w:sz w:val="24"/>
              </w:rPr>
              <w:t>HU ID</w:t>
            </w:r>
          </w:p>
        </w:tc>
        <w:tc>
          <w:tcPr>
            <w:tcW w:type="dxa" w:w="3744"/>
          </w:tcPr>
          <w:p>
            <w:pPr>
              <w:spacing w:after="40"/>
            </w:pPr>
            <w:r/>
            <w:r>
              <w:rPr>
                <w:rFonts w:ascii="Arial" w:hAnsi="Arial" w:eastAsia="Arial"/>
                <w:b/>
                <w:i w:val="0"/>
                <w:color w:val="000000"/>
                <w:sz w:val="24"/>
              </w:rPr>
              <w:t>Title</w:t>
            </w:r>
          </w:p>
        </w:tc>
        <w:tc>
          <w:tcPr>
            <w:tcW w:type="dxa" w:w="1152"/>
          </w:tcPr>
          <w:p>
            <w:pPr>
              <w:spacing w:after="40"/>
            </w:pPr>
            <w:r/>
            <w:r>
              <w:rPr>
                <w:rFonts w:ascii="Arial" w:hAnsi="Arial" w:eastAsia="Arial"/>
                <w:b/>
                <w:i w:val="0"/>
                <w:color w:val="000000"/>
                <w:sz w:val="24"/>
              </w:rPr>
              <w:t>Status</w:t>
            </w:r>
          </w:p>
        </w:tc>
        <w:tc>
          <w:tcPr>
            <w:tcW w:type="dxa" w:w="2880"/>
          </w:tcPr>
          <w:p>
            <w:pPr>
              <w:spacing w:after="40"/>
            </w:pPr>
            <w:r/>
            <w:r>
              <w:rPr>
                <w:rFonts w:ascii="Arial" w:hAnsi="Arial" w:eastAsia="Arial"/>
                <w:b/>
                <w:i w:val="0"/>
                <w:color w:val="000000"/>
                <w:sz w:val="24"/>
              </w:rPr>
              <w:t>Evidence</w:t>
            </w:r>
          </w:p>
        </w:tc>
      </w:tr>
      <w:tr>
        <w:tc>
          <w:tcPr>
            <w:tcW w:type="dxa" w:w="1584"/>
          </w:tcPr>
          <w:p>
            <w:pPr>
              <w:spacing w:after="40"/>
            </w:pPr>
            <w:r/>
            <w:r>
              <w:rPr>
                <w:rFonts w:ascii="Arial" w:hAnsi="Arial" w:eastAsia="Arial"/>
                <w:b w:val="0"/>
                <w:i w:val="0"/>
                <w:color w:val="000000"/>
                <w:sz w:val="24"/>
              </w:rPr>
              <w:t>HU-CAT-002</w:t>
            </w:r>
          </w:p>
        </w:tc>
        <w:tc>
          <w:tcPr>
            <w:tcW w:type="dxa" w:w="3744"/>
          </w:tcPr>
          <w:p>
            <w:pPr>
              <w:spacing w:after="40"/>
            </w:pPr>
            <w:r/>
            <w:r>
              <w:rPr>
                <w:rFonts w:ascii="Arial" w:hAnsi="Arial" w:eastAsia="Arial"/>
                <w:b w:val="0"/>
                <w:i w:val="0"/>
                <w:color w:val="000000"/>
                <w:sz w:val="24"/>
              </w:rPr>
              <w:t>Atomic stock reservation, idempotent release and product deletion (admin catalog)</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https://github.com/BrandowC/amaranta/pull/14</w:t>
            </w:r>
          </w:p>
        </w:tc>
      </w:tr>
      <w:tr>
        <w:tc>
          <w:tcPr>
            <w:tcW w:type="dxa" w:w="1584"/>
          </w:tcPr>
          <w:p>
            <w:pPr>
              <w:spacing w:after="40"/>
            </w:pPr>
            <w:r/>
            <w:r>
              <w:rPr>
                <w:rFonts w:ascii="Arial" w:hAnsi="Arial" w:eastAsia="Arial"/>
                <w:b w:val="0"/>
                <w:i w:val="0"/>
                <w:color w:val="000000"/>
                <w:sz w:val="24"/>
              </w:rPr>
              <w:t>HU-SALES-001</w:t>
            </w:r>
          </w:p>
        </w:tc>
        <w:tc>
          <w:tcPr>
            <w:tcW w:type="dxa" w:w="3744"/>
          </w:tcPr>
          <w:p>
            <w:pPr>
              <w:spacing w:after="40"/>
            </w:pPr>
            <w:r/>
            <w:r>
              <w:rPr>
                <w:rFonts w:ascii="Arial" w:hAnsi="Arial" w:eastAsia="Arial"/>
                <w:b w:val="0"/>
                <w:i w:val="0"/>
                <w:color w:val="000000"/>
                <w:sz w:val="24"/>
              </w:rPr>
              <w:t>Checkout compensates reserved stock when the order fails</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https://github.com/BrandowC/amaranta/pull/11</w:t>
            </w:r>
          </w:p>
        </w:tc>
      </w:tr>
      <w:tr>
        <w:tc>
          <w:tcPr>
            <w:tcW w:type="dxa" w:w="1584"/>
          </w:tcPr>
          <w:p>
            <w:pPr>
              <w:spacing w:after="40"/>
            </w:pPr>
            <w:r/>
            <w:r>
              <w:rPr>
                <w:rFonts w:ascii="Arial" w:hAnsi="Arial" w:eastAsia="Arial"/>
                <w:b w:val="0"/>
                <w:i w:val="0"/>
                <w:color w:val="000000"/>
                <w:sz w:val="24"/>
              </w:rPr>
              <w:t>HU-SCHED-001</w:t>
            </w:r>
          </w:p>
        </w:tc>
        <w:tc>
          <w:tcPr>
            <w:tcW w:type="dxa" w:w="3744"/>
          </w:tcPr>
          <w:p>
            <w:pPr>
              <w:spacing w:after="40"/>
            </w:pPr>
            <w:r/>
            <w:r>
              <w:rPr>
                <w:rFonts w:ascii="Arial" w:hAnsi="Arial" w:eastAsia="Arial"/>
                <w:b w:val="0"/>
                <w:i w:val="0"/>
                <w:color w:val="000000"/>
                <w:sz w:val="24"/>
              </w:rPr>
              <w:t>Validate business hours and expose available slots</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https://github.com/BrandowC/amaranta/pull/10</w:t>
            </w:r>
          </w:p>
        </w:tc>
      </w:tr>
      <w:tr>
        <w:tc>
          <w:tcPr>
            <w:tcW w:type="dxa" w:w="1584"/>
          </w:tcPr>
          <w:p>
            <w:pPr>
              <w:spacing w:after="40"/>
            </w:pPr>
            <w:r/>
            <w:r>
              <w:rPr>
                <w:rFonts w:ascii="Arial" w:hAnsi="Arial" w:eastAsia="Arial"/>
                <w:b w:val="0"/>
                <w:i w:val="0"/>
                <w:color w:val="000000"/>
                <w:sz w:val="24"/>
              </w:rPr>
              <w:t>HU-CLIN-001</w:t>
            </w:r>
          </w:p>
        </w:tc>
        <w:tc>
          <w:tcPr>
            <w:tcW w:type="dxa" w:w="3744"/>
          </w:tcPr>
          <w:p>
            <w:pPr>
              <w:spacing w:after="40"/>
            </w:pPr>
            <w:r/>
            <w:r>
              <w:rPr>
                <w:rFonts w:ascii="Arial" w:hAnsi="Arial" w:eastAsia="Arial"/>
                <w:b w:val="0"/>
                <w:i w:val="0"/>
                <w:color w:val="000000"/>
                <w:sz w:val="24"/>
              </w:rPr>
              <w:t>Public pet medical history, pets directory and symptoms</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https://github.com/BrandowC/amaranta/pull/12</w:t>
            </w:r>
          </w:p>
        </w:tc>
      </w:tr>
      <w:tr>
        <w:tc>
          <w:tcPr>
            <w:tcW w:type="dxa" w:w="1584"/>
          </w:tcPr>
          <w:p>
            <w:pPr>
              <w:spacing w:after="40"/>
            </w:pPr>
            <w:r/>
            <w:r>
              <w:rPr>
                <w:rFonts w:ascii="Arial" w:hAnsi="Arial" w:eastAsia="Arial"/>
                <w:b w:val="0"/>
                <w:i w:val="0"/>
                <w:color w:val="000000"/>
                <w:sz w:val="24"/>
              </w:rPr>
              <w:t>HU-WEB-001</w:t>
            </w:r>
          </w:p>
        </w:tc>
        <w:tc>
          <w:tcPr>
            <w:tcW w:type="dxa" w:w="3744"/>
          </w:tcPr>
          <w:p>
            <w:pPr>
              <w:spacing w:after="40"/>
            </w:pPr>
            <w:r/>
            <w:r>
              <w:rPr>
                <w:rFonts w:ascii="Arial" w:hAnsi="Arial" w:eastAsia="Arial"/>
                <w:b w:val="0"/>
                <w:i w:val="0"/>
                <w:color w:val="000000"/>
                <w:sz w:val="24"/>
              </w:rPr>
              <w:t>Reception, clinic and public pet screens with slot picker</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https://github.com/BrandowC/amaranta/pull/15</w:t>
            </w:r>
          </w:p>
        </w:tc>
      </w:tr>
      <w:tr>
        <w:tc>
          <w:tcPr>
            <w:tcW w:type="dxa" w:w="1584"/>
          </w:tcPr>
          <w:p>
            <w:pPr>
              <w:spacing w:after="40"/>
            </w:pPr>
            <w:r/>
            <w:r>
              <w:rPr>
                <w:rFonts w:ascii="Arial" w:hAnsi="Arial" w:eastAsia="Arial"/>
                <w:b w:val="0"/>
                <w:i w:val="0"/>
                <w:color w:val="000000"/>
                <w:sz w:val="24"/>
              </w:rPr>
              <w:t>N/A (infra)</w:t>
            </w:r>
          </w:p>
        </w:tc>
        <w:tc>
          <w:tcPr>
            <w:tcW w:type="dxa" w:w="3744"/>
          </w:tcPr>
          <w:p>
            <w:pPr>
              <w:spacing w:after="40"/>
            </w:pPr>
            <w:r/>
            <w:r>
              <w:rPr>
                <w:rFonts w:ascii="Arial" w:hAnsi="Arial" w:eastAsia="Arial"/>
                <w:b w:val="0"/>
                <w:i w:val="0"/>
                <w:color w:val="000000"/>
                <w:sz w:val="24"/>
              </w:rPr>
              <w:t>amaranta-shop-infra-postgres: single PostgreSQL instance, observability stack and PR/board tracking</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https://github.com/code-corhuila/amaranta-shop-infra-postgres/pull/2 , /pull/3 , /pull/1</w:t>
            </w:r>
          </w:p>
        </w:tc>
      </w:tr>
      <w:tr>
        <w:tc>
          <w:tcPr>
            <w:tcW w:type="dxa" w:w="1584"/>
          </w:tcPr>
          <w:p>
            <w:pPr>
              <w:spacing w:after="40"/>
            </w:pPr>
            <w:r/>
            <w:r>
              <w:rPr>
                <w:rFonts w:ascii="Arial" w:hAnsi="Arial" w:eastAsia="Arial"/>
                <w:b w:val="0"/>
                <w:i w:val="0"/>
                <w:color w:val="000000"/>
                <w:sz w:val="24"/>
              </w:rPr>
              <w:t>N/A (infra)</w:t>
            </w:r>
          </w:p>
        </w:tc>
        <w:tc>
          <w:tcPr>
            <w:tcW w:type="dxa" w:w="3744"/>
          </w:tcPr>
          <w:p>
            <w:pPr>
              <w:spacing w:after="40"/>
            </w:pPr>
            <w:r/>
            <w:r>
              <w:rPr>
                <w:rFonts w:ascii="Arial" w:hAnsi="Arial" w:eastAsia="Arial"/>
                <w:b w:val="0"/>
                <w:i w:val="0"/>
                <w:color w:val="000000"/>
                <w:sz w:val="24"/>
              </w:rPr>
              <w:t>amaranta-shop-infra-mongo: single MongoDB instance with one user per domain</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https://github.com/code-corhuila/amaranta-shop-infra-mongo/pull/2 , /pull/1</w:t>
            </w:r>
          </w:p>
        </w:tc>
      </w:tr>
      <w:tr>
        <w:tc>
          <w:tcPr>
            <w:tcW w:type="dxa" w:w="1584"/>
          </w:tcPr>
          <w:p>
            <w:pPr>
              <w:spacing w:after="40"/>
            </w:pPr>
            <w:r/>
            <w:r>
              <w:rPr>
                <w:rFonts w:ascii="Arial" w:hAnsi="Arial" w:eastAsia="Arial"/>
                <w:b w:val="0"/>
                <w:i w:val="0"/>
                <w:color w:val="000000"/>
                <w:sz w:val="24"/>
              </w:rPr>
              <w:t>N/A (infra)</w:t>
            </w:r>
          </w:p>
        </w:tc>
        <w:tc>
          <w:tcPr>
            <w:tcW w:type="dxa" w:w="3744"/>
          </w:tcPr>
          <w:p>
            <w:pPr>
              <w:spacing w:after="40"/>
            </w:pPr>
            <w:r/>
            <w:r>
              <w:rPr>
                <w:rFonts w:ascii="Arial" w:hAnsi="Arial" w:eastAsia="Arial"/>
                <w:b w:val="0"/>
                <w:i w:val="0"/>
                <w:color w:val="000000"/>
                <w:sz w:val="24"/>
              </w:rPr>
              <w:t>amaranta-shop-security: service base and design record (ADR-011)</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https://github.com/code-corhuila/amaranta-shop-security/pull/2 , /pull/1</w:t>
            </w:r>
          </w:p>
        </w:tc>
      </w:tr>
    </w:tbl>
    <w:p>
      <w:pPr>
        <w:spacing w:after="80"/>
      </w:pPr>
    </w:p>
    <w:p>
      <w:pPr>
        <w:keepNext/>
        <w:spacing w:after="80" w:line="276" w:lineRule="auto" w:before="240"/>
      </w:pPr>
      <w:r>
        <w:rPr>
          <w:rFonts w:ascii="Arial" w:hAnsi="Arial" w:eastAsia="Arial"/>
          <w:b/>
          <w:i w:val="0"/>
          <w:color w:val="000000"/>
          <w:sz w:val="24"/>
        </w:rPr>
        <w:t>4. Supporting evidence</w:t>
      </w:r>
    </w:p>
    <w:p>
      <w:pPr>
        <w:spacing w:after="120" w:line="276" w:lineRule="auto"/>
      </w:pPr>
      <w:r>
        <w:rPr>
          <w:rFonts w:ascii="Arial" w:hAnsi="Arial" w:eastAsia="Arial"/>
          <w:b w:val="0"/>
          <w:i w:val="0"/>
          <w:color w:val="000000"/>
          <w:sz w:val="24"/>
        </w:rPr>
        <w:t>The figures below are generated from the real git history and from the project artefacts. The tables list every commit and pull request authored by BrandowC in the week.</w:t>
      </w:r>
    </w:p>
    <w:p>
      <w:pPr>
        <w:keepNext/>
        <w:jc w:val="center"/>
      </w:pPr>
      <w:r>
        <w:rPr>
          <w:rFonts w:ascii="Arial" w:hAnsi="Arial"/>
          <w:color w:val="000000"/>
          <w:sz w:val="24"/>
        </w:rPr>
        <w:drawing>
          <wp:inline xmlns:a="http://schemas.openxmlformats.org/drawingml/2006/main" xmlns:pic="http://schemas.openxmlformats.org/drawingml/2006/picture">
            <wp:extent cx="5852160" cy="2438400"/>
            <wp:docPr id="1" name="Picture 1"/>
            <wp:cNvGraphicFramePr>
              <a:graphicFrameLocks noChangeAspect="1"/>
            </wp:cNvGraphicFramePr>
            <a:graphic>
              <a:graphicData uri="http://schemas.openxmlformats.org/drawingml/2006/picture">
                <pic:pic>
                  <pic:nvPicPr>
                    <pic:cNvPr id="0" name="act9.png"/>
                    <pic:cNvPicPr/>
                  </pic:nvPicPr>
                  <pic:blipFill>
                    <a:blip r:embed="rId9"/>
                    <a:stretch>
                      <a:fillRect/>
                    </a:stretch>
                  </pic:blipFill>
                  <pic:spPr>
                    <a:xfrm>
                      <a:off x="0" y="0"/>
                      <a:ext cx="5852160" cy="2438400"/>
                    </a:xfrm>
                    <a:prstGeom prst="rect"/>
                  </pic:spPr>
                </pic:pic>
              </a:graphicData>
            </a:graphic>
          </wp:inline>
        </w:drawing>
      </w:r>
    </w:p>
    <w:p>
      <w:pPr>
        <w:spacing w:after="200" w:line="276" w:lineRule="auto"/>
        <w:jc w:val="center"/>
      </w:pPr>
      <w:r>
        <w:rPr>
          <w:rFonts w:ascii="Arial" w:hAnsi="Arial" w:eastAsia="Arial"/>
          <w:b w:val="0"/>
          <w:i w:val="0"/>
          <w:color w:val="000000"/>
          <w:sz w:val="24"/>
        </w:rPr>
        <w:t>Figure 9.1. Daily commits and merged pull requests authored by BrandowC in week 09, counted from git history of the code, documentation, infrastructure and course-fork repositories.</w:t>
      </w:r>
    </w:p>
    <w:p>
      <w:pPr>
        <w:keepNext/>
        <w:jc w:val="center"/>
      </w:pPr>
      <w:r>
        <w:rPr>
          <w:rFonts w:ascii="Arial" w:hAnsi="Arial"/>
          <w:color w:val="000000"/>
          <w:sz w:val="24"/>
        </w:rPr>
        <w:drawing>
          <wp:inline xmlns:a="http://schemas.openxmlformats.org/drawingml/2006/main" xmlns:pic="http://schemas.openxmlformats.org/drawingml/2006/picture">
            <wp:extent cx="5852160" cy="5674822"/>
            <wp:docPr id="2" name="Picture 2"/>
            <wp:cNvGraphicFramePr>
              <a:graphicFrameLocks noChangeAspect="1"/>
            </wp:cNvGraphicFramePr>
            <a:graphic>
              <a:graphicData uri="http://schemas.openxmlformats.org/drawingml/2006/picture">
                <pic:pic>
                  <pic:nvPicPr>
                    <pic:cNvPr id="0" name="w9a.png"/>
                    <pic:cNvPicPr/>
                  </pic:nvPicPr>
                  <pic:blipFill>
                    <a:blip r:embed="rId10"/>
                    <a:stretch>
                      <a:fillRect/>
                    </a:stretch>
                  </pic:blipFill>
                  <pic:spPr>
                    <a:xfrm>
                      <a:off x="0" y="0"/>
                      <a:ext cx="5852160" cy="5674822"/>
                    </a:xfrm>
                    <a:prstGeom prst="rect"/>
                  </pic:spPr>
                </pic:pic>
              </a:graphicData>
            </a:graphic>
          </wp:inline>
        </w:drawing>
      </w:r>
    </w:p>
    <w:p>
      <w:pPr>
        <w:spacing w:after="200" w:line="276" w:lineRule="auto"/>
        <w:jc w:val="center"/>
      </w:pPr>
      <w:r>
        <w:rPr>
          <w:rFonts w:ascii="Arial" w:hAnsi="Arial" w:eastAsia="Arial"/>
          <w:b w:val="0"/>
          <w:i w:val="0"/>
          <w:color w:val="000000"/>
          <w:sz w:val="24"/>
        </w:rPr>
        <w:t>Figure 9.2. Atomic reservation: a conditional UPDATE (stock &gt;= quantity) replaces read-then-write, so two concurrent reservations cannot take the last unit.</w:t>
      </w:r>
    </w:p>
    <w:p>
      <w:pPr>
        <w:keepNext/>
        <w:jc w:val="center"/>
      </w:pPr>
      <w:r>
        <w:rPr>
          <w:rFonts w:ascii="Arial" w:hAnsi="Arial"/>
          <w:color w:val="000000"/>
          <w:sz w:val="24"/>
        </w:rPr>
        <w:drawing>
          <wp:inline xmlns:a="http://schemas.openxmlformats.org/drawingml/2006/main" xmlns:pic="http://schemas.openxmlformats.org/drawingml/2006/picture">
            <wp:extent cx="5852160" cy="1761330"/>
            <wp:docPr id="3" name="Picture 3"/>
            <wp:cNvGraphicFramePr>
              <a:graphicFrameLocks noChangeAspect="1"/>
            </wp:cNvGraphicFramePr>
            <a:graphic>
              <a:graphicData uri="http://schemas.openxmlformats.org/drawingml/2006/picture">
                <pic:pic>
                  <pic:nvPicPr>
                    <pic:cNvPr id="0" name="w9b.png"/>
                    <pic:cNvPicPr/>
                  </pic:nvPicPr>
                  <pic:blipFill>
                    <a:blip r:embed="rId11"/>
                    <a:stretch>
                      <a:fillRect/>
                    </a:stretch>
                  </pic:blipFill>
                  <pic:spPr>
                    <a:xfrm>
                      <a:off x="0" y="0"/>
                      <a:ext cx="5852160" cy="1761330"/>
                    </a:xfrm>
                    <a:prstGeom prst="rect"/>
                  </pic:spPr>
                </pic:pic>
              </a:graphicData>
            </a:graphic>
          </wp:inline>
        </w:drawing>
      </w:r>
    </w:p>
    <w:p>
      <w:pPr>
        <w:spacing w:after="200" w:line="276" w:lineRule="auto"/>
        <w:jc w:val="center"/>
      </w:pPr>
      <w:r>
        <w:rPr>
          <w:rFonts w:ascii="Arial" w:hAnsi="Arial" w:eastAsia="Arial"/>
          <w:b w:val="0"/>
          <w:i w:val="0"/>
          <w:color w:val="000000"/>
          <w:sz w:val="24"/>
        </w:rPr>
        <w:t>Figure 9.3. Infrastructure repository: PR template, PostgreSQL instance and observability stack merged into develop through PRs #1 to #3.</w:t>
      </w:r>
    </w:p>
    <w:p>
      <w:pPr>
        <w:keepNext/>
        <w:jc w:val="center"/>
      </w:pPr>
      <w:r>
        <w:rPr>
          <w:rFonts w:ascii="Arial" w:hAnsi="Arial"/>
          <w:color w:val="000000"/>
          <w:sz w:val="24"/>
        </w:rPr>
        <w:drawing>
          <wp:inline xmlns:a="http://schemas.openxmlformats.org/drawingml/2006/main" xmlns:pic="http://schemas.openxmlformats.org/drawingml/2006/picture">
            <wp:extent cx="5852160" cy="1348292"/>
            <wp:docPr id="4" name="Picture 4"/>
            <wp:cNvGraphicFramePr>
              <a:graphicFrameLocks noChangeAspect="1"/>
            </wp:cNvGraphicFramePr>
            <a:graphic>
              <a:graphicData uri="http://schemas.openxmlformats.org/drawingml/2006/picture">
                <pic:pic>
                  <pic:nvPicPr>
                    <pic:cNvPr id="0" name="w9c.png"/>
                    <pic:cNvPicPr/>
                  </pic:nvPicPr>
                  <pic:blipFill>
                    <a:blip r:embed="rId12"/>
                    <a:stretch>
                      <a:fillRect/>
                    </a:stretch>
                  </pic:blipFill>
                  <pic:spPr>
                    <a:xfrm>
                      <a:off x="0" y="0"/>
                      <a:ext cx="5852160" cy="1348292"/>
                    </a:xfrm>
                    <a:prstGeom prst="rect"/>
                  </pic:spPr>
                </pic:pic>
              </a:graphicData>
            </a:graphic>
          </wp:inline>
        </w:drawing>
      </w:r>
    </w:p>
    <w:p>
      <w:pPr>
        <w:spacing w:after="200" w:line="276" w:lineRule="auto"/>
        <w:jc w:val="center"/>
      </w:pPr>
      <w:r>
        <w:rPr>
          <w:rFonts w:ascii="Arial" w:hAnsi="Arial" w:eastAsia="Arial"/>
          <w:b w:val="0"/>
          <w:i w:val="0"/>
          <w:color w:val="000000"/>
          <w:sz w:val="24"/>
        </w:rPr>
        <w:t>Figure 9.4. MongoDB repository: PR template and single MongoDB instance with one restricted user per domain.</w:t>
      </w:r>
    </w:p>
    <w:p>
      <w:pPr>
        <w:keepNext/>
        <w:jc w:val="center"/>
      </w:pPr>
      <w:r>
        <w:rPr>
          <w:rFonts w:ascii="Arial" w:hAnsi="Arial"/>
          <w:color w:val="000000"/>
          <w:sz w:val="24"/>
        </w:rPr>
        <w:drawing>
          <wp:inline xmlns:a="http://schemas.openxmlformats.org/drawingml/2006/main" xmlns:pic="http://schemas.openxmlformats.org/drawingml/2006/picture">
            <wp:extent cx="5852160" cy="4049222"/>
            <wp:docPr id="5" name="Picture 5"/>
            <wp:cNvGraphicFramePr>
              <a:graphicFrameLocks noChangeAspect="1"/>
            </wp:cNvGraphicFramePr>
            <a:graphic>
              <a:graphicData uri="http://schemas.openxmlformats.org/drawingml/2006/picture">
                <pic:pic>
                  <pic:nvPicPr>
                    <pic:cNvPr id="0" name="w9d.png"/>
                    <pic:cNvPicPr/>
                  </pic:nvPicPr>
                  <pic:blipFill>
                    <a:blip r:embed="rId13"/>
                    <a:stretch>
                      <a:fillRect/>
                    </a:stretch>
                  </pic:blipFill>
                  <pic:spPr>
                    <a:xfrm>
                      <a:off x="0" y="0"/>
                      <a:ext cx="5852160" cy="4049222"/>
                    </a:xfrm>
                    <a:prstGeom prst="rect"/>
                  </pic:spPr>
                </pic:pic>
              </a:graphicData>
            </a:graphic>
          </wp:inline>
        </w:drawing>
      </w:r>
    </w:p>
    <w:p>
      <w:pPr>
        <w:spacing w:after="200" w:line="276" w:lineRule="auto"/>
        <w:jc w:val="center"/>
      </w:pPr>
      <w:r>
        <w:rPr>
          <w:rFonts w:ascii="Arial" w:hAnsi="Arial" w:eastAsia="Arial"/>
          <w:b w:val="0"/>
          <w:i w:val="0"/>
          <w:color w:val="000000"/>
          <w:sz w:val="24"/>
        </w:rPr>
        <w:t>Figure 9.5. Documentation commits of the week: Sales checkout spec (411 lines) and ADR-010 to ADR-013.</w:t>
      </w:r>
    </w:p>
    <w:p>
      <w:pPr>
        <w:spacing w:after="60" w:line="276" w:lineRule="auto"/>
      </w:pPr>
      <w:r>
        <w:rPr>
          <w:rFonts w:ascii="Arial" w:hAnsi="Arial" w:eastAsia="Arial"/>
          <w:b/>
          <w:i w:val="0"/>
          <w:color w:val="000000"/>
          <w:sz w:val="24"/>
        </w:rPr>
        <w:t>Table 1. Commits authored in the week</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tblHeader w:val="true"/>
        </w:trPr>
        <w:tc>
          <w:tcPr>
            <w:tcW w:type="dxa" w:w="1368"/>
          </w:tcPr>
          <w:p>
            <w:pPr>
              <w:spacing w:after="40"/>
            </w:pPr>
            <w:r/>
            <w:r>
              <w:rPr>
                <w:rFonts w:ascii="Arial" w:hAnsi="Arial" w:eastAsia="Arial"/>
                <w:b/>
                <w:i w:val="0"/>
                <w:color w:val="000000"/>
                <w:sz w:val="24"/>
              </w:rPr>
              <w:t>Date</w:t>
            </w:r>
          </w:p>
        </w:tc>
        <w:tc>
          <w:tcPr>
            <w:tcW w:type="dxa" w:w="1728"/>
          </w:tcPr>
          <w:p>
            <w:pPr>
              <w:spacing w:after="40"/>
            </w:pPr>
            <w:r/>
            <w:r>
              <w:rPr>
                <w:rFonts w:ascii="Arial" w:hAnsi="Arial" w:eastAsia="Arial"/>
                <w:b/>
                <w:i w:val="0"/>
                <w:color w:val="000000"/>
                <w:sz w:val="24"/>
              </w:rPr>
              <w:t>Repository</w:t>
            </w:r>
          </w:p>
        </w:tc>
        <w:tc>
          <w:tcPr>
            <w:tcW w:type="dxa" w:w="1080"/>
          </w:tcPr>
          <w:p>
            <w:pPr>
              <w:spacing w:after="40"/>
            </w:pPr>
            <w:r/>
            <w:r>
              <w:rPr>
                <w:rFonts w:ascii="Arial" w:hAnsi="Arial" w:eastAsia="Arial"/>
                <w:b/>
                <w:i w:val="0"/>
                <w:color w:val="000000"/>
                <w:sz w:val="24"/>
              </w:rPr>
              <w:t>SHA</w:t>
            </w:r>
          </w:p>
        </w:tc>
        <w:tc>
          <w:tcPr>
            <w:tcW w:type="dxa" w:w="5184"/>
          </w:tcPr>
          <w:p>
            <w:pPr>
              <w:spacing w:after="40"/>
            </w:pPr>
            <w:r/>
            <w:r>
              <w:rPr>
                <w:rFonts w:ascii="Arial" w:hAnsi="Arial" w:eastAsia="Arial"/>
                <w:b/>
                <w:i w:val="0"/>
                <w:color w:val="000000"/>
                <w:sz w:val="24"/>
              </w:rPr>
              <w:t>Message</w:t>
            </w:r>
          </w:p>
        </w:tc>
      </w:tr>
      <w:tr>
        <w:tc>
          <w:tcPr>
            <w:tcW w:type="dxa" w:w="1368"/>
          </w:tcPr>
          <w:p>
            <w:pPr>
              <w:spacing w:after="40"/>
            </w:pPr>
            <w:r/>
            <w:r>
              <w:rPr>
                <w:rFonts w:ascii="Arial" w:hAnsi="Arial" w:eastAsia="Arial"/>
                <w:b w:val="0"/>
                <w:i w:val="0"/>
                <w:color w:val="000000"/>
                <w:sz w:val="24"/>
              </w:rPr>
              <w:t>2026-10-07</w:t>
            </w:r>
          </w:p>
        </w:tc>
        <w:tc>
          <w:tcPr>
            <w:tcW w:type="dxa" w:w="1728"/>
          </w:tcPr>
          <w:p>
            <w:pPr>
              <w:spacing w:after="40"/>
            </w:pPr>
            <w:r/>
            <w:r>
              <w:rPr>
                <w:rFonts w:ascii="Arial" w:hAnsi="Arial" w:eastAsia="Arial"/>
                <w:b w:val="0"/>
                <w:i w:val="0"/>
                <w:color w:val="000000"/>
                <w:sz w:val="24"/>
              </w:rPr>
              <w:t>amaranta-shop-docs</w:t>
            </w:r>
          </w:p>
        </w:tc>
        <w:tc>
          <w:tcPr>
            <w:tcW w:type="dxa" w:w="1080"/>
          </w:tcPr>
          <w:p>
            <w:pPr>
              <w:spacing w:after="40"/>
            </w:pPr>
            <w:r/>
            <w:r>
              <w:rPr>
                <w:rFonts w:ascii="Arial" w:hAnsi="Arial" w:eastAsia="Arial"/>
                <w:b w:val="0"/>
                <w:i w:val="0"/>
                <w:color w:val="000000"/>
                <w:sz w:val="24"/>
              </w:rPr>
              <w:t>6f6990a</w:t>
            </w:r>
          </w:p>
        </w:tc>
        <w:tc>
          <w:tcPr>
            <w:tcW w:type="dxa" w:w="5184"/>
          </w:tcPr>
          <w:p>
            <w:pPr>
              <w:spacing w:after="40"/>
            </w:pPr>
            <w:r/>
            <w:r>
              <w:rPr>
                <w:rFonts w:ascii="Arial" w:hAnsi="Arial" w:eastAsia="Arial"/>
                <w:b w:val="0"/>
                <w:i w:val="0"/>
                <w:color w:val="000000"/>
                <w:sz w:val="24"/>
              </w:rPr>
              <w:t>docs(api): record the checkout stock compensation in the Sales decisions</w:t>
            </w:r>
          </w:p>
        </w:tc>
      </w:tr>
      <w:tr>
        <w:tc>
          <w:tcPr>
            <w:tcW w:type="dxa" w:w="1368"/>
          </w:tcPr>
          <w:p>
            <w:pPr>
              <w:spacing w:after="40"/>
            </w:pPr>
            <w:r/>
            <w:r>
              <w:rPr>
                <w:rFonts w:ascii="Arial" w:hAnsi="Arial" w:eastAsia="Arial"/>
                <w:b w:val="0"/>
                <w:i w:val="0"/>
                <w:color w:val="000000"/>
                <w:sz w:val="24"/>
              </w:rPr>
              <w:t>2026-10-07</w:t>
            </w:r>
          </w:p>
        </w:tc>
        <w:tc>
          <w:tcPr>
            <w:tcW w:type="dxa" w:w="1728"/>
          </w:tcPr>
          <w:p>
            <w:pPr>
              <w:spacing w:after="40"/>
            </w:pPr>
            <w:r/>
            <w:r>
              <w:rPr>
                <w:rFonts w:ascii="Arial" w:hAnsi="Arial" w:eastAsia="Arial"/>
                <w:b w:val="0"/>
                <w:i w:val="0"/>
                <w:color w:val="000000"/>
                <w:sz w:val="24"/>
              </w:rPr>
              <w:t>amaranta-shop-docs</w:t>
            </w:r>
          </w:p>
        </w:tc>
        <w:tc>
          <w:tcPr>
            <w:tcW w:type="dxa" w:w="1080"/>
          </w:tcPr>
          <w:p>
            <w:pPr>
              <w:spacing w:after="40"/>
            </w:pPr>
            <w:r/>
            <w:r>
              <w:rPr>
                <w:rFonts w:ascii="Arial" w:hAnsi="Arial" w:eastAsia="Arial"/>
                <w:b w:val="0"/>
                <w:i w:val="0"/>
                <w:color w:val="000000"/>
                <w:sz w:val="24"/>
              </w:rPr>
              <w:t>7279efe</w:t>
            </w:r>
          </w:p>
        </w:tc>
        <w:tc>
          <w:tcPr>
            <w:tcW w:type="dxa" w:w="5184"/>
          </w:tcPr>
          <w:p>
            <w:pPr>
              <w:spacing w:after="40"/>
            </w:pPr>
            <w:r/>
            <w:r>
              <w:rPr>
                <w:rFonts w:ascii="Arial" w:hAnsi="Arial" w:eastAsia="Arial"/>
                <w:b w:val="0"/>
                <w:i w:val="0"/>
                <w:color w:val="000000"/>
                <w:sz w:val="24"/>
              </w:rPr>
              <w:t>docs(architecture): add ADR-012 stack of extracted services and ADR-013 monolith first</w:t>
            </w:r>
          </w:p>
        </w:tc>
      </w:tr>
      <w:tr>
        <w:tc>
          <w:tcPr>
            <w:tcW w:type="dxa" w:w="1368"/>
          </w:tcPr>
          <w:p>
            <w:pPr>
              <w:spacing w:after="40"/>
            </w:pPr>
            <w:r/>
            <w:r>
              <w:rPr>
                <w:rFonts w:ascii="Arial" w:hAnsi="Arial" w:eastAsia="Arial"/>
                <w:b w:val="0"/>
                <w:i w:val="0"/>
                <w:color w:val="000000"/>
                <w:sz w:val="24"/>
              </w:rPr>
              <w:t>2026-10-07</w:t>
            </w:r>
          </w:p>
        </w:tc>
        <w:tc>
          <w:tcPr>
            <w:tcW w:type="dxa" w:w="1728"/>
          </w:tcPr>
          <w:p>
            <w:pPr>
              <w:spacing w:after="40"/>
            </w:pPr>
            <w:r/>
            <w:r>
              <w:rPr>
                <w:rFonts w:ascii="Arial" w:hAnsi="Arial" w:eastAsia="Arial"/>
                <w:b w:val="0"/>
                <w:i w:val="0"/>
                <w:color w:val="000000"/>
                <w:sz w:val="24"/>
              </w:rPr>
              <w:t>amaranta-shop-docs</w:t>
            </w:r>
          </w:p>
        </w:tc>
        <w:tc>
          <w:tcPr>
            <w:tcW w:type="dxa" w:w="1080"/>
          </w:tcPr>
          <w:p>
            <w:pPr>
              <w:spacing w:after="40"/>
            </w:pPr>
            <w:r/>
            <w:r>
              <w:rPr>
                <w:rFonts w:ascii="Arial" w:hAnsi="Arial" w:eastAsia="Arial"/>
                <w:b w:val="0"/>
                <w:i w:val="0"/>
                <w:color w:val="000000"/>
                <w:sz w:val="24"/>
              </w:rPr>
              <w:t>bccf2ed</w:t>
            </w:r>
          </w:p>
        </w:tc>
        <w:tc>
          <w:tcPr>
            <w:tcW w:type="dxa" w:w="5184"/>
          </w:tcPr>
          <w:p>
            <w:pPr>
              <w:spacing w:after="40"/>
            </w:pPr>
            <w:r/>
            <w:r>
              <w:rPr>
                <w:rFonts w:ascii="Arial" w:hAnsi="Arial" w:eastAsia="Arial"/>
                <w:b w:val="0"/>
                <w:i w:val="0"/>
                <w:color w:val="000000"/>
                <w:sz w:val="24"/>
              </w:rPr>
              <w:t>docs(specs): add the Sales checkout spec with its extraction path</w:t>
            </w:r>
          </w:p>
        </w:tc>
      </w:tr>
      <w:tr>
        <w:tc>
          <w:tcPr>
            <w:tcW w:type="dxa" w:w="1368"/>
          </w:tcPr>
          <w:p>
            <w:pPr>
              <w:spacing w:after="40"/>
            </w:pPr>
            <w:r/>
            <w:r>
              <w:rPr>
                <w:rFonts w:ascii="Arial" w:hAnsi="Arial" w:eastAsia="Arial"/>
                <w:b w:val="0"/>
                <w:i w:val="0"/>
                <w:color w:val="000000"/>
                <w:sz w:val="24"/>
              </w:rPr>
              <w:t>2026-10-07</w:t>
            </w:r>
          </w:p>
        </w:tc>
        <w:tc>
          <w:tcPr>
            <w:tcW w:type="dxa" w:w="1728"/>
          </w:tcPr>
          <w:p>
            <w:pPr>
              <w:spacing w:after="40"/>
            </w:pPr>
            <w:r/>
            <w:r>
              <w:rPr>
                <w:rFonts w:ascii="Arial" w:hAnsi="Arial" w:eastAsia="Arial"/>
                <w:b w:val="0"/>
                <w:i w:val="0"/>
                <w:color w:val="000000"/>
                <w:sz w:val="24"/>
              </w:rPr>
              <w:t>amaranta-shop-docs</w:t>
            </w:r>
          </w:p>
        </w:tc>
        <w:tc>
          <w:tcPr>
            <w:tcW w:type="dxa" w:w="1080"/>
          </w:tcPr>
          <w:p>
            <w:pPr>
              <w:spacing w:after="40"/>
            </w:pPr>
            <w:r/>
            <w:r>
              <w:rPr>
                <w:rFonts w:ascii="Arial" w:hAnsi="Arial" w:eastAsia="Arial"/>
                <w:b w:val="0"/>
                <w:i w:val="0"/>
                <w:color w:val="000000"/>
                <w:sz w:val="24"/>
              </w:rPr>
              <w:t>ded0bbc</w:t>
            </w:r>
          </w:p>
        </w:tc>
        <w:tc>
          <w:tcPr>
            <w:tcW w:type="dxa" w:w="5184"/>
          </w:tcPr>
          <w:p>
            <w:pPr>
              <w:spacing w:after="40"/>
            </w:pPr>
            <w:r/>
            <w:r>
              <w:rPr>
                <w:rFonts w:ascii="Arial" w:hAnsi="Arial" w:eastAsia="Arial"/>
                <w:b w:val="0"/>
                <w:i w:val="0"/>
                <w:color w:val="000000"/>
                <w:sz w:val="24"/>
              </w:rPr>
              <w:t>docs: link the code repo and the spec, fix stale amaranta-shop-mvp names</w:t>
            </w:r>
          </w:p>
        </w:tc>
      </w:tr>
      <w:tr>
        <w:tc>
          <w:tcPr>
            <w:tcW w:type="dxa" w:w="1368"/>
          </w:tcPr>
          <w:p>
            <w:pPr>
              <w:spacing w:after="40"/>
            </w:pPr>
            <w:r/>
            <w:r>
              <w:rPr>
                <w:rFonts w:ascii="Arial" w:hAnsi="Arial" w:eastAsia="Arial"/>
                <w:b w:val="0"/>
                <w:i w:val="0"/>
                <w:color w:val="000000"/>
                <w:sz w:val="24"/>
              </w:rPr>
              <w:t>2026-10-07</w:t>
            </w:r>
          </w:p>
        </w:tc>
        <w:tc>
          <w:tcPr>
            <w:tcW w:type="dxa" w:w="1728"/>
          </w:tcPr>
          <w:p>
            <w:pPr>
              <w:spacing w:after="40"/>
            </w:pPr>
            <w:r/>
            <w:r>
              <w:rPr>
                <w:rFonts w:ascii="Arial" w:hAnsi="Arial" w:eastAsia="Arial"/>
                <w:b w:val="0"/>
                <w:i w:val="0"/>
                <w:color w:val="000000"/>
                <w:sz w:val="24"/>
              </w:rPr>
              <w:t>amaranta-shop-docs</w:t>
            </w:r>
          </w:p>
        </w:tc>
        <w:tc>
          <w:tcPr>
            <w:tcW w:type="dxa" w:w="1080"/>
          </w:tcPr>
          <w:p>
            <w:pPr>
              <w:spacing w:after="40"/>
            </w:pPr>
            <w:r/>
            <w:r>
              <w:rPr>
                <w:rFonts w:ascii="Arial" w:hAnsi="Arial" w:eastAsia="Arial"/>
                <w:b w:val="0"/>
                <w:i w:val="0"/>
                <w:color w:val="000000"/>
                <w:sz w:val="24"/>
              </w:rPr>
              <w:t>e909129</w:t>
            </w:r>
          </w:p>
        </w:tc>
        <w:tc>
          <w:tcPr>
            <w:tcW w:type="dxa" w:w="5184"/>
          </w:tcPr>
          <w:p>
            <w:pPr>
              <w:spacing w:after="40"/>
            </w:pPr>
            <w:r/>
            <w:r>
              <w:rPr>
                <w:rFonts w:ascii="Arial" w:hAnsi="Arial" w:eastAsia="Arial"/>
                <w:b w:val="0"/>
                <w:i w:val="0"/>
                <w:color w:val="000000"/>
                <w:sz w:val="24"/>
              </w:rPr>
              <w:t>docs(architecture): add ADR-010 engine per domain and ADR-011 identity with revocation</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32862eb</w:t>
            </w:r>
          </w:p>
        </w:tc>
        <w:tc>
          <w:tcPr>
            <w:tcW w:type="dxa" w:w="5184"/>
          </w:tcPr>
          <w:p>
            <w:pPr>
              <w:spacing w:after="40"/>
            </w:pPr>
            <w:r/>
            <w:r>
              <w:rPr>
                <w:rFonts w:ascii="Arial" w:hAnsi="Arial" w:eastAsia="Arial"/>
                <w:b w:val="0"/>
                <w:i w:val="0"/>
                <w:color w:val="000000"/>
                <w:sz w:val="24"/>
              </w:rPr>
              <w:t>feat(catalog): atomic stock reservation, idempotent release and product deletion</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47d721b</w:t>
            </w:r>
          </w:p>
        </w:tc>
        <w:tc>
          <w:tcPr>
            <w:tcW w:type="dxa" w:w="5184"/>
          </w:tcPr>
          <w:p>
            <w:pPr>
              <w:spacing w:after="40"/>
            </w:pPr>
            <w:r/>
            <w:r>
              <w:rPr>
                <w:rFonts w:ascii="Arial" w:hAnsi="Arial" w:eastAsia="Arial"/>
                <w:b w:val="0"/>
                <w:i w:val="0"/>
                <w:color w:val="000000"/>
                <w:sz w:val="24"/>
              </w:rPr>
              <w:t>chore(repo): ignore JWT keys, tsbuildinfo and .claude</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5105ae1</w:t>
            </w:r>
          </w:p>
        </w:tc>
        <w:tc>
          <w:tcPr>
            <w:tcW w:type="dxa" w:w="5184"/>
          </w:tcPr>
          <w:p>
            <w:pPr>
              <w:spacing w:after="40"/>
            </w:pPr>
            <w:r/>
            <w:r>
              <w:rPr>
                <w:rFonts w:ascii="Arial" w:hAnsi="Arial" w:eastAsia="Arial"/>
                <w:b w:val="0"/>
                <w:i w:val="0"/>
                <w:color w:val="000000"/>
                <w:sz w:val="24"/>
              </w:rPr>
              <w:t>feat(clinical): public pet medical history, pets directory and symptoms (cherry-pick)</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9279d1e</w:t>
            </w:r>
          </w:p>
        </w:tc>
        <w:tc>
          <w:tcPr>
            <w:tcW w:type="dxa" w:w="5184"/>
          </w:tcPr>
          <w:p>
            <w:pPr>
              <w:spacing w:after="40"/>
            </w:pPr>
            <w:r/>
            <w:r>
              <w:rPr>
                <w:rFonts w:ascii="Arial" w:hAnsi="Arial" w:eastAsia="Arial"/>
                <w:b w:val="0"/>
                <w:i w:val="0"/>
                <w:color w:val="000000"/>
                <w:sz w:val="24"/>
              </w:rPr>
              <w:t>fix(sales): compensate reserved stock when checkout fails (cherry-pick)</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94559a3</w:t>
            </w:r>
          </w:p>
        </w:tc>
        <w:tc>
          <w:tcPr>
            <w:tcW w:type="dxa" w:w="5184"/>
          </w:tcPr>
          <w:p>
            <w:pPr>
              <w:spacing w:after="40"/>
            </w:pPr>
            <w:r/>
            <w:r>
              <w:rPr>
                <w:rFonts w:ascii="Arial" w:hAnsi="Arial" w:eastAsia="Arial"/>
                <w:b w:val="0"/>
                <w:i w:val="0"/>
                <w:color w:val="000000"/>
                <w:sz w:val="24"/>
              </w:rPr>
              <w:t>feat(scheduling): validate business hours and expose available slots</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a6c5eec</w:t>
            </w:r>
          </w:p>
        </w:tc>
        <w:tc>
          <w:tcPr>
            <w:tcW w:type="dxa" w:w="5184"/>
          </w:tcPr>
          <w:p>
            <w:pPr>
              <w:spacing w:after="40"/>
            </w:pPr>
            <w:r/>
            <w:r>
              <w:rPr>
                <w:rFonts w:ascii="Arial" w:hAnsi="Arial" w:eastAsia="Arial"/>
                <w:b w:val="0"/>
                <w:i w:val="0"/>
                <w:color w:val="000000"/>
                <w:sz w:val="24"/>
              </w:rPr>
              <w:t>feat(catalog): atomic stock reservation, idempotent release and product deletion (cherry-pick)</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bdd83bd</w:t>
            </w:r>
          </w:p>
        </w:tc>
        <w:tc>
          <w:tcPr>
            <w:tcW w:type="dxa" w:w="5184"/>
          </w:tcPr>
          <w:p>
            <w:pPr>
              <w:spacing w:after="40"/>
            </w:pPr>
            <w:r/>
            <w:r>
              <w:rPr>
                <w:rFonts w:ascii="Arial" w:hAnsi="Arial" w:eastAsia="Arial"/>
                <w:b w:val="0"/>
                <w:i w:val="0"/>
                <w:color w:val="000000"/>
                <w:sz w:val="24"/>
              </w:rPr>
              <w:t>fix(sales): compensate reserved stock when checkout fails</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c5e983b</w:t>
            </w:r>
          </w:p>
        </w:tc>
        <w:tc>
          <w:tcPr>
            <w:tcW w:type="dxa" w:w="5184"/>
          </w:tcPr>
          <w:p>
            <w:pPr>
              <w:spacing w:after="40"/>
            </w:pPr>
            <w:r/>
            <w:r>
              <w:rPr>
                <w:rFonts w:ascii="Arial" w:hAnsi="Arial" w:eastAsia="Arial"/>
                <w:b w:val="0"/>
                <w:i w:val="0"/>
                <w:color w:val="000000"/>
                <w:sz w:val="24"/>
              </w:rPr>
              <w:t>feat(web): reception, clinic and public pet screens with slot picker (cherry-pick)</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cfa95c2</w:t>
            </w:r>
          </w:p>
        </w:tc>
        <w:tc>
          <w:tcPr>
            <w:tcW w:type="dxa" w:w="5184"/>
          </w:tcPr>
          <w:p>
            <w:pPr>
              <w:spacing w:after="40"/>
            </w:pPr>
            <w:r/>
            <w:r>
              <w:rPr>
                <w:rFonts w:ascii="Arial" w:hAnsi="Arial" w:eastAsia="Arial"/>
                <w:b w:val="0"/>
                <w:i w:val="0"/>
                <w:color w:val="000000"/>
                <w:sz w:val="24"/>
              </w:rPr>
              <w:t>feat(scheduling): validate business hours and expose available slots (cherry-pick)</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cffbbf4</w:t>
            </w:r>
          </w:p>
        </w:tc>
        <w:tc>
          <w:tcPr>
            <w:tcW w:type="dxa" w:w="5184"/>
          </w:tcPr>
          <w:p>
            <w:pPr>
              <w:spacing w:after="40"/>
            </w:pPr>
            <w:r/>
            <w:r>
              <w:rPr>
                <w:rFonts w:ascii="Arial" w:hAnsi="Arial" w:eastAsia="Arial"/>
                <w:b w:val="0"/>
                <w:i w:val="0"/>
                <w:color w:val="000000"/>
                <w:sz w:val="24"/>
              </w:rPr>
              <w:t>feat(web): reception, clinic and public pet screens with slot picker</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d26b05f</w:t>
            </w:r>
          </w:p>
        </w:tc>
        <w:tc>
          <w:tcPr>
            <w:tcW w:type="dxa" w:w="5184"/>
          </w:tcPr>
          <w:p>
            <w:pPr>
              <w:spacing w:after="40"/>
            </w:pPr>
            <w:r/>
            <w:r>
              <w:rPr>
                <w:rFonts w:ascii="Arial" w:hAnsi="Arial" w:eastAsia="Arial"/>
                <w:b w:val="0"/>
                <w:i w:val="0"/>
                <w:color w:val="000000"/>
                <w:sz w:val="24"/>
              </w:rPr>
              <w:t>feat(clinical): public pet medical history, pets directory and symptoms</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de414d0</w:t>
            </w:r>
          </w:p>
        </w:tc>
        <w:tc>
          <w:tcPr>
            <w:tcW w:type="dxa" w:w="5184"/>
          </w:tcPr>
          <w:p>
            <w:pPr>
              <w:spacing w:after="40"/>
            </w:pPr>
            <w:r/>
            <w:r>
              <w:rPr>
                <w:rFonts w:ascii="Arial" w:hAnsi="Arial" w:eastAsia="Arial"/>
                <w:b w:val="0"/>
                <w:i w:val="0"/>
                <w:color w:val="000000"/>
                <w:sz w:val="24"/>
              </w:rPr>
              <w:t>chore(repo): ignore JWT keys, tsbuildinfo and .claude (cherry-pick)</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f2143f3</w:t>
            </w:r>
          </w:p>
        </w:tc>
        <w:tc>
          <w:tcPr>
            <w:tcW w:type="dxa" w:w="5184"/>
          </w:tcPr>
          <w:p>
            <w:pPr>
              <w:spacing w:after="40"/>
            </w:pPr>
            <w:r/>
            <w:r>
              <w:rPr>
                <w:rFonts w:ascii="Arial" w:hAnsi="Arial" w:eastAsia="Arial"/>
                <w:b w:val="0"/>
                <w:i w:val="0"/>
                <w:color w:val="000000"/>
                <w:sz w:val="24"/>
              </w:rPr>
              <w:t>feat(catalog): wire release use case and add product image upload (cherry-pick)</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fc08910</w:t>
            </w:r>
          </w:p>
        </w:tc>
        <w:tc>
          <w:tcPr>
            <w:tcW w:type="dxa" w:w="5184"/>
          </w:tcPr>
          <w:p>
            <w:pPr>
              <w:spacing w:after="40"/>
            </w:pPr>
            <w:r/>
            <w:r>
              <w:rPr>
                <w:rFonts w:ascii="Arial" w:hAnsi="Arial" w:eastAsia="Arial"/>
                <w:b w:val="0"/>
                <w:i w:val="0"/>
                <w:color w:val="000000"/>
                <w:sz w:val="24"/>
              </w:rPr>
              <w:t>chore(repo): ignore JWT keys, tsbuildinfo and .claude (cherry-pick)</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fd757e1</w:t>
            </w:r>
          </w:p>
        </w:tc>
        <w:tc>
          <w:tcPr>
            <w:tcW w:type="dxa" w:w="5184"/>
          </w:tcPr>
          <w:p>
            <w:pPr>
              <w:spacing w:after="40"/>
            </w:pPr>
            <w:r/>
            <w:r>
              <w:rPr>
                <w:rFonts w:ascii="Arial" w:hAnsi="Arial" w:eastAsia="Arial"/>
                <w:b w:val="0"/>
                <w:i w:val="0"/>
                <w:color w:val="000000"/>
                <w:sz w:val="24"/>
              </w:rPr>
              <w:t>feat(catalog): wire release use case and add product image upload</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amaranta-shop-infra-postgres</w:t>
            </w:r>
          </w:p>
        </w:tc>
        <w:tc>
          <w:tcPr>
            <w:tcW w:type="dxa" w:w="1080"/>
          </w:tcPr>
          <w:p>
            <w:pPr>
              <w:spacing w:after="40"/>
            </w:pPr>
            <w:r/>
            <w:r>
              <w:rPr>
                <w:rFonts w:ascii="Arial" w:hAnsi="Arial" w:eastAsia="Arial"/>
                <w:b w:val="0"/>
                <w:i w:val="0"/>
                <w:color w:val="000000"/>
                <w:sz w:val="24"/>
              </w:rPr>
              <w:t>34abe55</w:t>
            </w:r>
          </w:p>
        </w:tc>
        <w:tc>
          <w:tcPr>
            <w:tcW w:type="dxa" w:w="5184"/>
          </w:tcPr>
          <w:p>
            <w:pPr>
              <w:spacing w:after="40"/>
            </w:pPr>
            <w:r/>
            <w:r>
              <w:rPr>
                <w:rFonts w:ascii="Arial" w:hAnsi="Arial" w:eastAsia="Arial"/>
                <w:b w:val="0"/>
                <w:i w:val="0"/>
                <w:color w:val="000000"/>
                <w:sz w:val="24"/>
              </w:rPr>
              <w:t>feat(postgres): add the single PostgreSQL instance and its environments</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amaranta-shop-infra-postgres</w:t>
            </w:r>
          </w:p>
        </w:tc>
        <w:tc>
          <w:tcPr>
            <w:tcW w:type="dxa" w:w="1080"/>
          </w:tcPr>
          <w:p>
            <w:pPr>
              <w:spacing w:after="40"/>
            </w:pPr>
            <w:r/>
            <w:r>
              <w:rPr>
                <w:rFonts w:ascii="Arial" w:hAnsi="Arial" w:eastAsia="Arial"/>
                <w:b w:val="0"/>
                <w:i w:val="0"/>
                <w:color w:val="000000"/>
                <w:sz w:val="24"/>
              </w:rPr>
              <w:t>5b2cef9</w:t>
            </w:r>
          </w:p>
        </w:tc>
        <w:tc>
          <w:tcPr>
            <w:tcW w:type="dxa" w:w="5184"/>
          </w:tcPr>
          <w:p>
            <w:pPr>
              <w:spacing w:after="40"/>
            </w:pPr>
            <w:r/>
            <w:r>
              <w:rPr>
                <w:rFonts w:ascii="Arial" w:hAnsi="Arial" w:eastAsia="Arial"/>
                <w:b w:val="0"/>
                <w:i w:val="0"/>
                <w:color w:val="000000"/>
                <w:sz w:val="24"/>
              </w:rPr>
              <w:t>chore(repo): add the pull request template and board tracking</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amaranta-shop-infra-postgres</w:t>
            </w:r>
          </w:p>
        </w:tc>
        <w:tc>
          <w:tcPr>
            <w:tcW w:type="dxa" w:w="1080"/>
          </w:tcPr>
          <w:p>
            <w:pPr>
              <w:spacing w:after="40"/>
            </w:pPr>
            <w:r/>
            <w:r>
              <w:rPr>
                <w:rFonts w:ascii="Arial" w:hAnsi="Arial" w:eastAsia="Arial"/>
                <w:b w:val="0"/>
                <w:i w:val="0"/>
                <w:color w:val="000000"/>
                <w:sz w:val="24"/>
              </w:rPr>
              <w:t>a1671f0</w:t>
            </w:r>
          </w:p>
        </w:tc>
        <w:tc>
          <w:tcPr>
            <w:tcW w:type="dxa" w:w="5184"/>
          </w:tcPr>
          <w:p>
            <w:pPr>
              <w:spacing w:after="40"/>
            </w:pPr>
            <w:r/>
            <w:r>
              <w:rPr>
                <w:rFonts w:ascii="Arial" w:hAnsi="Arial" w:eastAsia="Arial"/>
                <w:b w:val="0"/>
                <w:i w:val="0"/>
                <w:color w:val="000000"/>
                <w:sz w:val="24"/>
              </w:rPr>
              <w:t>feat(observability): add the OpenTelemetry collector, Prometheus and Grafana</w:t>
            </w:r>
          </w:p>
        </w:tc>
      </w:tr>
      <w:tr>
        <w:tc>
          <w:tcPr>
            <w:tcW w:type="dxa" w:w="1368"/>
          </w:tcPr>
          <w:p>
            <w:pPr>
              <w:spacing w:after="40"/>
            </w:pPr>
            <w:r/>
            <w:r>
              <w:rPr>
                <w:rFonts w:ascii="Arial" w:hAnsi="Arial" w:eastAsia="Arial"/>
                <w:b w:val="0"/>
                <w:i w:val="0"/>
                <w:color w:val="000000"/>
                <w:sz w:val="24"/>
              </w:rPr>
              <w:t>2026-10-08</w:t>
            </w:r>
          </w:p>
        </w:tc>
        <w:tc>
          <w:tcPr>
            <w:tcW w:type="dxa" w:w="1728"/>
          </w:tcPr>
          <w:p>
            <w:pPr>
              <w:spacing w:after="40"/>
            </w:pPr>
            <w:r/>
            <w:r>
              <w:rPr>
                <w:rFonts w:ascii="Arial" w:hAnsi="Arial" w:eastAsia="Arial"/>
                <w:b w:val="0"/>
                <w:i w:val="0"/>
                <w:color w:val="000000"/>
                <w:sz w:val="24"/>
              </w:rPr>
              <w:t>amaranta-shop-infra-postgres</w:t>
            </w:r>
          </w:p>
        </w:tc>
        <w:tc>
          <w:tcPr>
            <w:tcW w:type="dxa" w:w="1080"/>
          </w:tcPr>
          <w:p>
            <w:pPr>
              <w:spacing w:after="40"/>
            </w:pPr>
            <w:r/>
            <w:r>
              <w:rPr>
                <w:rFonts w:ascii="Arial" w:hAnsi="Arial" w:eastAsia="Arial"/>
                <w:b w:val="0"/>
                <w:i w:val="0"/>
                <w:color w:val="000000"/>
                <w:sz w:val="24"/>
              </w:rPr>
              <w:t>b553892</w:t>
            </w:r>
          </w:p>
        </w:tc>
        <w:tc>
          <w:tcPr>
            <w:tcW w:type="dxa" w:w="5184"/>
          </w:tcPr>
          <w:p>
            <w:pPr>
              <w:spacing w:after="40"/>
            </w:pPr>
            <w:r/>
            <w:r>
              <w:rPr>
                <w:rFonts w:ascii="Arial" w:hAnsi="Arial" w:eastAsia="Arial"/>
                <w:b w:val="0"/>
                <w:i w:val="0"/>
                <w:color w:val="000000"/>
                <w:sz w:val="24"/>
              </w:rPr>
              <w:t>fix(ci): generate the throwaway test passwords at runtime</w:t>
            </w:r>
          </w:p>
        </w:tc>
      </w:tr>
      <w:tr>
        <w:tc>
          <w:tcPr>
            <w:tcW w:type="dxa" w:w="1368"/>
          </w:tcPr>
          <w:p>
            <w:pPr>
              <w:spacing w:after="40"/>
            </w:pPr>
            <w:r/>
            <w:r>
              <w:rPr>
                <w:rFonts w:ascii="Arial" w:hAnsi="Arial" w:eastAsia="Arial"/>
                <w:b w:val="0"/>
                <w:i w:val="0"/>
                <w:color w:val="000000"/>
                <w:sz w:val="24"/>
              </w:rPr>
              <w:t>2026-10-09</w:t>
            </w:r>
          </w:p>
        </w:tc>
        <w:tc>
          <w:tcPr>
            <w:tcW w:type="dxa" w:w="1728"/>
          </w:tcPr>
          <w:p>
            <w:pPr>
              <w:spacing w:after="40"/>
            </w:pPr>
            <w:r/>
            <w:r>
              <w:rPr>
                <w:rFonts w:ascii="Arial" w:hAnsi="Arial" w:eastAsia="Arial"/>
                <w:b w:val="0"/>
                <w:i w:val="0"/>
                <w:color w:val="000000"/>
                <w:sz w:val="24"/>
              </w:rPr>
              <w:t>amaranta-shop-infra-mongo</w:t>
            </w:r>
          </w:p>
        </w:tc>
        <w:tc>
          <w:tcPr>
            <w:tcW w:type="dxa" w:w="1080"/>
          </w:tcPr>
          <w:p>
            <w:pPr>
              <w:spacing w:after="40"/>
            </w:pPr>
            <w:r/>
            <w:r>
              <w:rPr>
                <w:rFonts w:ascii="Arial" w:hAnsi="Arial" w:eastAsia="Arial"/>
                <w:b w:val="0"/>
                <w:i w:val="0"/>
                <w:color w:val="000000"/>
                <w:sz w:val="24"/>
              </w:rPr>
              <w:t>c071837</w:t>
            </w:r>
          </w:p>
        </w:tc>
        <w:tc>
          <w:tcPr>
            <w:tcW w:type="dxa" w:w="5184"/>
          </w:tcPr>
          <w:p>
            <w:pPr>
              <w:spacing w:after="40"/>
            </w:pPr>
            <w:r/>
            <w:r>
              <w:rPr>
                <w:rFonts w:ascii="Arial" w:hAnsi="Arial" w:eastAsia="Arial"/>
                <w:b w:val="0"/>
                <w:i w:val="0"/>
                <w:color w:val="000000"/>
                <w:sz w:val="24"/>
              </w:rPr>
              <w:t>chore(repo): add the pull request template and board tracking</w:t>
            </w:r>
          </w:p>
        </w:tc>
      </w:tr>
      <w:tr>
        <w:tc>
          <w:tcPr>
            <w:tcW w:type="dxa" w:w="1368"/>
          </w:tcPr>
          <w:p>
            <w:pPr>
              <w:spacing w:after="40"/>
            </w:pPr>
            <w:r/>
            <w:r>
              <w:rPr>
                <w:rFonts w:ascii="Arial" w:hAnsi="Arial" w:eastAsia="Arial"/>
                <w:b w:val="0"/>
                <w:i w:val="0"/>
                <w:color w:val="000000"/>
                <w:sz w:val="24"/>
              </w:rPr>
              <w:t>2026-10-09</w:t>
            </w:r>
          </w:p>
        </w:tc>
        <w:tc>
          <w:tcPr>
            <w:tcW w:type="dxa" w:w="1728"/>
          </w:tcPr>
          <w:p>
            <w:pPr>
              <w:spacing w:after="40"/>
            </w:pPr>
            <w:r/>
            <w:r>
              <w:rPr>
                <w:rFonts w:ascii="Arial" w:hAnsi="Arial" w:eastAsia="Arial"/>
                <w:b w:val="0"/>
                <w:i w:val="0"/>
                <w:color w:val="000000"/>
                <w:sz w:val="24"/>
              </w:rPr>
              <w:t>amaranta-shop-infra-mongo</w:t>
            </w:r>
          </w:p>
        </w:tc>
        <w:tc>
          <w:tcPr>
            <w:tcW w:type="dxa" w:w="1080"/>
          </w:tcPr>
          <w:p>
            <w:pPr>
              <w:spacing w:after="40"/>
            </w:pPr>
            <w:r/>
            <w:r>
              <w:rPr>
                <w:rFonts w:ascii="Arial" w:hAnsi="Arial" w:eastAsia="Arial"/>
                <w:b w:val="0"/>
                <w:i w:val="0"/>
                <w:color w:val="000000"/>
                <w:sz w:val="24"/>
              </w:rPr>
              <w:t>c29529f</w:t>
            </w:r>
          </w:p>
        </w:tc>
        <w:tc>
          <w:tcPr>
            <w:tcW w:type="dxa" w:w="5184"/>
          </w:tcPr>
          <w:p>
            <w:pPr>
              <w:spacing w:after="40"/>
            </w:pPr>
            <w:r/>
            <w:r>
              <w:rPr>
                <w:rFonts w:ascii="Arial" w:hAnsi="Arial" w:eastAsia="Arial"/>
                <w:b w:val="0"/>
                <w:i w:val="0"/>
                <w:color w:val="000000"/>
                <w:sz w:val="24"/>
              </w:rPr>
              <w:t>feat(mongo): add the single MongoDB instance and its environments</w:t>
            </w:r>
          </w:p>
        </w:tc>
      </w:tr>
      <w:tr>
        <w:tc>
          <w:tcPr>
            <w:tcW w:type="dxa" w:w="1368"/>
          </w:tcPr>
          <w:p>
            <w:pPr>
              <w:spacing w:after="40"/>
            </w:pPr>
            <w:r/>
            <w:r>
              <w:rPr>
                <w:rFonts w:ascii="Arial" w:hAnsi="Arial" w:eastAsia="Arial"/>
                <w:b w:val="0"/>
                <w:i w:val="0"/>
                <w:color w:val="000000"/>
                <w:sz w:val="24"/>
              </w:rPr>
              <w:t>2026-10-09</w:t>
            </w:r>
          </w:p>
        </w:tc>
        <w:tc>
          <w:tcPr>
            <w:tcW w:type="dxa" w:w="1728"/>
          </w:tcPr>
          <w:p>
            <w:pPr>
              <w:spacing w:after="40"/>
            </w:pPr>
            <w:r/>
            <w:r>
              <w:rPr>
                <w:rFonts w:ascii="Arial" w:hAnsi="Arial" w:eastAsia="Arial"/>
                <w:b w:val="0"/>
                <w:i w:val="0"/>
                <w:color w:val="000000"/>
                <w:sz w:val="24"/>
              </w:rPr>
              <w:t>amaranta-shop-infra-mongo</w:t>
            </w:r>
          </w:p>
        </w:tc>
        <w:tc>
          <w:tcPr>
            <w:tcW w:type="dxa" w:w="1080"/>
          </w:tcPr>
          <w:p>
            <w:pPr>
              <w:spacing w:after="40"/>
            </w:pPr>
            <w:r/>
            <w:r>
              <w:rPr>
                <w:rFonts w:ascii="Arial" w:hAnsi="Arial" w:eastAsia="Arial"/>
                <w:b w:val="0"/>
                <w:i w:val="0"/>
                <w:color w:val="000000"/>
                <w:sz w:val="24"/>
              </w:rPr>
              <w:t>dd0ec0c</w:t>
            </w:r>
          </w:p>
        </w:tc>
        <w:tc>
          <w:tcPr>
            <w:tcW w:type="dxa" w:w="5184"/>
          </w:tcPr>
          <w:p>
            <w:pPr>
              <w:spacing w:after="40"/>
            </w:pPr>
            <w:r/>
            <w:r>
              <w:rPr>
                <w:rFonts w:ascii="Arial" w:hAnsi="Arial" w:eastAsia="Arial"/>
                <w:b w:val="0"/>
                <w:i w:val="0"/>
                <w:color w:val="000000"/>
                <w:sz w:val="24"/>
              </w:rPr>
              <w:t>refactor(mongo): rename the password variable of the bootstrap</w:t>
            </w:r>
          </w:p>
        </w:tc>
      </w:tr>
      <w:tr>
        <w:tc>
          <w:tcPr>
            <w:tcW w:type="dxa" w:w="1368"/>
          </w:tcPr>
          <w:p>
            <w:pPr>
              <w:spacing w:after="40"/>
            </w:pPr>
            <w:r/>
            <w:r>
              <w:rPr>
                <w:rFonts w:ascii="Arial" w:hAnsi="Arial" w:eastAsia="Arial"/>
                <w:b w:val="0"/>
                <w:i w:val="0"/>
                <w:color w:val="000000"/>
                <w:sz w:val="24"/>
              </w:rPr>
              <w:t>2026-10-09</w:t>
            </w:r>
          </w:p>
        </w:tc>
        <w:tc>
          <w:tcPr>
            <w:tcW w:type="dxa" w:w="1728"/>
          </w:tcPr>
          <w:p>
            <w:pPr>
              <w:spacing w:after="40"/>
            </w:pPr>
            <w:r/>
            <w:r>
              <w:rPr>
                <w:rFonts w:ascii="Arial" w:hAnsi="Arial" w:eastAsia="Arial"/>
                <w:b w:val="0"/>
                <w:i w:val="0"/>
                <w:color w:val="000000"/>
                <w:sz w:val="24"/>
              </w:rPr>
              <w:t>amaranta-shop-security</w:t>
            </w:r>
          </w:p>
        </w:tc>
        <w:tc>
          <w:tcPr>
            <w:tcW w:type="dxa" w:w="1080"/>
          </w:tcPr>
          <w:p>
            <w:pPr>
              <w:spacing w:after="40"/>
            </w:pPr>
            <w:r/>
            <w:r>
              <w:rPr>
                <w:rFonts w:ascii="Arial" w:hAnsi="Arial" w:eastAsia="Arial"/>
                <w:b w:val="0"/>
                <w:i w:val="0"/>
                <w:color w:val="000000"/>
                <w:sz w:val="24"/>
              </w:rPr>
              <w:t>461a6fe</w:t>
            </w:r>
          </w:p>
        </w:tc>
        <w:tc>
          <w:tcPr>
            <w:tcW w:type="dxa" w:w="5184"/>
          </w:tcPr>
          <w:p>
            <w:pPr>
              <w:spacing w:after="40"/>
            </w:pPr>
            <w:r/>
            <w:r>
              <w:rPr>
                <w:rFonts w:ascii="Arial" w:hAnsi="Arial" w:eastAsia="Arial"/>
                <w:b w:val="0"/>
                <w:i w:val="0"/>
                <w:color w:val="000000"/>
                <w:sz w:val="24"/>
              </w:rPr>
              <w:t>chore(repo): add the pull request template and board tracking</w:t>
            </w:r>
          </w:p>
        </w:tc>
      </w:tr>
      <w:tr>
        <w:tc>
          <w:tcPr>
            <w:tcW w:type="dxa" w:w="1368"/>
          </w:tcPr>
          <w:p>
            <w:pPr>
              <w:spacing w:after="40"/>
            </w:pPr>
            <w:r/>
            <w:r>
              <w:rPr>
                <w:rFonts w:ascii="Arial" w:hAnsi="Arial" w:eastAsia="Arial"/>
                <w:b w:val="0"/>
                <w:i w:val="0"/>
                <w:color w:val="000000"/>
                <w:sz w:val="24"/>
              </w:rPr>
              <w:t>2026-10-09</w:t>
            </w:r>
          </w:p>
        </w:tc>
        <w:tc>
          <w:tcPr>
            <w:tcW w:type="dxa" w:w="1728"/>
          </w:tcPr>
          <w:p>
            <w:pPr>
              <w:spacing w:after="40"/>
            </w:pPr>
            <w:r/>
            <w:r>
              <w:rPr>
                <w:rFonts w:ascii="Arial" w:hAnsi="Arial" w:eastAsia="Arial"/>
                <w:b w:val="0"/>
                <w:i w:val="0"/>
                <w:color w:val="000000"/>
                <w:sz w:val="24"/>
              </w:rPr>
              <w:t>amaranta-shop-security</w:t>
            </w:r>
          </w:p>
        </w:tc>
        <w:tc>
          <w:tcPr>
            <w:tcW w:type="dxa" w:w="1080"/>
          </w:tcPr>
          <w:p>
            <w:pPr>
              <w:spacing w:after="40"/>
            </w:pPr>
            <w:r/>
            <w:r>
              <w:rPr>
                <w:rFonts w:ascii="Arial" w:hAnsi="Arial" w:eastAsia="Arial"/>
                <w:b w:val="0"/>
                <w:i w:val="0"/>
                <w:color w:val="000000"/>
                <w:sz w:val="24"/>
              </w:rPr>
              <w:t>9bb9598</w:t>
            </w:r>
          </w:p>
        </w:tc>
        <w:tc>
          <w:tcPr>
            <w:tcW w:type="dxa" w:w="5184"/>
          </w:tcPr>
          <w:p>
            <w:pPr>
              <w:spacing w:after="40"/>
            </w:pPr>
            <w:r/>
            <w:r>
              <w:rPr>
                <w:rFonts w:ascii="Arial" w:hAnsi="Arial" w:eastAsia="Arial"/>
                <w:b w:val="0"/>
                <w:i w:val="0"/>
                <w:color w:val="000000"/>
                <w:sz w:val="24"/>
              </w:rPr>
              <w:t>feat(security): add the base of the service and record its design</w:t>
            </w:r>
          </w:p>
        </w:tc>
      </w:tr>
    </w:tbl>
    <w:p>
      <w:pPr>
        <w:spacing w:after="80"/>
      </w:pPr>
    </w:p>
    <w:p>
      <w:pPr>
        <w:spacing w:after="60" w:line="276" w:lineRule="auto"/>
      </w:pPr>
      <w:r>
        <w:rPr>
          <w:rFonts w:ascii="Arial" w:hAnsi="Arial" w:eastAsia="Arial"/>
          <w:b/>
          <w:i w:val="0"/>
          <w:color w:val="000000"/>
          <w:sz w:val="24"/>
        </w:rPr>
        <w:t>Table 2. Pull requests and merges</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tblHeader w:val="true"/>
        </w:trPr>
        <w:tc>
          <w:tcPr>
            <w:tcW w:type="dxa" w:w="1368"/>
          </w:tcPr>
          <w:p>
            <w:pPr>
              <w:spacing w:after="40"/>
            </w:pPr>
            <w:r/>
            <w:r>
              <w:rPr>
                <w:rFonts w:ascii="Arial" w:hAnsi="Arial" w:eastAsia="Arial"/>
                <w:b/>
                <w:i w:val="0"/>
                <w:color w:val="000000"/>
                <w:sz w:val="24"/>
              </w:rPr>
              <w:t>Date</w:t>
            </w:r>
          </w:p>
        </w:tc>
        <w:tc>
          <w:tcPr>
            <w:tcW w:type="dxa" w:w="2448"/>
          </w:tcPr>
          <w:p>
            <w:pPr>
              <w:spacing w:after="40"/>
            </w:pPr>
            <w:r/>
            <w:r>
              <w:rPr>
                <w:rFonts w:ascii="Arial" w:hAnsi="Arial" w:eastAsia="Arial"/>
                <w:b/>
                <w:i w:val="0"/>
                <w:color w:val="000000"/>
                <w:sz w:val="24"/>
              </w:rPr>
              <w:t>Repository</w:t>
            </w:r>
          </w:p>
        </w:tc>
        <w:tc>
          <w:tcPr>
            <w:tcW w:type="dxa" w:w="1008"/>
          </w:tcPr>
          <w:p>
            <w:pPr>
              <w:spacing w:after="40"/>
            </w:pPr>
            <w:r/>
            <w:r>
              <w:rPr>
                <w:rFonts w:ascii="Arial" w:hAnsi="Arial" w:eastAsia="Arial"/>
                <w:b/>
                <w:i w:val="0"/>
                <w:color w:val="000000"/>
                <w:sz w:val="24"/>
              </w:rPr>
              <w:t>PR</w:t>
            </w:r>
          </w:p>
        </w:tc>
        <w:tc>
          <w:tcPr>
            <w:tcW w:type="dxa" w:w="4536"/>
          </w:tcPr>
          <w:p>
            <w:pPr>
              <w:spacing w:after="40"/>
            </w:pPr>
            <w:r/>
            <w:r>
              <w:rPr>
                <w:rFonts w:ascii="Arial" w:hAnsi="Arial" w:eastAsia="Arial"/>
                <w:b/>
                <w:i w:val="0"/>
                <w:color w:val="000000"/>
                <w:sz w:val="24"/>
              </w:rPr>
              <w:t>Branch</w:t>
            </w:r>
          </w:p>
        </w:tc>
      </w:tr>
      <w:tr>
        <w:tc>
          <w:tcPr>
            <w:tcW w:type="dxa" w:w="1368"/>
          </w:tcPr>
          <w:p>
            <w:pPr>
              <w:spacing w:after="40"/>
            </w:pPr>
            <w:r/>
            <w:r>
              <w:rPr>
                <w:rFonts w:ascii="Arial" w:hAnsi="Arial" w:eastAsia="Arial"/>
                <w:b w:val="0"/>
                <w:i w:val="0"/>
                <w:color w:val="000000"/>
                <w:sz w:val="24"/>
              </w:rPr>
              <w:t>2026-10-08</w:t>
            </w:r>
          </w:p>
        </w:tc>
        <w:tc>
          <w:tcPr>
            <w:tcW w:type="dxa" w:w="2448"/>
          </w:tcPr>
          <w:p>
            <w:pPr>
              <w:spacing w:after="40"/>
            </w:pPr>
            <w:r/>
            <w:r>
              <w:rPr>
                <w:rFonts w:ascii="Arial" w:hAnsi="Arial" w:eastAsia="Arial"/>
                <w:b w:val="0"/>
                <w:i w:val="0"/>
                <w:color w:val="000000"/>
                <w:sz w:val="24"/>
              </w:rPr>
              <w:t>amaranta</w:t>
            </w:r>
          </w:p>
        </w:tc>
        <w:tc>
          <w:tcPr>
            <w:tcW w:type="dxa" w:w="1008"/>
          </w:tcPr>
          <w:p>
            <w:pPr>
              <w:spacing w:after="40"/>
            </w:pPr>
            <w:r/>
            <w:r>
              <w:rPr>
                <w:rFonts w:ascii="Arial" w:hAnsi="Arial" w:eastAsia="Arial"/>
                <w:b w:val="0"/>
                <w:i w:val="0"/>
                <w:color w:val="000000"/>
                <w:sz w:val="24"/>
              </w:rPr>
              <w:t>#13</w:t>
            </w:r>
          </w:p>
        </w:tc>
        <w:tc>
          <w:tcPr>
            <w:tcW w:type="dxa" w:w="4536"/>
          </w:tcPr>
          <w:p>
            <w:pPr>
              <w:spacing w:after="40"/>
            </w:pPr>
            <w:r/>
            <w:r>
              <w:rPr>
                <w:rFonts w:ascii="Arial" w:hAnsi="Arial" w:eastAsia="Arial"/>
                <w:b w:val="0"/>
                <w:i w:val="0"/>
                <w:color w:val="000000"/>
                <w:sz w:val="24"/>
              </w:rPr>
              <w:t>chore-gitignore-dev</w:t>
            </w:r>
          </w:p>
        </w:tc>
      </w:tr>
      <w:tr>
        <w:tc>
          <w:tcPr>
            <w:tcW w:type="dxa" w:w="1368"/>
          </w:tcPr>
          <w:p>
            <w:pPr>
              <w:spacing w:after="40"/>
            </w:pPr>
            <w:r/>
            <w:r>
              <w:rPr>
                <w:rFonts w:ascii="Arial" w:hAnsi="Arial" w:eastAsia="Arial"/>
                <w:b w:val="0"/>
                <w:i w:val="0"/>
                <w:color w:val="000000"/>
                <w:sz w:val="24"/>
              </w:rPr>
              <w:t>2026-10-09</w:t>
            </w:r>
          </w:p>
        </w:tc>
        <w:tc>
          <w:tcPr>
            <w:tcW w:type="dxa" w:w="2448"/>
          </w:tcPr>
          <w:p>
            <w:pPr>
              <w:spacing w:after="40"/>
            </w:pPr>
            <w:r/>
            <w:r>
              <w:rPr>
                <w:rFonts w:ascii="Arial" w:hAnsi="Arial" w:eastAsia="Arial"/>
                <w:b w:val="0"/>
                <w:i w:val="0"/>
                <w:color w:val="000000"/>
                <w:sz w:val="24"/>
              </w:rPr>
              <w:t>amaranta</w:t>
            </w:r>
          </w:p>
        </w:tc>
        <w:tc>
          <w:tcPr>
            <w:tcW w:type="dxa" w:w="1008"/>
          </w:tcPr>
          <w:p>
            <w:pPr>
              <w:spacing w:after="40"/>
            </w:pPr>
            <w:r/>
            <w:r>
              <w:rPr>
                <w:rFonts w:ascii="Arial" w:hAnsi="Arial" w:eastAsia="Arial"/>
                <w:b w:val="0"/>
                <w:i w:val="0"/>
                <w:color w:val="000000"/>
                <w:sz w:val="24"/>
              </w:rPr>
              <w:t>#10</w:t>
            </w:r>
          </w:p>
        </w:tc>
        <w:tc>
          <w:tcPr>
            <w:tcW w:type="dxa" w:w="4536"/>
          </w:tcPr>
          <w:p>
            <w:pPr>
              <w:spacing w:after="40"/>
            </w:pPr>
            <w:r/>
            <w:r>
              <w:rPr>
                <w:rFonts w:ascii="Arial" w:hAnsi="Arial" w:eastAsia="Arial"/>
                <w:b w:val="0"/>
                <w:i w:val="0"/>
                <w:color w:val="000000"/>
                <w:sz w:val="24"/>
              </w:rPr>
              <w:t>hu-sched-dev</w:t>
            </w:r>
          </w:p>
        </w:tc>
      </w:tr>
      <w:tr>
        <w:tc>
          <w:tcPr>
            <w:tcW w:type="dxa" w:w="1368"/>
          </w:tcPr>
          <w:p>
            <w:pPr>
              <w:spacing w:after="40"/>
            </w:pPr>
            <w:r/>
            <w:r>
              <w:rPr>
                <w:rFonts w:ascii="Arial" w:hAnsi="Arial" w:eastAsia="Arial"/>
                <w:b w:val="0"/>
                <w:i w:val="0"/>
                <w:color w:val="000000"/>
                <w:sz w:val="24"/>
              </w:rPr>
              <w:t>2026-10-09</w:t>
            </w:r>
          </w:p>
        </w:tc>
        <w:tc>
          <w:tcPr>
            <w:tcW w:type="dxa" w:w="2448"/>
          </w:tcPr>
          <w:p>
            <w:pPr>
              <w:spacing w:after="40"/>
            </w:pPr>
            <w:r/>
            <w:r>
              <w:rPr>
                <w:rFonts w:ascii="Arial" w:hAnsi="Arial" w:eastAsia="Arial"/>
                <w:b w:val="0"/>
                <w:i w:val="0"/>
                <w:color w:val="000000"/>
                <w:sz w:val="24"/>
              </w:rPr>
              <w:t>amaranta</w:t>
            </w:r>
          </w:p>
        </w:tc>
        <w:tc>
          <w:tcPr>
            <w:tcW w:type="dxa" w:w="1008"/>
          </w:tcPr>
          <w:p>
            <w:pPr>
              <w:spacing w:after="40"/>
            </w:pPr>
            <w:r/>
            <w:r>
              <w:rPr>
                <w:rFonts w:ascii="Arial" w:hAnsi="Arial" w:eastAsia="Arial"/>
                <w:b w:val="0"/>
                <w:i w:val="0"/>
                <w:color w:val="000000"/>
                <w:sz w:val="24"/>
              </w:rPr>
              <w:t>#11</w:t>
            </w:r>
          </w:p>
        </w:tc>
        <w:tc>
          <w:tcPr>
            <w:tcW w:type="dxa" w:w="4536"/>
          </w:tcPr>
          <w:p>
            <w:pPr>
              <w:spacing w:after="40"/>
            </w:pPr>
            <w:r/>
            <w:r>
              <w:rPr>
                <w:rFonts w:ascii="Arial" w:hAnsi="Arial" w:eastAsia="Arial"/>
                <w:b w:val="0"/>
                <w:i w:val="0"/>
                <w:color w:val="000000"/>
                <w:sz w:val="24"/>
              </w:rPr>
              <w:t>hu-sales-001-dev</w:t>
            </w:r>
          </w:p>
        </w:tc>
      </w:tr>
      <w:tr>
        <w:tc>
          <w:tcPr>
            <w:tcW w:type="dxa" w:w="1368"/>
          </w:tcPr>
          <w:p>
            <w:pPr>
              <w:spacing w:after="40"/>
            </w:pPr>
            <w:r/>
            <w:r>
              <w:rPr>
                <w:rFonts w:ascii="Arial" w:hAnsi="Arial" w:eastAsia="Arial"/>
                <w:b w:val="0"/>
                <w:i w:val="0"/>
                <w:color w:val="000000"/>
                <w:sz w:val="24"/>
              </w:rPr>
              <w:t>2026-10-09</w:t>
            </w:r>
          </w:p>
        </w:tc>
        <w:tc>
          <w:tcPr>
            <w:tcW w:type="dxa" w:w="2448"/>
          </w:tcPr>
          <w:p>
            <w:pPr>
              <w:spacing w:after="40"/>
            </w:pPr>
            <w:r/>
            <w:r>
              <w:rPr>
                <w:rFonts w:ascii="Arial" w:hAnsi="Arial" w:eastAsia="Arial"/>
                <w:b w:val="0"/>
                <w:i w:val="0"/>
                <w:color w:val="000000"/>
                <w:sz w:val="24"/>
              </w:rPr>
              <w:t>amaranta</w:t>
            </w:r>
          </w:p>
        </w:tc>
        <w:tc>
          <w:tcPr>
            <w:tcW w:type="dxa" w:w="1008"/>
          </w:tcPr>
          <w:p>
            <w:pPr>
              <w:spacing w:after="40"/>
            </w:pPr>
            <w:r/>
            <w:r>
              <w:rPr>
                <w:rFonts w:ascii="Arial" w:hAnsi="Arial" w:eastAsia="Arial"/>
                <w:b w:val="0"/>
                <w:i w:val="0"/>
                <w:color w:val="000000"/>
                <w:sz w:val="24"/>
              </w:rPr>
              <w:t>#12</w:t>
            </w:r>
          </w:p>
        </w:tc>
        <w:tc>
          <w:tcPr>
            <w:tcW w:type="dxa" w:w="4536"/>
          </w:tcPr>
          <w:p>
            <w:pPr>
              <w:spacing w:after="40"/>
            </w:pPr>
            <w:r/>
            <w:r>
              <w:rPr>
                <w:rFonts w:ascii="Arial" w:hAnsi="Arial" w:eastAsia="Arial"/>
                <w:b w:val="0"/>
                <w:i w:val="0"/>
                <w:color w:val="000000"/>
                <w:sz w:val="24"/>
              </w:rPr>
              <w:t>hu-clin-dev</w:t>
            </w:r>
          </w:p>
        </w:tc>
      </w:tr>
      <w:tr>
        <w:tc>
          <w:tcPr>
            <w:tcW w:type="dxa" w:w="1368"/>
          </w:tcPr>
          <w:p>
            <w:pPr>
              <w:spacing w:after="40"/>
            </w:pPr>
            <w:r/>
            <w:r>
              <w:rPr>
                <w:rFonts w:ascii="Arial" w:hAnsi="Arial" w:eastAsia="Arial"/>
                <w:b w:val="0"/>
                <w:i w:val="0"/>
                <w:color w:val="000000"/>
                <w:sz w:val="24"/>
              </w:rPr>
              <w:t>2026-10-09</w:t>
            </w:r>
          </w:p>
        </w:tc>
        <w:tc>
          <w:tcPr>
            <w:tcW w:type="dxa" w:w="2448"/>
          </w:tcPr>
          <w:p>
            <w:pPr>
              <w:spacing w:after="40"/>
            </w:pPr>
            <w:r/>
            <w:r>
              <w:rPr>
                <w:rFonts w:ascii="Arial" w:hAnsi="Arial" w:eastAsia="Arial"/>
                <w:b w:val="0"/>
                <w:i w:val="0"/>
                <w:color w:val="000000"/>
                <w:sz w:val="24"/>
              </w:rPr>
              <w:t>amaranta</w:t>
            </w:r>
          </w:p>
        </w:tc>
        <w:tc>
          <w:tcPr>
            <w:tcW w:type="dxa" w:w="1008"/>
          </w:tcPr>
          <w:p>
            <w:pPr>
              <w:spacing w:after="40"/>
            </w:pPr>
            <w:r/>
            <w:r>
              <w:rPr>
                <w:rFonts w:ascii="Arial" w:hAnsi="Arial" w:eastAsia="Arial"/>
                <w:b w:val="0"/>
                <w:i w:val="0"/>
                <w:color w:val="000000"/>
                <w:sz w:val="24"/>
              </w:rPr>
              <w:t>#15</w:t>
            </w:r>
          </w:p>
        </w:tc>
        <w:tc>
          <w:tcPr>
            <w:tcW w:type="dxa" w:w="4536"/>
          </w:tcPr>
          <w:p>
            <w:pPr>
              <w:spacing w:after="40"/>
            </w:pPr>
            <w:r/>
            <w:r>
              <w:rPr>
                <w:rFonts w:ascii="Arial" w:hAnsi="Arial" w:eastAsia="Arial"/>
                <w:b w:val="0"/>
                <w:i w:val="0"/>
                <w:color w:val="000000"/>
                <w:sz w:val="24"/>
              </w:rPr>
              <w:t>hu-web-dev</w:t>
            </w:r>
          </w:p>
        </w:tc>
      </w:tr>
      <w:tr>
        <w:tc>
          <w:tcPr>
            <w:tcW w:type="dxa" w:w="1368"/>
          </w:tcPr>
          <w:p>
            <w:pPr>
              <w:spacing w:after="40"/>
            </w:pPr>
            <w:r/>
            <w:r>
              <w:rPr>
                <w:rFonts w:ascii="Arial" w:hAnsi="Arial" w:eastAsia="Arial"/>
                <w:b w:val="0"/>
                <w:i w:val="0"/>
                <w:color w:val="000000"/>
                <w:sz w:val="24"/>
              </w:rPr>
              <w:t>2026-10-09</w:t>
            </w:r>
          </w:p>
        </w:tc>
        <w:tc>
          <w:tcPr>
            <w:tcW w:type="dxa" w:w="2448"/>
          </w:tcPr>
          <w:p>
            <w:pPr>
              <w:spacing w:after="40"/>
            </w:pPr>
            <w:r/>
            <w:r>
              <w:rPr>
                <w:rFonts w:ascii="Arial" w:hAnsi="Arial" w:eastAsia="Arial"/>
                <w:b w:val="0"/>
                <w:i w:val="0"/>
                <w:color w:val="000000"/>
                <w:sz w:val="24"/>
              </w:rPr>
              <w:t>amaranta</w:t>
            </w:r>
          </w:p>
        </w:tc>
        <w:tc>
          <w:tcPr>
            <w:tcW w:type="dxa" w:w="1008"/>
          </w:tcPr>
          <w:p>
            <w:pPr>
              <w:spacing w:after="40"/>
            </w:pPr>
            <w:r/>
            <w:r>
              <w:rPr>
                <w:rFonts w:ascii="Arial" w:hAnsi="Arial" w:eastAsia="Arial"/>
                <w:b w:val="0"/>
                <w:i w:val="0"/>
                <w:color w:val="000000"/>
                <w:sz w:val="24"/>
              </w:rPr>
              <w:t>#16</w:t>
            </w:r>
          </w:p>
        </w:tc>
        <w:tc>
          <w:tcPr>
            <w:tcW w:type="dxa" w:w="4536"/>
          </w:tcPr>
          <w:p>
            <w:pPr>
              <w:spacing w:after="40"/>
            </w:pPr>
            <w:r/>
            <w:r>
              <w:rPr>
                <w:rFonts w:ascii="Arial" w:hAnsi="Arial" w:eastAsia="Arial"/>
                <w:b w:val="0"/>
                <w:i w:val="0"/>
                <w:color w:val="000000"/>
                <w:sz w:val="24"/>
              </w:rPr>
              <w:t>chore-gitignore-qa</w:t>
            </w:r>
          </w:p>
        </w:tc>
      </w:tr>
      <w:tr>
        <w:tc>
          <w:tcPr>
            <w:tcW w:type="dxa" w:w="1368"/>
          </w:tcPr>
          <w:p>
            <w:pPr>
              <w:spacing w:after="40"/>
            </w:pPr>
            <w:r/>
            <w:r>
              <w:rPr>
                <w:rFonts w:ascii="Arial" w:hAnsi="Arial" w:eastAsia="Arial"/>
                <w:b w:val="0"/>
                <w:i w:val="0"/>
                <w:color w:val="000000"/>
                <w:sz w:val="24"/>
              </w:rPr>
              <w:t>2026-10-09</w:t>
            </w:r>
          </w:p>
        </w:tc>
        <w:tc>
          <w:tcPr>
            <w:tcW w:type="dxa" w:w="2448"/>
          </w:tcPr>
          <w:p>
            <w:pPr>
              <w:spacing w:after="40"/>
            </w:pPr>
            <w:r/>
            <w:r>
              <w:rPr>
                <w:rFonts w:ascii="Arial" w:hAnsi="Arial" w:eastAsia="Arial"/>
                <w:b w:val="0"/>
                <w:i w:val="0"/>
                <w:color w:val="000000"/>
                <w:sz w:val="24"/>
              </w:rPr>
              <w:t>amaranta-shop-infra-mongo</w:t>
            </w:r>
          </w:p>
        </w:tc>
        <w:tc>
          <w:tcPr>
            <w:tcW w:type="dxa" w:w="1008"/>
          </w:tcPr>
          <w:p>
            <w:pPr>
              <w:spacing w:after="40"/>
            </w:pPr>
            <w:r/>
            <w:r>
              <w:rPr>
                <w:rFonts w:ascii="Arial" w:hAnsi="Arial" w:eastAsia="Arial"/>
                <w:b w:val="0"/>
                <w:i w:val="0"/>
                <w:color w:val="000000"/>
                <w:sz w:val="24"/>
              </w:rPr>
              <w:t>#1</w:t>
            </w:r>
          </w:p>
        </w:tc>
        <w:tc>
          <w:tcPr>
            <w:tcW w:type="dxa" w:w="4536"/>
          </w:tcPr>
          <w:p>
            <w:pPr>
              <w:spacing w:after="40"/>
            </w:pPr>
            <w:r/>
            <w:r>
              <w:rPr>
                <w:rFonts w:ascii="Arial" w:hAnsi="Arial" w:eastAsia="Arial"/>
                <w:b w:val="0"/>
                <w:i w:val="0"/>
                <w:color w:val="000000"/>
                <w:sz w:val="24"/>
              </w:rPr>
              <w:t>chore/pr-template-and-board-tracking</w:t>
            </w:r>
          </w:p>
        </w:tc>
      </w:tr>
      <w:tr>
        <w:tc>
          <w:tcPr>
            <w:tcW w:type="dxa" w:w="1368"/>
          </w:tcPr>
          <w:p>
            <w:pPr>
              <w:spacing w:after="40"/>
            </w:pPr>
            <w:r/>
            <w:r>
              <w:rPr>
                <w:rFonts w:ascii="Arial" w:hAnsi="Arial" w:eastAsia="Arial"/>
                <w:b w:val="0"/>
                <w:i w:val="0"/>
                <w:color w:val="000000"/>
                <w:sz w:val="24"/>
              </w:rPr>
              <w:t>2026-10-09</w:t>
            </w:r>
          </w:p>
        </w:tc>
        <w:tc>
          <w:tcPr>
            <w:tcW w:type="dxa" w:w="2448"/>
          </w:tcPr>
          <w:p>
            <w:pPr>
              <w:spacing w:after="40"/>
            </w:pPr>
            <w:r/>
            <w:r>
              <w:rPr>
                <w:rFonts w:ascii="Arial" w:hAnsi="Arial" w:eastAsia="Arial"/>
                <w:b w:val="0"/>
                <w:i w:val="0"/>
                <w:color w:val="000000"/>
                <w:sz w:val="24"/>
              </w:rPr>
              <w:t>amaranta-shop-infra-mongo</w:t>
            </w:r>
          </w:p>
        </w:tc>
        <w:tc>
          <w:tcPr>
            <w:tcW w:type="dxa" w:w="1008"/>
          </w:tcPr>
          <w:p>
            <w:pPr>
              <w:spacing w:after="40"/>
            </w:pPr>
            <w:r/>
            <w:r>
              <w:rPr>
                <w:rFonts w:ascii="Arial" w:hAnsi="Arial" w:eastAsia="Arial"/>
                <w:b w:val="0"/>
                <w:i w:val="0"/>
                <w:color w:val="000000"/>
                <w:sz w:val="24"/>
              </w:rPr>
              <w:t>#2</w:t>
            </w:r>
          </w:p>
        </w:tc>
        <w:tc>
          <w:tcPr>
            <w:tcW w:type="dxa" w:w="4536"/>
          </w:tcPr>
          <w:p>
            <w:pPr>
              <w:spacing w:after="40"/>
            </w:pPr>
            <w:r/>
            <w:r>
              <w:rPr>
                <w:rFonts w:ascii="Arial" w:hAnsi="Arial" w:eastAsia="Arial"/>
                <w:b w:val="0"/>
                <w:i w:val="0"/>
                <w:color w:val="000000"/>
                <w:sz w:val="24"/>
              </w:rPr>
              <w:t>feat/mongo-instance</w:t>
            </w:r>
          </w:p>
        </w:tc>
      </w:tr>
      <w:tr>
        <w:tc>
          <w:tcPr>
            <w:tcW w:type="dxa" w:w="1368"/>
          </w:tcPr>
          <w:p>
            <w:pPr>
              <w:spacing w:after="40"/>
            </w:pPr>
            <w:r/>
            <w:r>
              <w:rPr>
                <w:rFonts w:ascii="Arial" w:hAnsi="Arial" w:eastAsia="Arial"/>
                <w:b w:val="0"/>
                <w:i w:val="0"/>
                <w:color w:val="000000"/>
                <w:sz w:val="24"/>
              </w:rPr>
              <w:t>2026-10-09</w:t>
            </w:r>
          </w:p>
        </w:tc>
        <w:tc>
          <w:tcPr>
            <w:tcW w:type="dxa" w:w="2448"/>
          </w:tcPr>
          <w:p>
            <w:pPr>
              <w:spacing w:after="40"/>
            </w:pPr>
            <w:r/>
            <w:r>
              <w:rPr>
                <w:rFonts w:ascii="Arial" w:hAnsi="Arial" w:eastAsia="Arial"/>
                <w:b w:val="0"/>
                <w:i w:val="0"/>
                <w:color w:val="000000"/>
                <w:sz w:val="24"/>
              </w:rPr>
              <w:t>amaranta-shop-infra-postgres</w:t>
            </w:r>
          </w:p>
        </w:tc>
        <w:tc>
          <w:tcPr>
            <w:tcW w:type="dxa" w:w="1008"/>
          </w:tcPr>
          <w:p>
            <w:pPr>
              <w:spacing w:after="40"/>
            </w:pPr>
            <w:r/>
            <w:r>
              <w:rPr>
                <w:rFonts w:ascii="Arial" w:hAnsi="Arial" w:eastAsia="Arial"/>
                <w:b w:val="0"/>
                <w:i w:val="0"/>
                <w:color w:val="000000"/>
                <w:sz w:val="24"/>
              </w:rPr>
              <w:t>#1</w:t>
            </w:r>
          </w:p>
        </w:tc>
        <w:tc>
          <w:tcPr>
            <w:tcW w:type="dxa" w:w="4536"/>
          </w:tcPr>
          <w:p>
            <w:pPr>
              <w:spacing w:after="40"/>
            </w:pPr>
            <w:r/>
            <w:r>
              <w:rPr>
                <w:rFonts w:ascii="Arial" w:hAnsi="Arial" w:eastAsia="Arial"/>
                <w:b w:val="0"/>
                <w:i w:val="0"/>
                <w:color w:val="000000"/>
                <w:sz w:val="24"/>
              </w:rPr>
              <w:t>chore/pr-template-and-board-tracking</w:t>
            </w:r>
          </w:p>
        </w:tc>
      </w:tr>
      <w:tr>
        <w:tc>
          <w:tcPr>
            <w:tcW w:type="dxa" w:w="1368"/>
          </w:tcPr>
          <w:p>
            <w:pPr>
              <w:spacing w:after="40"/>
            </w:pPr>
            <w:r/>
            <w:r>
              <w:rPr>
                <w:rFonts w:ascii="Arial" w:hAnsi="Arial" w:eastAsia="Arial"/>
                <w:b w:val="0"/>
                <w:i w:val="0"/>
                <w:color w:val="000000"/>
                <w:sz w:val="24"/>
              </w:rPr>
              <w:t>2026-10-09</w:t>
            </w:r>
          </w:p>
        </w:tc>
        <w:tc>
          <w:tcPr>
            <w:tcW w:type="dxa" w:w="2448"/>
          </w:tcPr>
          <w:p>
            <w:pPr>
              <w:spacing w:after="40"/>
            </w:pPr>
            <w:r/>
            <w:r>
              <w:rPr>
                <w:rFonts w:ascii="Arial" w:hAnsi="Arial" w:eastAsia="Arial"/>
                <w:b w:val="0"/>
                <w:i w:val="0"/>
                <w:color w:val="000000"/>
                <w:sz w:val="24"/>
              </w:rPr>
              <w:t>amaranta-shop-infra-postgres</w:t>
            </w:r>
          </w:p>
        </w:tc>
        <w:tc>
          <w:tcPr>
            <w:tcW w:type="dxa" w:w="1008"/>
          </w:tcPr>
          <w:p>
            <w:pPr>
              <w:spacing w:after="40"/>
            </w:pPr>
            <w:r/>
            <w:r>
              <w:rPr>
                <w:rFonts w:ascii="Arial" w:hAnsi="Arial" w:eastAsia="Arial"/>
                <w:b w:val="0"/>
                <w:i w:val="0"/>
                <w:color w:val="000000"/>
                <w:sz w:val="24"/>
              </w:rPr>
              <w:t>#2</w:t>
            </w:r>
          </w:p>
        </w:tc>
        <w:tc>
          <w:tcPr>
            <w:tcW w:type="dxa" w:w="4536"/>
          </w:tcPr>
          <w:p>
            <w:pPr>
              <w:spacing w:after="40"/>
            </w:pPr>
            <w:r/>
            <w:r>
              <w:rPr>
                <w:rFonts w:ascii="Arial" w:hAnsi="Arial" w:eastAsia="Arial"/>
                <w:b w:val="0"/>
                <w:i w:val="0"/>
                <w:color w:val="000000"/>
                <w:sz w:val="24"/>
              </w:rPr>
              <w:t>feat/postgres-instance</w:t>
            </w:r>
          </w:p>
        </w:tc>
      </w:tr>
      <w:tr>
        <w:tc>
          <w:tcPr>
            <w:tcW w:type="dxa" w:w="1368"/>
          </w:tcPr>
          <w:p>
            <w:pPr>
              <w:spacing w:after="40"/>
            </w:pPr>
            <w:r/>
            <w:r>
              <w:rPr>
                <w:rFonts w:ascii="Arial" w:hAnsi="Arial" w:eastAsia="Arial"/>
                <w:b w:val="0"/>
                <w:i w:val="0"/>
                <w:color w:val="000000"/>
                <w:sz w:val="24"/>
              </w:rPr>
              <w:t>2026-10-09</w:t>
            </w:r>
          </w:p>
        </w:tc>
        <w:tc>
          <w:tcPr>
            <w:tcW w:type="dxa" w:w="2448"/>
          </w:tcPr>
          <w:p>
            <w:pPr>
              <w:spacing w:after="40"/>
            </w:pPr>
            <w:r/>
            <w:r>
              <w:rPr>
                <w:rFonts w:ascii="Arial" w:hAnsi="Arial" w:eastAsia="Arial"/>
                <w:b w:val="0"/>
                <w:i w:val="0"/>
                <w:color w:val="000000"/>
                <w:sz w:val="24"/>
              </w:rPr>
              <w:t>amaranta-shop-infra-postgres</w:t>
            </w:r>
          </w:p>
        </w:tc>
        <w:tc>
          <w:tcPr>
            <w:tcW w:type="dxa" w:w="1008"/>
          </w:tcPr>
          <w:p>
            <w:pPr>
              <w:spacing w:after="40"/>
            </w:pPr>
            <w:r/>
            <w:r>
              <w:rPr>
                <w:rFonts w:ascii="Arial" w:hAnsi="Arial" w:eastAsia="Arial"/>
                <w:b w:val="0"/>
                <w:i w:val="0"/>
                <w:color w:val="000000"/>
                <w:sz w:val="24"/>
              </w:rPr>
              <w:t>#3</w:t>
            </w:r>
          </w:p>
        </w:tc>
        <w:tc>
          <w:tcPr>
            <w:tcW w:type="dxa" w:w="4536"/>
          </w:tcPr>
          <w:p>
            <w:pPr>
              <w:spacing w:after="40"/>
            </w:pPr>
            <w:r/>
            <w:r>
              <w:rPr>
                <w:rFonts w:ascii="Arial" w:hAnsi="Arial" w:eastAsia="Arial"/>
                <w:b w:val="0"/>
                <w:i w:val="0"/>
                <w:color w:val="000000"/>
                <w:sz w:val="24"/>
              </w:rPr>
              <w:t>feat/observability</w:t>
            </w:r>
          </w:p>
        </w:tc>
      </w:tr>
      <w:tr>
        <w:tc>
          <w:tcPr>
            <w:tcW w:type="dxa" w:w="1368"/>
          </w:tcPr>
          <w:p>
            <w:pPr>
              <w:spacing w:after="40"/>
            </w:pPr>
            <w:r/>
            <w:r>
              <w:rPr>
                <w:rFonts w:ascii="Arial" w:hAnsi="Arial" w:eastAsia="Arial"/>
                <w:b w:val="0"/>
                <w:i w:val="0"/>
                <w:color w:val="000000"/>
                <w:sz w:val="24"/>
              </w:rPr>
              <w:t>2026-10-09</w:t>
            </w:r>
          </w:p>
        </w:tc>
        <w:tc>
          <w:tcPr>
            <w:tcW w:type="dxa" w:w="2448"/>
          </w:tcPr>
          <w:p>
            <w:pPr>
              <w:spacing w:after="40"/>
            </w:pPr>
            <w:r/>
            <w:r>
              <w:rPr>
                <w:rFonts w:ascii="Arial" w:hAnsi="Arial" w:eastAsia="Arial"/>
                <w:b w:val="0"/>
                <w:i w:val="0"/>
                <w:color w:val="000000"/>
                <w:sz w:val="24"/>
              </w:rPr>
              <w:t>amaranta-shop-security</w:t>
            </w:r>
          </w:p>
        </w:tc>
        <w:tc>
          <w:tcPr>
            <w:tcW w:type="dxa" w:w="1008"/>
          </w:tcPr>
          <w:p>
            <w:pPr>
              <w:spacing w:after="40"/>
            </w:pPr>
            <w:r/>
            <w:r>
              <w:rPr>
                <w:rFonts w:ascii="Arial" w:hAnsi="Arial" w:eastAsia="Arial"/>
                <w:b w:val="0"/>
                <w:i w:val="0"/>
                <w:color w:val="000000"/>
                <w:sz w:val="24"/>
              </w:rPr>
              <w:t>#1</w:t>
            </w:r>
          </w:p>
        </w:tc>
        <w:tc>
          <w:tcPr>
            <w:tcW w:type="dxa" w:w="4536"/>
          </w:tcPr>
          <w:p>
            <w:pPr>
              <w:spacing w:after="40"/>
            </w:pPr>
            <w:r/>
            <w:r>
              <w:rPr>
                <w:rFonts w:ascii="Arial" w:hAnsi="Arial" w:eastAsia="Arial"/>
                <w:b w:val="0"/>
                <w:i w:val="0"/>
                <w:color w:val="000000"/>
                <w:sz w:val="24"/>
              </w:rPr>
              <w:t>chore/pr-template-and-board-tracking</w:t>
            </w:r>
          </w:p>
        </w:tc>
      </w:tr>
      <w:tr>
        <w:tc>
          <w:tcPr>
            <w:tcW w:type="dxa" w:w="1368"/>
          </w:tcPr>
          <w:p>
            <w:pPr>
              <w:spacing w:after="40"/>
            </w:pPr>
            <w:r/>
            <w:r>
              <w:rPr>
                <w:rFonts w:ascii="Arial" w:hAnsi="Arial" w:eastAsia="Arial"/>
                <w:b w:val="0"/>
                <w:i w:val="0"/>
                <w:color w:val="000000"/>
                <w:sz w:val="24"/>
              </w:rPr>
              <w:t>2026-10-09</w:t>
            </w:r>
          </w:p>
        </w:tc>
        <w:tc>
          <w:tcPr>
            <w:tcW w:type="dxa" w:w="2448"/>
          </w:tcPr>
          <w:p>
            <w:pPr>
              <w:spacing w:after="40"/>
            </w:pPr>
            <w:r/>
            <w:r>
              <w:rPr>
                <w:rFonts w:ascii="Arial" w:hAnsi="Arial" w:eastAsia="Arial"/>
                <w:b w:val="0"/>
                <w:i w:val="0"/>
                <w:color w:val="000000"/>
                <w:sz w:val="24"/>
              </w:rPr>
              <w:t>amaranta-shop-security</w:t>
            </w:r>
          </w:p>
        </w:tc>
        <w:tc>
          <w:tcPr>
            <w:tcW w:type="dxa" w:w="1008"/>
          </w:tcPr>
          <w:p>
            <w:pPr>
              <w:spacing w:after="40"/>
            </w:pPr>
            <w:r/>
            <w:r>
              <w:rPr>
                <w:rFonts w:ascii="Arial" w:hAnsi="Arial" w:eastAsia="Arial"/>
                <w:b w:val="0"/>
                <w:i w:val="0"/>
                <w:color w:val="000000"/>
                <w:sz w:val="24"/>
              </w:rPr>
              <w:t>#2</w:t>
            </w:r>
          </w:p>
        </w:tc>
        <w:tc>
          <w:tcPr>
            <w:tcW w:type="dxa" w:w="4536"/>
          </w:tcPr>
          <w:p>
            <w:pPr>
              <w:spacing w:after="40"/>
            </w:pPr>
            <w:r/>
            <w:r>
              <w:rPr>
                <w:rFonts w:ascii="Arial" w:hAnsi="Arial" w:eastAsia="Arial"/>
                <w:b w:val="0"/>
                <w:i w:val="0"/>
                <w:color w:val="000000"/>
                <w:sz w:val="24"/>
              </w:rPr>
              <w:t>feat/service-base</w:t>
            </w:r>
          </w:p>
        </w:tc>
      </w:tr>
    </w:tbl>
    <w:p>
      <w:pPr>
        <w:spacing w:after="80"/>
      </w:pPr>
    </w:p>
    <w:p>
      <w:pPr>
        <w:keepNext/>
        <w:spacing w:after="80" w:line="276" w:lineRule="auto" w:before="240"/>
      </w:pPr>
      <w:r>
        <w:rPr>
          <w:rFonts w:ascii="Arial" w:hAnsi="Arial" w:eastAsia="Arial"/>
          <w:b/>
          <w:i w:val="0"/>
          <w:color w:val="000000"/>
          <w:sz w:val="24"/>
        </w:rPr>
        <w:t>5. Individual contribution</w:t>
      </w:r>
    </w:p>
    <w:p>
      <w:pPr>
        <w:spacing w:after="60" w:line="276" w:lineRule="auto"/>
      </w:pPr>
      <w:r>
        <w:rPr>
          <w:rFonts w:ascii="Arial" w:hAnsi="Arial" w:eastAsia="Arial"/>
          <w:b/>
          <w:i w:val="0"/>
          <w:color w:val="000000"/>
          <w:sz w:val="24"/>
        </w:rPr>
        <w:t>Docs (`amaranta-shop-docs`) - 4 branches pushed</w:t>
      </w:r>
    </w:p>
    <w:p>
      <w:pPr>
        <w:pStyle w:val="ListBullet"/>
        <w:spacing w:after="60"/>
      </w:pPr>
      <w:r>
        <w:rPr>
          <w:rFonts w:ascii="Arial" w:hAnsi="Arial" w:eastAsia="Arial"/>
          <w:b w:val="0"/>
          <w:i w:val="0"/>
          <w:color w:val="000000"/>
          <w:sz w:val="24"/>
        </w:rPr>
        <w:t>ADR-010 (database engine per domain: Sales on PostgreSQL, Catalog on MongoDB) and ADR-011 (identity design with token revocation) - commit https://github.com/code-corhuila/amaranta-shop-docs/commit/e909129.</w:t>
      </w:r>
    </w:p>
    <w:p>
      <w:pPr>
        <w:pStyle w:val="ListBullet"/>
        <w:spacing w:after="60"/>
      </w:pPr>
      <w:r>
        <w:rPr>
          <w:rFonts w:ascii="Arial" w:hAnsi="Arial" w:eastAsia="Arial"/>
          <w:b w:val="0"/>
          <w:i w:val="0"/>
          <w:color w:val="000000"/>
          <w:sz w:val="24"/>
        </w:rPr>
        <w:t>ADR-012 (stack of extracted services) and ADR-013 (monolith first, strangler fig) - commit https://github.com/code-corhuila/amaranta-shop-docs/commit/7279efe.</w:t>
      </w:r>
    </w:p>
    <w:p>
      <w:pPr>
        <w:pStyle w:val="ListBullet"/>
        <w:spacing w:after="60"/>
      </w:pPr>
      <w:r>
        <w:rPr>
          <w:rFonts w:ascii="Arial" w:hAnsi="Arial" w:eastAsia="Arial"/>
          <w:b w:val="0"/>
          <w:i w:val="0"/>
          <w:color w:val="000000"/>
          <w:sz w:val="24"/>
        </w:rPr>
        <w:t>`specs/checkout.md`: single-capability Sales checkout spec with stories, 15 business rules traced to tests, contract changes of the extraction, cutover and an executable definition of done - commit https://github.com/code-corhuila/amaranta-shop-docs/commit/bccf2ed.</w:t>
      </w:r>
    </w:p>
    <w:p>
      <w:pPr>
        <w:pStyle w:val="ListBullet"/>
        <w:spacing w:after="60"/>
      </w:pPr>
      <w:r>
        <w:rPr>
          <w:rFonts w:ascii="Arial" w:hAnsi="Arial" w:eastAsia="Arial"/>
          <w:b w:val="0"/>
          <w:i w:val="0"/>
          <w:color w:val="000000"/>
          <w:sz w:val="24"/>
        </w:rPr>
        <w:t>Recorded the checkout stock compensation in the Sales API decisions (6f6990a) and linked the code repo and the spec from the README, fixing stale repo names (ded0bbc).</w:t>
      </w:r>
    </w:p>
    <w:p>
      <w:pPr>
        <w:spacing w:after="60" w:line="276" w:lineRule="auto"/>
      </w:pPr>
      <w:r>
        <w:rPr>
          <w:rFonts w:ascii="Arial" w:hAnsi="Arial" w:eastAsia="Arial"/>
          <w:b/>
          <w:i w:val="0"/>
          <w:color w:val="000000"/>
          <w:sz w:val="24"/>
        </w:rPr>
        <w:t>Code (`amaranta` repo) - one branch per HU, pushed on Oct 8 and merged into develop on Oct 9</w:t>
      </w:r>
    </w:p>
    <w:p>
      <w:pPr>
        <w:pStyle w:val="ListBullet"/>
        <w:spacing w:after="60"/>
      </w:pPr>
      <w:r>
        <w:rPr>
          <w:rFonts w:ascii="Arial" w:hAnsi="Arial" w:eastAsia="Arial"/>
          <w:b w:val="0"/>
          <w:i w:val="0"/>
          <w:color w:val="000000"/>
          <w:sz w:val="24"/>
        </w:rPr>
        <w:t>Catalog: reserve now uses a conditional UPDATE (stock &gt;= qty) so two concurrent reservations cannot take the last unit; release is an idempotent compensating increment; added product deletion, image upload and a concurrency spec (32862eb, fd757e1; branch `hu-cat-002-dev`).</w:t>
      </w:r>
    </w:p>
    <w:p>
      <w:pPr>
        <w:pStyle w:val="ListBullet"/>
        <w:spacing w:after="60"/>
      </w:pPr>
      <w:r>
        <w:rPr>
          <w:rFonts w:ascii="Arial" w:hAnsi="Arial" w:eastAsia="Arial"/>
          <w:b w:val="0"/>
          <w:i w:val="0"/>
          <w:color w:val="000000"/>
          <w:sz w:val="24"/>
        </w:rPr>
        <w:t>Sales: checkout releases the reservation when the aggregate rejects the order or persisting fails; added shop-hours and walk-in customer value objects (bdd83bd; branch `hu-sales-001-dev`).</w:t>
      </w:r>
    </w:p>
    <w:p>
      <w:pPr>
        <w:pStyle w:val="ListBullet"/>
        <w:spacing w:after="60"/>
      </w:pPr>
      <w:r>
        <w:rPr>
          <w:rFonts w:ascii="Arial" w:hAnsi="Arial" w:eastAsia="Arial"/>
          <w:b w:val="0"/>
          <w:i w:val="0"/>
          <w:color w:val="000000"/>
          <w:sz w:val="24"/>
        </w:rPr>
        <w:t>Scheduling: availability respects business hours and conflicts through the repository port; new get-available-slots use case (94559a3; branch `hu-sched-dev`).</w:t>
      </w:r>
    </w:p>
    <w:p>
      <w:pPr>
        <w:pStyle w:val="ListBullet"/>
        <w:spacing w:after="60"/>
      </w:pPr>
      <w:r>
        <w:rPr>
          <w:rFonts w:ascii="Arial" w:hAnsi="Arial" w:eastAsia="Arial"/>
          <w:b w:val="0"/>
          <w:i w:val="0"/>
          <w:color w:val="000000"/>
          <w:sz w:val="24"/>
        </w:rPr>
        <w:t>Clinical: public pet history with an optional JWT guard, pets directory and symptoms on medical records, migration V010 (d26b05f; branch `hu-clin-dev`).</w:t>
      </w:r>
    </w:p>
    <w:p>
      <w:pPr>
        <w:pStyle w:val="ListBullet"/>
        <w:spacing w:after="60"/>
      </w:pPr>
      <w:r>
        <w:rPr>
          <w:rFonts w:ascii="Arial" w:hAnsi="Arial" w:eastAsia="Arial"/>
          <w:b w:val="0"/>
          <w:i w:val="0"/>
          <w:color w:val="000000"/>
          <w:sz w:val="24"/>
        </w:rPr>
        <w:t>Web: reception, clinic and public pet screens with QR code and the appointment slot picker (cffbbf4; branch `hu-web-dev`).</w:t>
      </w:r>
    </w:p>
    <w:p>
      <w:pPr>
        <w:pStyle w:val="ListBullet"/>
        <w:spacing w:after="60"/>
      </w:pPr>
      <w:r>
        <w:rPr>
          <w:rFonts w:ascii="Arial" w:hAnsi="Arial" w:eastAsia="Arial"/>
          <w:b w:val="0"/>
          <w:i w:val="0"/>
          <w:color w:val="000000"/>
          <w:sz w:val="24"/>
        </w:rPr>
        <w:t>Pull requests: https://github.com/BrandowC/amaranta/pull/14 (HU-CAT-002), https://github.com/BrandowC/amaranta/pull/11 (HU-SALES-001), https://github.com/BrandowC/amaranta/pull/10 (HU-SCHED-001), https://github.com/BrandowC/amaranta/pull/12 (HU-CLIN-001) and https://github.com/BrandowC/amaranta/pull/15 (HU-WEB-001) were merged into `develop` on Oct 9 after code-owner review.</w:t>
      </w:r>
    </w:p>
    <w:p>
      <w:pPr>
        <w:pStyle w:val="ListBullet"/>
        <w:spacing w:after="60"/>
      </w:pPr>
      <w:r>
        <w:rPr>
          <w:rFonts w:ascii="Arial" w:hAnsi="Arial" w:eastAsia="Arial"/>
          <w:b w:val="0"/>
          <w:i w:val="0"/>
          <w:color w:val="000000"/>
          <w:sz w:val="24"/>
        </w:rPr>
        <w:t>Repo hygiene: ignored JWT keys, tsbuildinfo and local tooling files; merged into `develop` through PR https://github.com/BrandowC/amaranta/pull/13 (47d721b) and promoted to `qa` with `git cherry-pick -x` (de414d0, branch `chore-gitignore-qa`, merged into `qa` through PR #16 on Oct 9).</w:t>
      </w:r>
    </w:p>
    <w:p>
      <w:pPr>
        <w:spacing w:after="60" w:line="276" w:lineRule="auto"/>
      </w:pPr>
      <w:r>
        <w:rPr>
          <w:rFonts w:ascii="Arial" w:hAnsi="Arial" w:eastAsia="Arial"/>
          <w:b/>
          <w:i w:val="0"/>
          <w:color w:val="000000"/>
          <w:sz w:val="24"/>
        </w:rPr>
        <w:t>Infrastructure and security repositories (`code-corhuila` organisation) - 9 commits, 8 PRs merged into develop</w:t>
      </w:r>
    </w:p>
    <w:p>
      <w:pPr>
        <w:pStyle w:val="ListBullet"/>
        <w:spacing w:after="60"/>
      </w:pPr>
      <w:r>
        <w:rPr>
          <w:rFonts w:ascii="Arial" w:hAnsi="Arial" w:eastAsia="Arial"/>
          <w:b w:val="0"/>
          <w:i w:val="0"/>
          <w:color w:val="000000"/>
          <w:sz w:val="24"/>
        </w:rPr>
        <w:t>`amaranta-shop-infra-postgres`: PR template and board tracking so every PR cites its user story (5b2cef9, PR #1); one PostgreSQL 16 instance with an idempotent bootstrap, one login user per domain, one environment file per environment and the Annex J privilege self-check, tested in CI by running the bootstrap twice (34abe55, b553892, PR #2); OpenTelemetry collector, Prometheus and Grafana (a1671f0, PR #3).</w:t>
      </w:r>
    </w:p>
    <w:p>
      <w:pPr>
        <w:pStyle w:val="ListBullet"/>
        <w:spacing w:after="60"/>
      </w:pPr>
      <w:r>
        <w:rPr>
          <w:rFonts w:ascii="Arial" w:hAnsi="Arial" w:eastAsia="Arial"/>
          <w:b w:val="0"/>
          <w:i w:val="0"/>
          <w:color w:val="000000"/>
          <w:sz w:val="24"/>
        </w:rPr>
        <w:t>`amaranta-shop-infra-mongo`: the same PR template and board tracking (c071837, PR #1); one MongoDB 7.0 instance with one database and one user per domain restricted to its own database, with CI proving the user cannot write outside it (c29529f, dd0ec0c, PR #2).</w:t>
      </w:r>
    </w:p>
    <w:p>
      <w:pPr>
        <w:pStyle w:val="ListBullet"/>
        <w:spacing w:after="60"/>
      </w:pPr>
      <w:r>
        <w:rPr>
          <w:rFonts w:ascii="Arial" w:hAnsi="Arial" w:eastAsia="Arial"/>
          <w:b w:val="0"/>
          <w:i w:val="0"/>
          <w:color w:val="000000"/>
          <w:sz w:val="24"/>
        </w:rPr>
        <w:t>`amaranta-shop-security`: PR template (461a6fe, PR #1) and the minimum content of a code repository plus the README that records the token design of ADR-011: lifetimes, rotating refresh token and revocation (9bb9598, PR #2). The implementation is explicitly pending its own spec.</w:t>
      </w:r>
    </w:p>
    <w:p>
      <w:pPr>
        <w:pStyle w:val="ListBullet"/>
        <w:spacing w:after="60"/>
      </w:pPr>
      <w:r>
        <w:rPr>
          <w:rFonts w:ascii="Arial" w:hAnsi="Arial" w:eastAsia="Arial"/>
          <w:b w:val="0"/>
          <w:i w:val="0"/>
          <w:color w:val="000000"/>
          <w:sz w:val="24"/>
        </w:rPr>
        <w:t>CI fix: replaced fixed throwaway passwords with random per-run values and renamed a bootstrap variable, so the secret-scanning audit of the norm has no false positives (b553892, dd0ec0c).</w:t>
      </w:r>
    </w:p>
    <w:p>
      <w:pPr>
        <w:keepNext/>
        <w:spacing w:after="80" w:line="276" w:lineRule="auto" w:before="240"/>
      </w:pPr>
      <w:r>
        <w:rPr>
          <w:rFonts w:ascii="Arial" w:hAnsi="Arial" w:eastAsia="Arial"/>
          <w:b/>
          <w:i w:val="0"/>
          <w:color w:val="000000"/>
          <w:sz w:val="24"/>
        </w:rPr>
        <w:t>6. Blockers and risks</w:t>
      </w:r>
    </w:p>
    <w:p>
      <w:pPr>
        <w:pStyle w:val="ListBullet"/>
      </w:pPr>
      <w:r>
        <w:rPr>
          <w:rFonts w:ascii="Arial" w:hAnsi="Arial" w:eastAsia="Arial"/>
          <w:b w:val="0"/>
          <w:i w:val="0"/>
          <w:color w:val="000000"/>
          <w:sz w:val="24"/>
        </w:rPr>
        <w:t>The five HU branches are in `develop`, but they are not promoted to `qa` and `main` yet; promotion has to be done by `git cherry-pick -x` through `qa/...` and `release/...` branches, with the `qa` branch name conflict still open with the teacher.</w:t>
      </w:r>
    </w:p>
    <w:p>
      <w:pPr>
        <w:pStyle w:val="ListBullet"/>
      </w:pPr>
      <w:r>
        <w:rPr>
          <w:rFonts w:ascii="Arial" w:hAnsi="Arial" w:eastAsia="Arial"/>
          <w:b w:val="0"/>
          <w:i w:val="0"/>
          <w:color w:val="000000"/>
          <w:sz w:val="24"/>
        </w:rPr>
        <w:t>The docs PRs of the checkout spec (#14), ADR-012/013 (#16) and housekeeping (#17) were merged into `main` on Oct 12, after the week closed; the ADR-010/011 branch is still pending review.</w:t>
      </w:r>
    </w:p>
    <w:p>
      <w:pPr>
        <w:pStyle w:val="ListBullet"/>
      </w:pPr>
      <w:r>
        <w:rPr>
          <w:rFonts w:ascii="Arial" w:hAnsi="Arial" w:eastAsia="Arial"/>
          <w:b w:val="0"/>
          <w:i w:val="0"/>
          <w:color w:val="000000"/>
          <w:sz w:val="24"/>
        </w:rPr>
        <w:t>The infrastructure and security repositories were merged into `develop` only; `main` of those repositories is still the empty scaffold until the release PR.</w:t>
      </w:r>
    </w:p>
    <w:p>
      <w:pPr>
        <w:pStyle w:val="ListBullet"/>
      </w:pPr>
      <w:r>
        <w:rPr>
          <w:rFonts w:ascii="Arial" w:hAnsi="Arial" w:eastAsia="Arial"/>
          <w:b w:val="0"/>
          <w:i w:val="0"/>
          <w:color w:val="000000"/>
          <w:sz w:val="24"/>
        </w:rPr>
        <w:t>The Catalog engine decision (MongoDB, ADR-010) is a course requirement but is not implemented yet; the Catalog read service of the monolith still uses PostgreSQL.</w:t>
      </w:r>
    </w:p>
    <w:p>
      <w:pPr>
        <w:pStyle w:val="ListBullet"/>
      </w:pPr>
      <w:r>
        <w:rPr>
          <w:rFonts w:ascii="Arial" w:hAnsi="Arial" w:eastAsia="Arial"/>
          <w:b w:val="0"/>
          <w:i w:val="0"/>
          <w:color w:val="000000"/>
          <w:sz w:val="24"/>
        </w:rPr>
        <w:t>Commit `84439b6` of week 07 has a malformed message (a shell here-doc was committed as the subject); history cannot be rewritten under the norm, so it is justified here.</w:t>
      </w:r>
    </w:p>
    <w:p>
      <w:pPr>
        <w:keepNext/>
        <w:spacing w:after="80" w:line="276" w:lineRule="auto" w:before="240"/>
      </w:pPr>
      <w:r>
        <w:rPr>
          <w:rFonts w:ascii="Arial" w:hAnsi="Arial" w:eastAsia="Arial"/>
          <w:b/>
          <w:i w:val="0"/>
          <w:color w:val="000000"/>
          <w:sz w:val="24"/>
        </w:rPr>
        <w:t>7. Plan for next week</w:t>
      </w:r>
    </w:p>
    <w:p>
      <w:pPr>
        <w:pStyle w:val="ListBullet"/>
      </w:pPr>
      <w:r>
        <w:rPr>
          <w:rFonts w:ascii="Arial" w:hAnsi="Arial" w:eastAsia="Arial"/>
          <w:b w:val="0"/>
          <w:i w:val="0"/>
          <w:color w:val="000000"/>
          <w:sz w:val="24"/>
        </w:rPr>
        <w:t>Promote the five HUs merged into `develop` to `qa` and then to `main` through `qa/...` and `release/...` branches with `git cherry-pick -x`.</w:t>
      </w:r>
    </w:p>
    <w:p>
      <w:pPr>
        <w:pStyle w:val="ListBullet"/>
      </w:pPr>
      <w:r>
        <w:rPr>
          <w:rFonts w:ascii="Arial" w:hAnsi="Arial" w:eastAsia="Arial"/>
          <w:b w:val="0"/>
          <w:i w:val="0"/>
          <w:color w:val="000000"/>
          <w:sz w:val="24"/>
        </w:rPr>
        <w:t>Get the ADR-010/011 branch of the docs repo reviewed and merged.</w:t>
      </w:r>
    </w:p>
    <w:p>
      <w:pPr>
        <w:pStyle w:val="ListBullet"/>
      </w:pPr>
      <w:r>
        <w:rPr>
          <w:rFonts w:ascii="Arial" w:hAnsi="Arial" w:eastAsia="Arial"/>
          <w:b w:val="0"/>
          <w:i w:val="0"/>
          <w:color w:val="000000"/>
          <w:sz w:val="24"/>
        </w:rPr>
        <w:t>Start the extracted Sales service following `specs/checkout.md`, using the PostgreSQL instance of `amaranta-shop-infra-postgres`.</w:t>
      </w:r>
    </w:p>
    <w:p>
      <w:pPr>
        <w:pStyle w:val="ListBullet"/>
      </w:pPr>
      <w:r>
        <w:rPr>
          <w:rFonts w:ascii="Arial" w:hAnsi="Arial" w:eastAsia="Arial"/>
          <w:b w:val="0"/>
          <w:i w:val="0"/>
          <w:color w:val="000000"/>
          <w:sz w:val="24"/>
        </w:rPr>
        <w:t>Cut the first release (`release/1.0.0`) with the five elements required by norm 11.3 and publish the version tag after teacher approval.</w:t>
      </w:r>
    </w:p>
    <w:p>
      <w:pPr>
        <w:keepNext/>
        <w:spacing w:after="80" w:line="276" w:lineRule="auto" w:before="240"/>
      </w:pPr>
      <w:r>
        <w:rPr>
          <w:rFonts w:ascii="Arial" w:hAnsi="Arial" w:eastAsia="Arial"/>
          <w:b/>
          <w:i w:val="0"/>
          <w:color w:val="000000"/>
          <w:sz w:val="24"/>
        </w:rPr>
        <w:t>8. Evidence links</w:t>
      </w:r>
    </w:p>
    <w:p>
      <w:pPr>
        <w:pStyle w:val="ListBullet"/>
      </w:pPr>
      <w:r>
        <w:rPr>
          <w:rFonts w:ascii="Arial" w:hAnsi="Arial" w:eastAsia="Arial"/>
          <w:b w:val="0"/>
          <w:i w:val="0"/>
          <w:color w:val="000000"/>
          <w:sz w:val="24"/>
        </w:rPr>
        <w:t>ADR-010/011: https://github.com/code-corhuila/amaranta-shop-docs/commit/e909129</w:t>
      </w:r>
    </w:p>
    <w:p>
      <w:pPr>
        <w:pStyle w:val="ListBullet"/>
      </w:pPr>
      <w:r>
        <w:rPr>
          <w:rFonts w:ascii="Arial" w:hAnsi="Arial" w:eastAsia="Arial"/>
          <w:b w:val="0"/>
          <w:i w:val="0"/>
          <w:color w:val="000000"/>
          <w:sz w:val="24"/>
        </w:rPr>
        <w:t>ADR-012/013: https://github.com/code-corhuila/amaranta-shop-docs/commit/7279efe</w:t>
      </w:r>
    </w:p>
    <w:p>
      <w:pPr>
        <w:pStyle w:val="ListBullet"/>
      </w:pPr>
      <w:r>
        <w:rPr>
          <w:rFonts w:ascii="Arial" w:hAnsi="Arial" w:eastAsia="Arial"/>
          <w:b w:val="0"/>
          <w:i w:val="0"/>
          <w:color w:val="000000"/>
          <w:sz w:val="24"/>
        </w:rPr>
        <w:t>Checkout spec: https://github.com/code-corhuila/amaranta-shop-docs/commit/bccf2ed</w:t>
      </w:r>
    </w:p>
    <w:p>
      <w:pPr>
        <w:pStyle w:val="ListBullet"/>
      </w:pPr>
      <w:r>
        <w:rPr>
          <w:rFonts w:ascii="Arial" w:hAnsi="Arial" w:eastAsia="Arial"/>
          <w:b w:val="0"/>
          <w:i w:val="0"/>
          <w:color w:val="000000"/>
          <w:sz w:val="24"/>
        </w:rPr>
        <w:t>Sales API decisions update: https://github.com/code-corhuila/amaranta-shop-docs/commit/6f6990a</w:t>
      </w:r>
    </w:p>
    <w:p>
      <w:pPr>
        <w:pStyle w:val="ListBullet"/>
      </w:pPr>
      <w:r>
        <w:rPr>
          <w:rFonts w:ascii="Arial" w:hAnsi="Arial" w:eastAsia="Arial"/>
          <w:b w:val="0"/>
          <w:i w:val="0"/>
          <w:color w:val="000000"/>
          <w:sz w:val="24"/>
        </w:rPr>
        <w:t>Housekeeping: https://github.com/code-corhuila/amaranta-shop-docs/commit/ded0bbc</w:t>
      </w:r>
    </w:p>
    <w:p>
      <w:pPr>
        <w:pStyle w:val="ListBullet"/>
      </w:pPr>
      <w:r>
        <w:rPr>
          <w:rFonts w:ascii="Arial" w:hAnsi="Arial" w:eastAsia="Arial"/>
          <w:b w:val="0"/>
          <w:i w:val="0"/>
          <w:color w:val="000000"/>
          <w:sz w:val="24"/>
        </w:rPr>
        <w:t>Catalog reservation: https://github.com/BrandowC/amaranta/commit/32862eb and https://github.com/BrandowC/amaranta/commit/fd757e1</w:t>
      </w:r>
    </w:p>
    <w:p>
      <w:pPr>
        <w:pStyle w:val="ListBullet"/>
      </w:pPr>
      <w:r>
        <w:rPr>
          <w:rFonts w:ascii="Arial" w:hAnsi="Arial" w:eastAsia="Arial"/>
          <w:b w:val="0"/>
          <w:i w:val="0"/>
          <w:color w:val="000000"/>
          <w:sz w:val="24"/>
        </w:rPr>
        <w:t>Checkout compensation: https://github.com/BrandowC/amaranta/commit/bdd83bd</w:t>
      </w:r>
    </w:p>
    <w:p>
      <w:pPr>
        <w:pStyle w:val="ListBullet"/>
      </w:pPr>
      <w:r>
        <w:rPr>
          <w:rFonts w:ascii="Arial" w:hAnsi="Arial" w:eastAsia="Arial"/>
          <w:b w:val="0"/>
          <w:i w:val="0"/>
          <w:color w:val="000000"/>
          <w:sz w:val="24"/>
        </w:rPr>
        <w:t>Scheduling slots: https://github.com/BrandowC/amaranta/commit/94559a3</w:t>
      </w:r>
    </w:p>
    <w:p>
      <w:pPr>
        <w:pStyle w:val="ListBullet"/>
      </w:pPr>
      <w:r>
        <w:rPr>
          <w:rFonts w:ascii="Arial" w:hAnsi="Arial" w:eastAsia="Arial"/>
          <w:b w:val="0"/>
          <w:i w:val="0"/>
          <w:color w:val="000000"/>
          <w:sz w:val="24"/>
        </w:rPr>
        <w:t>Clinical public history: https://github.com/BrandowC/amaranta/commit/d26b05f</w:t>
      </w:r>
    </w:p>
    <w:p>
      <w:pPr>
        <w:pStyle w:val="ListBullet"/>
      </w:pPr>
      <w:r>
        <w:rPr>
          <w:rFonts w:ascii="Arial" w:hAnsi="Arial" w:eastAsia="Arial"/>
          <w:b w:val="0"/>
          <w:i w:val="0"/>
          <w:color w:val="000000"/>
          <w:sz w:val="24"/>
        </w:rPr>
        <w:t>Web screens: https://github.com/BrandowC/amaranta/commit/cffbbf4</w:t>
      </w:r>
    </w:p>
    <w:p>
      <w:pPr>
        <w:pStyle w:val="ListBullet"/>
      </w:pPr>
      <w:r>
        <w:rPr>
          <w:rFonts w:ascii="Arial" w:hAnsi="Arial" w:eastAsia="Arial"/>
          <w:b w:val="0"/>
          <w:i w:val="0"/>
          <w:color w:val="000000"/>
          <w:sz w:val="24"/>
        </w:rPr>
        <w:t>HU PRs merged into develop: https://github.com/BrandowC/amaranta/pull/14 , https://github.com/BrandowC/amaranta/pull/11 , https://github.com/BrandowC/amaranta/pull/10 , https://github.com/BrandowC/amaranta/pull/12 , https://github.com/BrandowC/amaranta/pull/15</w:t>
      </w:r>
    </w:p>
    <w:p>
      <w:pPr>
        <w:pStyle w:val="ListBullet"/>
      </w:pPr>
      <w:r>
        <w:rPr>
          <w:rFonts w:ascii="Arial" w:hAnsi="Arial" w:eastAsia="Arial"/>
          <w:b w:val="0"/>
          <w:i w:val="0"/>
          <w:color w:val="000000"/>
          <w:sz w:val="24"/>
        </w:rPr>
        <w:t>Gitignore PRs: https://github.com/BrandowC/amaranta/pull/13 (develop) , https://github.com/BrandowC/amaranta/pull/16 (qa)</w:t>
      </w:r>
    </w:p>
    <w:p>
      <w:pPr>
        <w:pStyle w:val="ListBullet"/>
      </w:pPr>
      <w:r>
        <w:rPr>
          <w:rFonts w:ascii="Arial" w:hAnsi="Arial" w:eastAsia="Arial"/>
          <w:b w:val="0"/>
          <w:i w:val="0"/>
          <w:color w:val="000000"/>
          <w:sz w:val="24"/>
        </w:rPr>
        <w:t>Docs PRs merged on Oct 12: https://github.com/code-corhuila/amaranta-shop-docs/pull/14 , https://github.com/code-corhuila/amaranta-shop-docs/pull/16 , https://github.com/code-corhuila/amaranta-shop-docs/pull/17</w:t>
      </w:r>
    </w:p>
    <w:p>
      <w:pPr>
        <w:pStyle w:val="ListBullet"/>
      </w:pPr>
      <w:r>
        <w:rPr>
          <w:rFonts w:ascii="Arial" w:hAnsi="Arial" w:eastAsia="Arial"/>
          <w:b w:val="0"/>
          <w:i w:val="0"/>
          <w:color w:val="000000"/>
          <w:sz w:val="24"/>
        </w:rPr>
        <w:t>Infra PostgreSQL PRs: https://github.com/code-corhuila/amaranta-shop-infra-postgres/pull/1 , /pull/2 , /pull/3</w:t>
      </w:r>
    </w:p>
    <w:p>
      <w:pPr>
        <w:pStyle w:val="ListBullet"/>
      </w:pPr>
      <w:r>
        <w:rPr>
          <w:rFonts w:ascii="Arial" w:hAnsi="Arial" w:eastAsia="Arial"/>
          <w:b w:val="0"/>
          <w:i w:val="0"/>
          <w:color w:val="000000"/>
          <w:sz w:val="24"/>
        </w:rPr>
        <w:t>Infra MongoDB PRs: https://github.com/code-corhuila/amaranta-shop-infra-mongo/pull/1 , /pull/2</w:t>
      </w:r>
    </w:p>
    <w:p>
      <w:pPr>
        <w:pStyle w:val="ListBullet"/>
      </w:pPr>
      <w:r>
        <w:rPr>
          <w:rFonts w:ascii="Arial" w:hAnsi="Arial" w:eastAsia="Arial"/>
          <w:b w:val="0"/>
          <w:i w:val="0"/>
          <w:color w:val="000000"/>
          <w:sz w:val="24"/>
        </w:rPr>
        <w:t>Security PRs: https://github.com/code-corhuila/amaranta-shop-security/pull/1 , /pull/2</w:t>
      </w:r>
    </w:p>
    <w:p>
      <w:pPr>
        <w:pStyle w:val="ListBullet"/>
      </w:pPr>
      <w:r>
        <w:rPr>
          <w:rFonts w:ascii="Arial" w:hAnsi="Arial" w:eastAsia="Arial"/>
          <w:b w:val="0"/>
          <w:i w:val="0"/>
          <w:color w:val="000000"/>
          <w:sz w:val="24"/>
        </w:rPr>
        <w:t>Full list of commits and PRs per week: ./commits-week-09.md (in this folder)</w:t>
      </w:r>
    </w:p>
    <w:p>
      <w:pPr>
        <w:pStyle w:val="ListBullet"/>
      </w:pPr>
      <w:r>
        <w:rPr>
          <w:rFonts w:ascii="Arial" w:hAnsi="Arial" w:eastAsia="Arial"/>
          <w:b w:val="0"/>
          <w:i w:val="0"/>
          <w:color w:val="000000"/>
          <w:sz w:val="24"/>
        </w:rPr>
        <w:t>Code repo: https://github.com/BrandowC/amaranta</w:t>
      </w:r>
    </w:p>
    <w:p>
      <w:pPr>
        <w:pStyle w:val="ListBullet"/>
      </w:pPr>
      <w:r>
        <w:rPr>
          <w:rFonts w:ascii="Arial" w:hAnsi="Arial" w:eastAsia="Arial"/>
          <w:b w:val="0"/>
          <w:i w:val="0"/>
          <w:color w:val="000000"/>
          <w:sz w:val="24"/>
        </w:rPr>
        <w:t>Docs repo: https://github.com/code-corhuila/amaranta-shop-docs</w:t>
      </w:r>
    </w:p>
    <w:p>
      <w:pPr>
        <w:pStyle w:val="ListBullet"/>
      </w:pPr>
      <w:r>
        <w:rPr>
          <w:rFonts w:ascii="Arial" w:hAnsi="Arial" w:eastAsia="Arial"/>
          <w:b w:val="0"/>
          <w:i w:val="0"/>
          <w:color w:val="000000"/>
          <w:sz w:val="24"/>
        </w:rPr>
        <w:t>Profile repo (CONFIG): https://github.com/BrandowC/BrandowC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eastAsia="Arial" w:cs="Arial"/>
      <w:b w:val="0"/>
      <w:i w:val="0"/>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