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6"/>
        <w:gridCol w:w="7086.999999999999"/>
        <w:tblGridChange w:id="0">
          <w:tblGrid>
            <w:gridCol w:w="2836"/>
            <w:gridCol w:w="7086.99999999999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Propuesta n°1 Proyecto Escuela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Nombre (*)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Sistema de control y acceso vehicular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Área (s) de desempeño(s)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Gestión de Proyectos Informáticos 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Análisis y Evaluación de soluciones informáticas.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Desarrollo de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Competencias (*)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organización de acuerdo con un diseño definido y escalable en el tiempo.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Problema o situación abordada (*)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En el contexto de un sistema de control de acceso vehicular para departamentos, condominios y recintos similares, existen varias problemáticas clave que abordar, tanto en términos de seguridad como de eficiencia operativa: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line="240" w:lineRule="auto"/>
              <w:ind w:left="36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Seguridad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Acceso no autorizado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: El sistema debe ser capaz de identificar y prevenir el acceso de vehículos no autorizados. Esto es crucial para evitar incidentes de seguridad, como robos o intrusiones.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Falsificación de identidad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: Existe el riesgo de que se intente ingresar al recinto con vehículos que no pertenecen a residentes ni a visitas autorizadas.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line="240" w:lineRule="auto"/>
              <w:ind w:left="36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Gestión del Tráfico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Flujo vehicular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: En recintos con alta densidad de residentes, como grandes condominios, es importante mantener un flujo vehicular eficiente para evitar congestionamientos en las horas pico.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Autorizaciones rápidas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: El proceso de autorización de vehículos comerciales o de visitas no debe causar demoras significativas, para evitar colas o interrupciones en la entrada.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Descripción del Proyecto APT (*)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Desarrollar un sistema que permita mejorar la gestión y seguridad del acceso vehicular en departamentos, condominios, y recintos similares. El sistema deberá registrar, autorizar y monitorear el ingreso y egreso de vehículos, asegurando un control eficiente y seguro.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Requerimientos de Alto Nivel: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Uso Interno (Administradores y Personal de Seguridad):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line="240" w:lineRule="auto"/>
              <w:ind w:left="36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Manejo de Registro de Residentes: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Registro y actualización de la información vehicular y personal de los residentes.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Administración de permisos de acceso para los vehículos registrados de cada residente.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line="240" w:lineRule="auto"/>
              <w:ind w:left="36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Manejo de Registro de Visitas: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color w:val="ff0000"/>
                <w:sz w:val="18"/>
                <w:szCs w:val="18"/>
                <w:rtl w:val="0"/>
              </w:rPr>
              <w:t xml:space="preserve">Registro anticipado de visitas por parte de los residentes o por personal administrativo.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Autorización o denegación de acceso a las visitas, basada en políticas definidas por el recinto.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Notificación automática a los residentes sobre la llegada de una visita.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line="240" w:lineRule="auto"/>
              <w:ind w:left="36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Autorización de Vehículos Comerciales: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Registro de solicitudes de acceso para vehículos comerciales (ej. entregas de encomiendas, servicios de comida,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servicios de transporte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 aprobación o rechazo de dichas solicitudes por parte del personal autorizado.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line="240" w:lineRule="auto"/>
              <w:ind w:left="36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Monitoreo y Reportes de Acceso: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Monitoreo en tiempo real de entradas y salidas de vehículos,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mediante bitácora y reportería.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Generación de reportes de acceso diarios, semanales o mensuales, que incluyan datos sobre todos los ingresos, con filtros por tipo de vehículo, residente, visita, etc.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firstLine="0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0" w:line="240" w:lineRule="auto"/>
              <w:ind w:left="36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Integración con API Externa para Validación Vehicular: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line="240" w:lineRule="auto"/>
              <w:ind w:left="108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Validación automática de los datos vehiculares (marca, modelo, propietario) mediante una API externa, asegurando que solo vehículos registrados puedan acceder.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80" w:firstLine="0"/>
              <w:jc w:val="both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Uso Público (Residentes):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Solicitud de Acceso para Visitas: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4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color w:val="ff0000"/>
                <w:sz w:val="18"/>
                <w:szCs w:val="18"/>
                <w:rtl w:val="0"/>
              </w:rPr>
              <w:t xml:space="preserve">Portal web o app móvil donde los residentes puedan registrar visitas anticipadamente, proporcionando la información del vehículo y la hora estimada de llegada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4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color w:val="ff0000"/>
                <w:sz w:val="18"/>
                <w:szCs w:val="18"/>
                <w:rtl w:val="0"/>
              </w:rPr>
              <w:t xml:space="preserve">Recepción de notificaciones y actualizaciones sobre el estado de la visita (aprobada, rechazada).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Solicitud de Acceso para Servicios Comerciales: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4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Validación previa por parte del residente receptor del servicio, si se requiere.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Recepción de Notificaciones y Alertas: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4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color w:val="ff0000"/>
                <w:sz w:val="18"/>
                <w:szCs w:val="18"/>
                <w:rtl w:val="0"/>
              </w:rPr>
              <w:t xml:space="preserve">Envío de notificaciones automáticas a los residentes cuando una visita registrada llega al recinto.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4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color w:val="ff0000"/>
                <w:sz w:val="18"/>
                <w:szCs w:val="18"/>
                <w:rtl w:val="0"/>
              </w:rPr>
              <w:t xml:space="preserve">Actualizaciones periódicas sobre políticas de acceso y seguridad del recinto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Consulta de Historial de Accesos: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4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Acceso a un historial personal de entradas y salidas, tanto de los vehículos del residente como de las visitas autorizadas, y servi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cios externos, 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disponible a través de la app o portal web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(Por definir)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4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Arquitectura del Sistema: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Lector de patente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: 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ython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z w:val="18"/>
                <w:szCs w:val="18"/>
                <w:rtl w:val="0"/>
              </w:rPr>
              <w:t xml:space="preserve">Base de Datos: SQL Server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Api Rest: Spring Boot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App Web o Móvil: Por definir 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Api Externa: ApiKey</w:t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Este sistema permitirá una gestión eficaz del acceso vehicular, mejorando la seguridad y el control en recintos residenciales, y garantizando una experiencia fluida tanto para los residentes como para los visitantes y proveedores.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Objetivos (*)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Implementar un sistema de registro y autenticación para residentes, visitas y vehículos comerciales.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Integrar una API externa para obtener y validar información vehicular.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Diseñar un sistema de autorizaciones para visitas y vehículos comerciales.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Desarrollar una interfaz web o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móvil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 para la gestión y monitoreo del acceso vehicular.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Asegurar la protección de datos mediante encriptación y buenas prácticas de seguridad.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Optimizar el flujo vehicular para evitar congestionamientos en las entradas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Metodología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Para el proceso de desarrollo del proyecto se utilizará la metodología 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libri" w:cs="Calibri" w:eastAsia="Calibri" w:hAnsi="Calibri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0"/>
                <w:sz w:val="18"/>
                <w:szCs w:val="18"/>
                <w:rtl w:val="0"/>
              </w:rPr>
              <w:t xml:space="preserve">Evidencias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Documentos de planificación y diseño (arquitectura, GUI y BD)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Documentos de control y pruebas.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Documentos de cierre.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 (Web y/o APP, BD).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3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3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080" w:hanging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2520" w:hanging="252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240" w:hanging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3960" w:hanging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4680" w:hanging="468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400" w:hanging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5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2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46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4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72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○"/>
      <w:lvlJc w:val="left"/>
      <w:pPr>
        <w:ind w:left="3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∙"/>
      <w:lvlJc w:val="left"/>
      <w:pPr>
        <w:ind w:left="1080" w:hanging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4680" w:hanging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>
        <w:spacing w:after="160" w:line="27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uFOi4Vor5dDhkvdo4V97mxq7Mg==">CgMxLjA4AXIhMW5jcFdZUnp6am9yaFFVM2NpT2tVQlhMaTMza2lVWVhH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