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en-US"/>
        </w:rPr>
        <w:t xml:space="preserve">S2 Movie: </w:t>
      </w:r>
      <w:r>
        <w:rPr>
          <w:rtl w:val="0"/>
        </w:rPr>
        <w:t xml:space="preserve">Pore </w:t>
      </w:r>
      <w:r>
        <w:rPr>
          <w:rtl w:val="0"/>
          <w:lang w:val="en-US"/>
        </w:rPr>
        <w:t>closure in the K289M receptor</w:t>
      </w:r>
      <w:r>
        <w:rPr>
          <w:rtl w:val="0"/>
          <w:lang w:val="en-US"/>
        </w:rPr>
        <w:t xml:space="preserve">. Top-down view of the channel displaying the </w:t>
      </w:r>
      <w:r>
        <w:rPr>
          <w:rtl w:val="0"/>
        </w:rPr>
        <w:t>‘</w:t>
      </w:r>
      <w:r>
        <w:rPr>
          <w:rtl w:val="0"/>
          <w:lang w:val="pt-PT"/>
        </w:rPr>
        <w:t>interfacial-band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atoms connected with orange bonds and </w:t>
      </w:r>
      <w:r>
        <w:rPr>
          <w:rtl w:val="0"/>
        </w:rPr>
        <w:t>‘</w:t>
      </w:r>
      <w:r>
        <w:rPr>
          <w:rtl w:val="0"/>
          <w:lang w:val="it-IT"/>
        </w:rPr>
        <w:t>pore-oscillator</w:t>
      </w:r>
      <w:r>
        <w:rPr>
          <w:rtl w:val="0"/>
        </w:rPr>
        <w:t xml:space="preserve">’ </w:t>
      </w:r>
      <w:r>
        <w:rPr>
          <w:rtl w:val="0"/>
          <w:lang w:val="en-US"/>
        </w:rPr>
        <w:t>atoms connected with white bonds, drawn using VMD and the 9</w:t>
      </w:r>
      <w:r>
        <w:rPr>
          <w:rtl w:val="0"/>
        </w:rPr>
        <w:t xml:space="preserve">’ </w:t>
      </w:r>
      <w:r>
        <w:rPr>
          <w:rtl w:val="0"/>
          <w:lang w:val="en-US"/>
        </w:rPr>
        <w:t>Leu-gate shown in gray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Quick-surf representation</w:t>
      </w:r>
      <w:r>
        <w:rPr>
          <w:rtl w:val="0"/>
          <w:lang w:val="en-US"/>
        </w:rPr>
        <w:t xml:space="preserve">. The </w:t>
      </w:r>
      <w:r>
        <w:rPr>
          <w:rtl w:val="0"/>
          <w:lang w:val="en-US"/>
        </w:rPr>
        <w:t>shrink</w:t>
      </w:r>
      <w:r>
        <w:rPr>
          <w:rtl w:val="0"/>
          <w:lang w:val="en-US"/>
        </w:rPr>
        <w:t xml:space="preserve">ing of </w:t>
      </w:r>
      <w:r>
        <w:rPr>
          <w:rtl w:val="0"/>
          <w:lang w:val="en-US"/>
        </w:rPr>
        <w:t>the K289M interfacial band</w:t>
      </w:r>
      <w:r>
        <w:rPr>
          <w:rtl w:val="0"/>
          <w:lang w:val="en-US"/>
        </w:rPr>
        <w:t xml:space="preserve"> as K285 assumes the position of </w:t>
      </w:r>
      <w:r>
        <w:rPr>
          <w:rtl w:val="0"/>
          <w:lang w:val="en-US"/>
        </w:rPr>
        <w:t xml:space="preserve">assumes position of K289 </w:t>
      </w:r>
      <w:r>
        <w:rPr>
          <w:rtl w:val="0"/>
          <w:lang w:val="en-US"/>
        </w:rPr>
        <w:t xml:space="preserve"> is observed as the movie progresses.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