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rFonts w:ascii="Times New Roman" w:cs="Times New Roman" w:eastAsia="Times New Roman" w:hAnsi="Times New Roman"/>
          <w:b/>
          <w:bCs/>
          <w:color w:val="006633"/>
          <w:sz w:val="32"/>
          <w:szCs w:val="32"/>
        </w:rPr>
        <w:t xml:space="preserve">UNIVERSIDAD DEL VALLE DE GUATEMALA</w:t>
      </w:r>
    </w:p>
    <w:p>
      <w:pPr>
        <w:spacing w:before="200"/>
        <w:jc w:val="center"/>
      </w:pPr>
      <w:r>
        <w:rPr>
          <w:rFonts w:ascii="Times New Roman" w:cs="Times New Roman" w:eastAsia="Times New Roman" w:hAnsi="Times New Roman"/>
          <w:sz w:val="26"/>
          <w:szCs w:val="26"/>
        </w:rPr>
        <w:t xml:space="preserve">Facultad de Ingeniería</w:t>
      </w:r>
    </w:p>
    <w:p>
      <w:pPr>
        <w:jc w:val="center"/>
      </w:pPr>
      <w:r>
        <w:rPr>
          <w:rFonts w:ascii="Times New Roman" w:cs="Times New Roman" w:eastAsia="Times New Roman" w:hAnsi="Times New Roman"/>
          <w:sz w:val="26"/>
          <w:szCs w:val="26"/>
        </w:rPr>
        <w:t xml:space="preserve">Departamento de Ciencias de la Computación</w:t>
      </w:r>
    </w:p>
    <w:p>
      <w:pPr>
        <w:spacing w:after="200" w:before="1600"/>
        <w:jc w:val="center"/>
      </w:pPr>
      <w:r>
        <w:rPr>
          <w:rFonts w:ascii="Times New Roman" w:cs="Times New Roman" w:eastAsia="Times New Roman" w:hAnsi="Times New Roman"/>
          <w:b/>
          <w:bCs/>
          <w:color w:val="006633"/>
          <w:sz w:val="30"/>
          <w:szCs w:val="30"/>
        </w:rPr>
        <w:t xml:space="preserve">Propuesta de Proyecto</w:t>
      </w:r>
    </w:p>
    <w:p>
      <w:pPr>
        <w:jc w:val="center"/>
      </w:pPr>
      <w:r>
        <w:rPr>
          <w:rFonts w:ascii="Times New Roman" w:cs="Times New Roman" w:eastAsia="Times New Roman" w:hAnsi="Times New Roman"/>
          <w:b/>
          <w:bCs/>
          <w:sz w:val="26"/>
          <w:szCs w:val="26"/>
        </w:rPr>
        <w:t xml:space="preserve">Screensaver Paralelo: Sistema Solar de Outer Wilds</w:t>
      </w:r>
    </w:p>
    <w:p>
      <w:pPr>
        <w:jc w:val="center"/>
      </w:pPr>
      <w:r>
        <w:rPr>
          <w:rFonts w:ascii="Times New Roman" w:cs="Times New Roman" w:eastAsia="Times New Roman" w:hAnsi="Times New Roman"/>
          <w:sz w:val="22"/>
          <w:szCs w:val="22"/>
        </w:rPr>
        <w:t xml:space="preserve">Computación Paralela</w:t>
      </w:r>
    </w:p>
    <w:p>
      <w:pPr>
        <w:spacing w:before="1600"/>
        <w:jc w:val="center"/>
      </w:pPr>
      <w:r>
        <w:rPr>
          <w:rFonts w:ascii="Times New Roman" w:cs="Times New Roman" w:eastAsia="Times New Roman" w:hAnsi="Times New Roman"/>
          <w:b/>
          <w:bCs/>
          <w:sz w:val="22"/>
          <w:szCs w:val="22"/>
        </w:rPr>
        <w:t xml:space="preserve">Integrantes</w:t>
      </w:r>
    </w:p>
    <w:p>
      <w:pPr>
        <w:jc w:val="center"/>
      </w:pPr>
      <w:r>
        <w:rPr>
          <w:rFonts w:ascii="Times New Roman" w:cs="Times New Roman" w:eastAsia="Times New Roman" w:hAnsi="Times New Roman"/>
          <w:sz w:val="22"/>
          <w:szCs w:val="22"/>
        </w:rPr>
        <w:t xml:space="preserve">Hugo Javier Cifuentes Carredano — Carné 23079</w:t>
      </w:r>
    </w:p>
    <w:p>
      <w:pPr>
        <w:jc w:val="center"/>
      </w:pPr>
      <w:r>
        <w:rPr>
          <w:rFonts w:ascii="Times New Roman" w:cs="Times New Roman" w:eastAsia="Times New Roman" w:hAnsi="Times New Roman"/>
          <w:sz w:val="22"/>
          <w:szCs w:val="22"/>
        </w:rPr>
        <w:t xml:space="preserve">Brandon Rivera — Carné 23088</w:t>
      </w:r>
    </w:p>
    <w:p>
      <w:pPr>
        <w:spacing w:before="1600"/>
        <w:jc w:val="center"/>
      </w:pPr>
      <w:r>
        <w:rPr>
          <w:rFonts w:ascii="Times New Roman" w:cs="Times New Roman" w:eastAsia="Times New Roman" w:hAnsi="Times New Roman"/>
          <w:sz w:val="22"/>
          <w:szCs w:val="22"/>
        </w:rPr>
        <w:t xml:space="preserve">Guatemala, 21 de agosto de 2026</w:t>
      </w:r>
    </w:p>
    <w:p>
      <w:r>
        <w:br w:type="page"/>
      </w:r>
    </w:p>
    <w:p>
      <w:pPr>
        <w:pStyle w:val="Heading1"/>
        <w:spacing w:after="150" w:before="300"/>
      </w:pPr>
      <w:r>
        <w:rPr>
          <w:rFonts w:ascii="Times New Roman" w:cs="Times New Roman" w:eastAsia="Times New Roman" w:hAnsi="Times New Roman"/>
          <w:b/>
          <w:bCs/>
          <w:color w:val="006633"/>
          <w:sz w:val="26"/>
          <w:szCs w:val="26"/>
        </w:rPr>
        <w:t xml:space="preserve">1. Descripción del screensaver</w:t>
      </w:r>
    </w:p>
    <w:p>
      <w:pPr>
        <w:spacing w:after="160" w:line="276"/>
      </w:pPr>
      <w:r>
        <w:rPr>
          <w:rFonts w:ascii="Times New Roman" w:cs="Times New Roman" w:eastAsia="Times New Roman" w:hAnsi="Times New Roman"/>
          <w:sz w:val="22"/>
          <w:szCs w:val="22"/>
        </w:rPr>
        <w:t xml:space="preserve">El screensaver representa el sistema solar de Outer Wilds como un bucle continuo de animación: un sol central alrededor del cual orbitan diez cuerpos celestes (planetas, lunas, un cometa y una estación espacial), cada uno ejecutando su propia animación característica del juego además de su movimiento orbital. La escena transcurre como un ciclo temporal: el sol crece y se aviva gradualmente hasta que, al final del ciclo, entra en supernova y la escena se reinicia desde el estado inicial, replicando el bucle de 22 minutos del juego.</w:t>
      </w:r>
    </w:p>
    <w:p>
      <w:pPr>
        <w:spacing w:after="160" w:line="276"/>
      </w:pPr>
      <w:r>
        <w:rPr>
          <w:rFonts w:ascii="Times New Roman" w:cs="Times New Roman" w:eastAsia="Times New Roman" w:hAnsi="Times New Roman"/>
          <w:sz w:val="22"/>
          <w:szCs w:val="22"/>
        </w:rPr>
        <w:t xml:space="preserve">El objetivo visual es que cada cuerpo se sienta "vivo": no solo se traslada en su órbita, sino que además tiene un comportamiento local propio (arena que se transfiere, grietas que se expanden, zarcillos que se agitan, islas que son expulsadas, etc.), lo cual da lugar de forma natural a unidades de trabajo independientes entre sí — la base de la propuesta de paralelización.</w:t>
      </w:r>
    </w:p>
    <w:p>
      <w:pPr>
        <w:pStyle w:val="Heading1"/>
        <w:spacing w:after="150" w:before="300"/>
      </w:pPr>
      <w:r>
        <w:rPr>
          <w:rFonts w:ascii="Times New Roman" w:cs="Times New Roman" w:eastAsia="Times New Roman" w:hAnsi="Times New Roman"/>
          <w:b/>
          <w:bCs/>
          <w:color w:val="006633"/>
          <w:sz w:val="26"/>
          <w:szCs w:val="26"/>
        </w:rPr>
        <w:t xml:space="preserve">2. Elementos a renderizar</w:t>
      </w:r>
    </w:p>
    <w:p>
      <w:pPr>
        <w:spacing w:after="160" w:line="276"/>
      </w:pPr>
      <w:r>
        <w:rPr>
          <w:rFonts w:ascii="Times New Roman" w:cs="Times New Roman" w:eastAsia="Times New Roman" w:hAnsi="Times New Roman"/>
          <w:sz w:val="22"/>
          <w:szCs w:val="22"/>
        </w:rPr>
        <w:t xml:space="preserve">Cuerpos celestes principales (uno por hilo, ver sección 4):</w:t>
      </w:r>
    </w:p>
    <w:p>
      <w:pPr>
        <w:pStyle w:val="ListParagraph"/>
        <w:numPr>
          <w:ilvl w:val="0"/>
          <w:numId w:val="2"/>
        </w:numPr>
        <w:spacing w:after="80"/>
      </w:pPr>
      <w:r>
        <w:rPr>
          <w:rFonts w:ascii="Times New Roman" w:cs="Times New Roman" w:eastAsia="Times New Roman" w:hAnsi="Times New Roman"/>
          <w:b/>
          <w:bCs/>
          <w:sz w:val="22"/>
          <w:szCs w:val="22"/>
        </w:rPr>
        <w:t xml:space="preserve">Sol — </w:t>
      </w:r>
      <w:r>
        <w:rPr>
          <w:rFonts w:ascii="Times New Roman" w:cs="Times New Roman" w:eastAsia="Times New Roman" w:hAnsi="Times New Roman"/>
          <w:sz w:val="22"/>
          <w:szCs w:val="22"/>
        </w:rPr>
        <w:t xml:space="preserve"> Cuerpo central fijo; su tamaño y brillo aumentan con el tiempo hasta la supernova final.</w:t>
      </w:r>
    </w:p>
    <w:p>
      <w:pPr>
        <w:pStyle w:val="ListParagraph"/>
        <w:numPr>
          <w:ilvl w:val="0"/>
          <w:numId w:val="2"/>
        </w:numPr>
        <w:spacing w:after="80"/>
      </w:pPr>
      <w:r>
        <w:rPr>
          <w:rFonts w:ascii="Times New Roman" w:cs="Times New Roman" w:eastAsia="Times New Roman" w:hAnsi="Times New Roman"/>
          <w:b/>
          <w:bCs/>
          <w:sz w:val="22"/>
          <w:szCs w:val="22"/>
        </w:rPr>
        <w:t xml:space="preserve">Hourglass Twins (Ash Twin y Ember Twin) — </w:t>
      </w:r>
      <w:r>
        <w:rPr>
          <w:rFonts w:ascii="Times New Roman" w:cs="Times New Roman" w:eastAsia="Times New Roman" w:hAnsi="Times New Roman"/>
          <w:sz w:val="22"/>
          <w:szCs w:val="22"/>
        </w:rPr>
        <w:t xml:space="preserve"> orbitan una entre sí (baricentro común) mientras intercambian arena.</w:t>
      </w:r>
    </w:p>
    <w:p>
      <w:pPr>
        <w:pStyle w:val="ListParagraph"/>
        <w:numPr>
          <w:ilvl w:val="0"/>
          <w:numId w:val="2"/>
        </w:numPr>
        <w:spacing w:after="80"/>
      </w:pPr>
      <w:r>
        <w:rPr>
          <w:rFonts w:ascii="Times New Roman" w:cs="Times New Roman" w:eastAsia="Times New Roman" w:hAnsi="Times New Roman"/>
          <w:b/>
          <w:bCs/>
          <w:sz w:val="22"/>
          <w:szCs w:val="22"/>
        </w:rPr>
        <w:t xml:space="preserve">Timber Hearth — </w:t>
      </w:r>
      <w:r>
        <w:rPr>
          <w:rFonts w:ascii="Times New Roman" w:cs="Times New Roman" w:eastAsia="Times New Roman" w:hAnsi="Times New Roman"/>
          <w:sz w:val="22"/>
          <w:szCs w:val="22"/>
        </w:rPr>
        <w:t xml:space="preserve"> planeta hogar, con rotación propia y géiseres periódicos.</w:t>
      </w:r>
    </w:p>
    <w:p>
      <w:pPr>
        <w:pStyle w:val="ListParagraph"/>
        <w:numPr>
          <w:ilvl w:val="0"/>
          <w:numId w:val="2"/>
        </w:numPr>
        <w:spacing w:after="80"/>
      </w:pPr>
      <w:r>
        <w:rPr>
          <w:rFonts w:ascii="Times New Roman" w:cs="Times New Roman" w:eastAsia="Times New Roman" w:hAnsi="Times New Roman"/>
          <w:b/>
          <w:bCs/>
          <w:sz w:val="22"/>
          <w:szCs w:val="22"/>
        </w:rPr>
        <w:t xml:space="preserve">The Attlerock — </w:t>
      </w:r>
      <w:r>
        <w:rPr>
          <w:rFonts w:ascii="Times New Roman" w:cs="Times New Roman" w:eastAsia="Times New Roman" w:hAnsi="Times New Roman"/>
          <w:sz w:val="22"/>
          <w:szCs w:val="22"/>
        </w:rPr>
        <w:t xml:space="preserve"> luna que orbita a Timber Hearth.</w:t>
      </w:r>
    </w:p>
    <w:p>
      <w:pPr>
        <w:pStyle w:val="ListParagraph"/>
        <w:numPr>
          <w:ilvl w:val="0"/>
          <w:numId w:val="2"/>
        </w:numPr>
        <w:spacing w:after="80"/>
      </w:pPr>
      <w:r>
        <w:rPr>
          <w:rFonts w:ascii="Times New Roman" w:cs="Times New Roman" w:eastAsia="Times New Roman" w:hAnsi="Times New Roman"/>
          <w:b/>
          <w:bCs/>
          <w:sz w:val="22"/>
          <w:szCs w:val="22"/>
        </w:rPr>
        <w:t xml:space="preserve">Brittle Hollow — </w:t>
      </w:r>
      <w:r>
        <w:rPr>
          <w:rFonts w:ascii="Times New Roman" w:cs="Times New Roman" w:eastAsia="Times New Roman" w:hAnsi="Times New Roman"/>
          <w:sz w:val="22"/>
          <w:szCs w:val="22"/>
        </w:rPr>
        <w:t xml:space="preserve"> agujero negro en el núcleo, visible a través de grietas de la corteza que crecen y se desprenden.</w:t>
      </w:r>
    </w:p>
    <w:p>
      <w:pPr>
        <w:pStyle w:val="ListParagraph"/>
        <w:numPr>
          <w:ilvl w:val="0"/>
          <w:numId w:val="2"/>
        </w:numPr>
        <w:spacing w:after="80"/>
      </w:pPr>
      <w:r>
        <w:rPr>
          <w:rFonts w:ascii="Times New Roman" w:cs="Times New Roman" w:eastAsia="Times New Roman" w:hAnsi="Times New Roman"/>
          <w:b/>
          <w:bCs/>
          <w:sz w:val="22"/>
          <w:szCs w:val="22"/>
        </w:rPr>
        <w:t xml:space="preserve">Giant's Deep — </w:t>
      </w:r>
      <w:r>
        <w:rPr>
          <w:rFonts w:ascii="Times New Roman" w:cs="Times New Roman" w:eastAsia="Times New Roman" w:hAnsi="Times New Roman"/>
          <w:sz w:val="22"/>
          <w:szCs w:val="22"/>
        </w:rPr>
        <w:t xml:space="preserve"> gigante gaseoso con ciclones que expulsan islas periódicamente.</w:t>
      </w:r>
    </w:p>
    <w:p>
      <w:pPr>
        <w:pStyle w:val="ListParagraph"/>
        <w:numPr>
          <w:ilvl w:val="0"/>
          <w:numId w:val="2"/>
        </w:numPr>
        <w:spacing w:after="80"/>
      </w:pPr>
      <w:r>
        <w:rPr>
          <w:rFonts w:ascii="Times New Roman" w:cs="Times New Roman" w:eastAsia="Times New Roman" w:hAnsi="Times New Roman"/>
          <w:b/>
          <w:bCs/>
          <w:sz w:val="22"/>
          <w:szCs w:val="22"/>
        </w:rPr>
        <w:t xml:space="preserve">Dark Bramble — </w:t>
      </w:r>
      <w:r>
        <w:rPr>
          <w:rFonts w:ascii="Times New Roman" w:cs="Times New Roman" w:eastAsia="Times New Roman" w:hAnsi="Times New Roman"/>
          <w:sz w:val="22"/>
          <w:szCs w:val="22"/>
        </w:rPr>
        <w:t xml:space="preserve"> campo de zarcillos en movimiento envuelto en niebla.</w:t>
      </w:r>
    </w:p>
    <w:p>
      <w:pPr>
        <w:pStyle w:val="ListParagraph"/>
        <w:numPr>
          <w:ilvl w:val="0"/>
          <w:numId w:val="2"/>
        </w:numPr>
        <w:spacing w:after="80"/>
      </w:pPr>
      <w:r>
        <w:rPr>
          <w:rFonts w:ascii="Times New Roman" w:cs="Times New Roman" w:eastAsia="Times New Roman" w:hAnsi="Times New Roman"/>
          <w:b/>
          <w:bCs/>
          <w:sz w:val="22"/>
          <w:szCs w:val="22"/>
        </w:rPr>
        <w:t xml:space="preserve">Hollow's Lantern — </w:t>
      </w:r>
      <w:r>
        <w:rPr>
          <w:rFonts w:ascii="Times New Roman" w:cs="Times New Roman" w:eastAsia="Times New Roman" w:hAnsi="Times New Roman"/>
          <w:sz w:val="22"/>
          <w:szCs w:val="22"/>
        </w:rPr>
        <w:t xml:space="preserve"> luna volcánica con grietas de lava pulsantes.</w:t>
      </w:r>
    </w:p>
    <w:p>
      <w:pPr>
        <w:pStyle w:val="ListParagraph"/>
        <w:numPr>
          <w:ilvl w:val="0"/>
          <w:numId w:val="2"/>
        </w:numPr>
        <w:spacing w:after="80"/>
      </w:pPr>
      <w:r>
        <w:rPr>
          <w:rFonts w:ascii="Times New Roman" w:cs="Times New Roman" w:eastAsia="Times New Roman" w:hAnsi="Times New Roman"/>
          <w:b/>
          <w:bCs/>
          <w:sz w:val="22"/>
          <w:szCs w:val="22"/>
        </w:rPr>
        <w:t xml:space="preserve">The Quantum Moon — </w:t>
      </w:r>
      <w:r>
        <w:rPr>
          <w:rFonts w:ascii="Times New Roman" w:cs="Times New Roman" w:eastAsia="Times New Roman" w:hAnsi="Times New Roman"/>
          <w:sz w:val="22"/>
          <w:szCs w:val="22"/>
        </w:rPr>
        <w:t xml:space="preserve"> se reposiciona entre las órbitas de los demás cuerpos.</w:t>
      </w:r>
    </w:p>
    <w:p>
      <w:pPr>
        <w:pStyle w:val="ListParagraph"/>
        <w:numPr>
          <w:ilvl w:val="0"/>
          <w:numId w:val="2"/>
        </w:numPr>
        <w:spacing w:after="80"/>
      </w:pPr>
      <w:r>
        <w:rPr>
          <w:rFonts w:ascii="Times New Roman" w:cs="Times New Roman" w:eastAsia="Times New Roman" w:hAnsi="Times New Roman"/>
          <w:b/>
          <w:bCs/>
          <w:sz w:val="22"/>
          <w:szCs w:val="22"/>
        </w:rPr>
        <w:t xml:space="preserve">The Interloper — </w:t>
      </w:r>
      <w:r>
        <w:rPr>
          <w:rFonts w:ascii="Times New Roman" w:cs="Times New Roman" w:eastAsia="Times New Roman" w:hAnsi="Times New Roman"/>
          <w:sz w:val="22"/>
          <w:szCs w:val="22"/>
        </w:rPr>
        <w:t xml:space="preserve"> cometa de órbita muy excéntrica que desarrolla una cola de hielo al acercarse al sol.</w:t>
      </w:r>
    </w:p>
    <w:p>
      <w:pPr>
        <w:pStyle w:val="ListParagraph"/>
        <w:numPr>
          <w:ilvl w:val="0"/>
          <w:numId w:val="2"/>
        </w:numPr>
        <w:spacing w:after="80"/>
      </w:pPr>
      <w:r>
        <w:rPr>
          <w:rFonts w:ascii="Times New Roman" w:cs="Times New Roman" w:eastAsia="Times New Roman" w:hAnsi="Times New Roman"/>
          <w:b/>
          <w:bCs/>
          <w:sz w:val="22"/>
          <w:szCs w:val="22"/>
        </w:rPr>
        <w:t xml:space="preserve">Sun Station — </w:t>
      </w:r>
      <w:r>
        <w:rPr>
          <w:rFonts w:ascii="Times New Roman" w:cs="Times New Roman" w:eastAsia="Times New Roman" w:hAnsi="Times New Roman"/>
          <w:sz w:val="22"/>
          <w:szCs w:val="22"/>
        </w:rPr>
        <w:t xml:space="preserve"> objeto pequeño en órbita cercana al sol, prácticamente estático.</w:t>
      </w:r>
    </w:p>
    <w:p>
      <w:pPr>
        <w:spacing w:after="160" w:line="276"/>
      </w:pPr>
      <w:r>
        <w:rPr>
          <w:rFonts w:ascii="Times New Roman" w:cs="Times New Roman" w:eastAsia="Times New Roman" w:hAnsi="Times New Roman"/>
          <w:sz w:val="22"/>
          <w:szCs w:val="22"/>
        </w:rPr>
        <w:t xml:space="preserve">Además del cuerpo en sí, cada uno puede tener un sistema de partículas local (granos de arena, fragmentos de corteza, zarcillos, estrellas de fondo, islas, chispas del cometa).</w:t>
      </w:r>
    </w:p>
    <w:p>
      <w:pPr>
        <w:spacing w:after="160" w:line="276"/>
      </w:pPr>
      <w:r>
        <w:rPr>
          <w:rFonts w:ascii="Times New Roman" w:cs="Times New Roman" w:eastAsia="Times New Roman" w:hAnsi="Times New Roman"/>
          <w:sz w:val="22"/>
          <w:szCs w:val="22"/>
        </w:rPr>
        <w:t xml:space="preserve">El parámetro N se define en dos niveles:</w:t>
      </w:r>
    </w:p>
    <w:p>
      <w:pPr>
        <w:pStyle w:val="ListParagraph"/>
        <w:numPr>
          <w:ilvl w:val="0"/>
          <w:numId w:val="2"/>
        </w:numPr>
        <w:spacing w:after="80"/>
      </w:pPr>
      <w:r>
        <w:rPr>
          <w:rFonts w:ascii="Times New Roman" w:cs="Times New Roman" w:eastAsia="Times New Roman" w:hAnsi="Times New Roman"/>
          <w:b/>
          <w:bCs/>
          <w:sz w:val="22"/>
          <w:szCs w:val="22"/>
        </w:rPr>
        <w:t xml:space="preserve">N_cuerpos — </w:t>
      </w:r>
      <w:r>
        <w:rPr>
          <w:rFonts w:ascii="Times New Roman" w:cs="Times New Roman" w:eastAsia="Times New Roman" w:hAnsi="Times New Roman"/>
          <w:sz w:val="22"/>
          <w:szCs w:val="22"/>
        </w:rPr>
        <w:t xml:space="preserve"> número de cuerpos celestes simulados. Es fijo en la escena base (11), pero el diseño permite escalarlo agregando asteroides o satélites adicionales para pruebas de carga.</w:t>
      </w:r>
    </w:p>
    <w:p>
      <w:pPr>
        <w:pStyle w:val="ListParagraph"/>
        <w:numPr>
          <w:ilvl w:val="0"/>
          <w:numId w:val="2"/>
        </w:numPr>
        <w:spacing w:after="80"/>
      </w:pPr>
      <w:r>
        <w:rPr>
          <w:rFonts w:ascii="Times New Roman" w:cs="Times New Roman" w:eastAsia="Times New Roman" w:hAnsi="Times New Roman"/>
          <w:b/>
          <w:bCs/>
          <w:sz w:val="22"/>
          <w:szCs w:val="22"/>
        </w:rPr>
        <w:t xml:space="preserve">N_partículas — </w:t>
      </w:r>
      <w:r>
        <w:rPr>
          <w:rFonts w:ascii="Times New Roman" w:cs="Times New Roman" w:eastAsia="Times New Roman" w:hAnsi="Times New Roman"/>
          <w:sz w:val="22"/>
          <w:szCs w:val="22"/>
        </w:rPr>
        <w:t xml:space="preserve"> número de partículas/subelementos que conforman la animación local de cada cuerpo (p. ej. N granos de arena transferidos entre los Twins, N segmentos del zarcillo en Dark Bramble, N fragmentos de corteza cayendo en Brittle Hollow, N estrellas de fondo). Este es el parámetro que realmente se escala para medir el beneficio de la paralelización, ya que el número de cuerpos por sí solo es demasiado pequeño para saturar varios hilos.</w:t>
      </w:r>
    </w:p>
    <w:p>
      <w:pPr>
        <w:pStyle w:val="Heading1"/>
        <w:spacing w:after="150" w:before="300"/>
      </w:pPr>
      <w:r>
        <w:rPr>
          <w:rFonts w:ascii="Times New Roman" w:cs="Times New Roman" w:eastAsia="Times New Roman" w:hAnsi="Times New Roman"/>
          <w:b/>
          <w:bCs/>
          <w:color w:val="006633"/>
          <w:sz w:val="26"/>
          <w:szCs w:val="26"/>
        </w:rPr>
        <w:t xml:space="preserve">3. Movimiento e interacción</w:t>
      </w:r>
    </w:p>
    <w:p>
      <w:pPr>
        <w:spacing w:after="160" w:line="276"/>
      </w:pPr>
      <w:r>
        <w:rPr>
          <w:rFonts w:ascii="Times New Roman" w:cs="Times New Roman" w:eastAsia="Times New Roman" w:hAnsi="Times New Roman"/>
          <w:sz w:val="22"/>
          <w:szCs w:val="22"/>
        </w:rPr>
        <w:t xml:space="preserve">Cada cuerpo sigue una órbita circular o elíptica alrededor del sol (o de otro cuerpo, en el caso de lunas), calculada por su propio ángulo y velocidad angular, independiente de los demás. Sobre ese movimiento base se superpone una animación local:</w:t>
      </w:r>
    </w:p>
    <w:p>
      <w:pPr>
        <w:pStyle w:val="ListParagraph"/>
        <w:numPr>
          <w:ilvl w:val="0"/>
          <w:numId w:val="2"/>
        </w:numPr>
        <w:spacing w:after="80"/>
      </w:pPr>
      <w:r>
        <w:rPr>
          <w:rFonts w:ascii="Times New Roman" w:cs="Times New Roman" w:eastAsia="Times New Roman" w:hAnsi="Times New Roman"/>
          <w:b/>
          <w:bCs/>
          <w:sz w:val="22"/>
          <w:szCs w:val="22"/>
        </w:rPr>
        <w:t xml:space="preserve">Twins — </w:t>
      </w:r>
      <w:r>
        <w:rPr>
          <w:rFonts w:ascii="Times New Roman" w:cs="Times New Roman" w:eastAsia="Times New Roman" w:hAnsi="Times New Roman"/>
          <w:sz w:val="22"/>
          <w:szCs w:val="22"/>
        </w:rPr>
        <w:t xml:space="preserve"> órbita compartida alrededor de un punto medio; en cada iteración se transfiere una fracción de N partículas de arena de Ember Twin hacia Ash Twin, y el radio/apariencia de cada planeta se ajusta según la arena restante.</w:t>
      </w:r>
    </w:p>
    <w:p>
      <w:pPr>
        <w:pStyle w:val="ListParagraph"/>
        <w:numPr>
          <w:ilvl w:val="0"/>
          <w:numId w:val="2"/>
        </w:numPr>
        <w:spacing w:after="80"/>
      </w:pPr>
      <w:r>
        <w:rPr>
          <w:rFonts w:ascii="Times New Roman" w:cs="Times New Roman" w:eastAsia="Times New Roman" w:hAnsi="Times New Roman"/>
          <w:b/>
          <w:bCs/>
          <w:sz w:val="22"/>
          <w:szCs w:val="22"/>
        </w:rPr>
        <w:t xml:space="preserve">Brittle Hollow — </w:t>
      </w:r>
      <w:r>
        <w:rPr>
          <w:rFonts w:ascii="Times New Roman" w:cs="Times New Roman" w:eastAsia="Times New Roman" w:hAnsi="Times New Roman"/>
          <w:sz w:val="22"/>
          <w:szCs w:val="22"/>
        </w:rPr>
        <w:t xml:space="preserve"> grietas que se propagan desde el centro hacia afuera; al alcanzar cierto umbral, un fragmento de corteza se desprende y cae visualmente hacia el agujero negro del núcleo.</w:t>
      </w:r>
    </w:p>
    <w:p>
      <w:pPr>
        <w:pStyle w:val="ListParagraph"/>
        <w:numPr>
          <w:ilvl w:val="0"/>
          <w:numId w:val="2"/>
        </w:numPr>
        <w:spacing w:after="80"/>
      </w:pPr>
      <w:r>
        <w:rPr>
          <w:rFonts w:ascii="Times New Roman" w:cs="Times New Roman" w:eastAsia="Times New Roman" w:hAnsi="Times New Roman"/>
          <w:b/>
          <w:bCs/>
          <w:sz w:val="22"/>
          <w:szCs w:val="22"/>
        </w:rPr>
        <w:t xml:space="preserve">Giant's Deep — </w:t>
      </w:r>
      <w:r>
        <w:rPr>
          <w:rFonts w:ascii="Times New Roman" w:cs="Times New Roman" w:eastAsia="Times New Roman" w:hAnsi="Times New Roman"/>
          <w:sz w:val="22"/>
          <w:szCs w:val="22"/>
        </w:rPr>
        <w:t xml:space="preserve"> manchas ciclónicas que rotan sobre la superficie; periódicamente expulsan una "isla" que sigue una trayectoria parabólica antes de reingresar a la atmósfera.</w:t>
      </w:r>
    </w:p>
    <w:p>
      <w:pPr>
        <w:pStyle w:val="ListParagraph"/>
        <w:numPr>
          <w:ilvl w:val="0"/>
          <w:numId w:val="2"/>
        </w:numPr>
        <w:spacing w:after="80"/>
      </w:pPr>
      <w:r>
        <w:rPr>
          <w:rFonts w:ascii="Times New Roman" w:cs="Times New Roman" w:eastAsia="Times New Roman" w:hAnsi="Times New Roman"/>
          <w:b/>
          <w:bCs/>
          <w:sz w:val="22"/>
          <w:szCs w:val="22"/>
        </w:rPr>
        <w:t xml:space="preserve">Dark Bramble — </w:t>
      </w:r>
      <w:r>
        <w:rPr>
          <w:rFonts w:ascii="Times New Roman" w:cs="Times New Roman" w:eastAsia="Times New Roman" w:hAnsi="Times New Roman"/>
          <w:sz w:val="22"/>
          <w:szCs w:val="22"/>
        </w:rPr>
        <w:t xml:space="preserve"> cada zarcillo se anima con un movimiento ondulante independiente (ruido/seno con fase distinta por segmento).</w:t>
      </w:r>
    </w:p>
    <w:p>
      <w:pPr>
        <w:pStyle w:val="ListParagraph"/>
        <w:numPr>
          <w:ilvl w:val="0"/>
          <w:numId w:val="2"/>
        </w:numPr>
        <w:spacing w:after="80"/>
      </w:pPr>
      <w:r>
        <w:rPr>
          <w:rFonts w:ascii="Times New Roman" w:cs="Times New Roman" w:eastAsia="Times New Roman" w:hAnsi="Times New Roman"/>
          <w:b/>
          <w:bCs/>
          <w:sz w:val="22"/>
          <w:szCs w:val="22"/>
        </w:rPr>
        <w:t xml:space="preserve">The Quantum Moon — </w:t>
      </w:r>
      <w:r>
        <w:rPr>
          <w:rFonts w:ascii="Times New Roman" w:cs="Times New Roman" w:eastAsia="Times New Roman" w:hAnsi="Times New Roman"/>
          <w:sz w:val="22"/>
          <w:szCs w:val="22"/>
        </w:rPr>
        <w:t xml:space="preserve"> cambia de posición de forma discreta cada cierto intervalo, saltando a la órbita de alguno de los otros cuerpos (simulando que solo se mueve cuando nadie la observa).</w:t>
      </w:r>
    </w:p>
    <w:p>
      <w:pPr>
        <w:pStyle w:val="ListParagraph"/>
        <w:numPr>
          <w:ilvl w:val="0"/>
          <w:numId w:val="2"/>
        </w:numPr>
        <w:spacing w:after="80"/>
      </w:pPr>
      <w:r>
        <w:rPr>
          <w:rFonts w:ascii="Times New Roman" w:cs="Times New Roman" w:eastAsia="Times New Roman" w:hAnsi="Times New Roman"/>
          <w:b/>
          <w:bCs/>
          <w:sz w:val="22"/>
          <w:szCs w:val="22"/>
        </w:rPr>
        <w:t xml:space="preserve">The Interloper — </w:t>
      </w:r>
      <w:r>
        <w:rPr>
          <w:rFonts w:ascii="Times New Roman" w:cs="Times New Roman" w:eastAsia="Times New Roman" w:hAnsi="Times New Roman"/>
          <w:sz w:val="22"/>
          <w:szCs w:val="22"/>
        </w:rPr>
        <w:t xml:space="preserve"> avanza sobre una trayectoria elíptica muy alargada; su cola crece en longitud/opacidad en función de la distancia al sol. Al llegar al perihelio se desvanece con un efecto de partículas y reaparece en el punto más lejano de su órbita para reiniciar el recorrido.</w:t>
      </w:r>
    </w:p>
    <w:p>
      <w:pPr>
        <w:spacing w:after="160" w:line="276"/>
      </w:pPr>
      <w:r>
        <w:rPr>
          <w:rFonts w:ascii="Times New Roman" w:cs="Times New Roman" w:eastAsia="Times New Roman" w:hAnsi="Times New Roman"/>
          <w:sz w:val="22"/>
          <w:szCs w:val="22"/>
        </w:rPr>
        <w:t xml:space="preserve">La única interacción fuerte entre cuerpos es la transferencia de arena entre los Hourglass Twins, ya que ambos leen y modifican un recurso compartido (el conteo de partículas de arena). El resto de los cuerpos se mueven y animan de forma independiente entre sí; sus únicas "interacciones" son visuales (por ejemplo, Hollow's Lantern y Dark Bramble comparten la órbita alrededor de Giant's Deep, pero no dependen del estado interno del otro).</w:t>
      </w:r>
    </w:p>
    <w:p>
      <w:pPr>
        <w:pStyle w:val="Heading1"/>
        <w:spacing w:after="150" w:before="300"/>
      </w:pPr>
      <w:r>
        <w:rPr>
          <w:rFonts w:ascii="Times New Roman" w:cs="Times New Roman" w:eastAsia="Times New Roman" w:hAnsi="Times New Roman"/>
          <w:b/>
          <w:bCs/>
          <w:color w:val="006633"/>
          <w:sz w:val="26"/>
          <w:szCs w:val="26"/>
        </w:rPr>
        <w:t xml:space="preserve">4. Propuesta de paralelización (OpenMP)</w:t>
      </w:r>
    </w:p>
    <w:p>
      <w:pPr>
        <w:spacing w:after="160" w:line="276"/>
      </w:pPr>
      <w:r>
        <w:rPr>
          <w:rFonts w:ascii="Times New Roman" w:cs="Times New Roman" w:eastAsia="Times New Roman" w:hAnsi="Times New Roman"/>
          <w:sz w:val="22"/>
          <w:szCs w:val="22"/>
        </w:rPr>
        <w:t xml:space="preserve">La idea central, como se planteó en la asignación del proyecto, es tratar cada planeta como una unidad de trabajo independiente:</w:t>
      </w:r>
    </w:p>
    <w:p>
      <w:pPr>
        <w:pStyle w:val="ListParagraph"/>
        <w:numPr>
          <w:ilvl w:val="0"/>
          <w:numId w:val="2"/>
        </w:numPr>
        <w:spacing w:after="80"/>
      </w:pPr>
      <w:r>
        <w:rPr>
          <w:rFonts w:ascii="Times New Roman" w:cs="Times New Roman" w:eastAsia="Times New Roman" w:hAnsi="Times New Roman"/>
          <w:b/>
          <w:bCs/>
          <w:sz w:val="22"/>
          <w:szCs w:val="22"/>
        </w:rPr>
        <w:t xml:space="preserve">Nivel 1 — paralelización por cuerpo: </w:t>
      </w:r>
      <w:r>
        <w:rPr>
          <w:rFonts w:ascii="Times New Roman" w:cs="Times New Roman" w:eastAsia="Times New Roman" w:hAnsi="Times New Roman"/>
          <w:sz w:val="22"/>
          <w:szCs w:val="22"/>
        </w:rPr>
        <w:t xml:space="preserve"> un bucle #pragma omp parallel for recorre el arreglo de N_cuerpos, y cada hilo actualiza la posición orbital (ángulo, x, y) y el estado de animación local de un cuerpo celeste, sin depender de los demás.</w:t>
      </w:r>
    </w:p>
    <w:p>
      <w:pPr>
        <w:pStyle w:val="ListParagraph"/>
        <w:numPr>
          <w:ilvl w:val="0"/>
          <w:numId w:val="2"/>
        </w:numPr>
        <w:spacing w:after="80"/>
      </w:pPr>
      <w:r>
        <w:rPr>
          <w:rFonts w:ascii="Times New Roman" w:cs="Times New Roman" w:eastAsia="Times New Roman" w:hAnsi="Times New Roman"/>
          <w:b/>
          <w:bCs/>
          <w:sz w:val="22"/>
          <w:szCs w:val="22"/>
        </w:rPr>
        <w:t xml:space="preserve">Nivel 2 — paralelización por partícula: </w:t>
      </w:r>
      <w:r>
        <w:rPr>
          <w:rFonts w:ascii="Times New Roman" w:cs="Times New Roman" w:eastAsia="Times New Roman" w:hAnsi="Times New Roman"/>
          <w:sz w:val="22"/>
          <w:szCs w:val="22"/>
        </w:rPr>
        <w:t xml:space="preserve"> dentro de la actualización de un cuerpo con sistema de partículas propio (arena, zarcillos, grietas, estrellas), un segundo #pragma omp parallel for puede repartir las N_partículas de ese cuerpo entre los hilos disponibles. Este nivel es el que permite escalar la carga de trabajo real para medir el speedup, ya que N_cuerpos es fijo y pequeño.</w:t>
      </w:r>
    </w:p>
    <w:p>
      <w:pPr>
        <w:pStyle w:val="ListParagraph"/>
        <w:numPr>
          <w:ilvl w:val="0"/>
          <w:numId w:val="2"/>
        </w:numPr>
        <w:spacing w:after="80"/>
      </w:pPr>
      <w:r>
        <w:rPr>
          <w:rFonts w:ascii="Times New Roman" w:cs="Times New Roman" w:eastAsia="Times New Roman" w:hAnsi="Times New Roman"/>
          <w:b/>
          <w:bCs/>
          <w:sz w:val="22"/>
          <w:szCs w:val="22"/>
        </w:rPr>
        <w:t xml:space="preserve">Sección crítica: </w:t>
      </w:r>
      <w:r>
        <w:rPr>
          <w:rFonts w:ascii="Times New Roman" w:cs="Times New Roman" w:eastAsia="Times New Roman" w:hAnsi="Times New Roman"/>
          <w:sz w:val="22"/>
          <w:szCs w:val="22"/>
        </w:rPr>
        <w:t xml:space="preserve"> la transferencia de arena entre Ash Twin y Ember Twin modifica un contador compartido; se protegerá con #pragma omp critical (o una reducción/atomic si se modela como suma) para evitar condiciones de carrera.</w:t>
      </w:r>
    </w:p>
    <w:p>
      <w:pPr>
        <w:pStyle w:val="ListParagraph"/>
        <w:numPr>
          <w:ilvl w:val="0"/>
          <w:numId w:val="2"/>
        </w:numPr>
        <w:spacing w:after="80"/>
      </w:pPr>
      <w:r>
        <w:rPr>
          <w:rFonts w:ascii="Times New Roman" w:cs="Times New Roman" w:eastAsia="Times New Roman" w:hAnsi="Times New Roman"/>
          <w:b/>
          <w:bCs/>
          <w:sz w:val="22"/>
          <w:szCs w:val="22"/>
        </w:rPr>
        <w:t xml:space="preserve">Renderizado: </w:t>
      </w:r>
      <w:r>
        <w:rPr>
          <w:rFonts w:ascii="Times New Roman" w:cs="Times New Roman" w:eastAsia="Times New Roman" w:hAnsi="Times New Roman"/>
          <w:sz w:val="22"/>
          <w:szCs w:val="22"/>
        </w:rPr>
        <w:t xml:space="preserve"> el dibujo en pantalla (llamadas a la librería gráfica) se mantiene secuencial en el hilo principal después de la fase de cálculo paralelo, ya que la mayoría de librerías gráficas no son thread-safe. El patrón general es: calcular en paralelo → sincronizar → renderizar en serie, por cada cuadro de animación.</w:t>
      </w:r>
    </w:p>
    <w:p>
      <w:pPr>
        <w:spacing w:after="160" w:line="276"/>
      </w:pPr>
      <w:r>
        <w:rPr>
          <w:rFonts w:ascii="Times New Roman" w:cs="Times New Roman" w:eastAsia="Times New Roman" w:hAnsi="Times New Roman"/>
          <w:sz w:val="22"/>
          <w:szCs w:val="22"/>
        </w:rPr>
        <w:t xml:space="preserve">Con este esquema se espera medir el speedup variando N_partículas (p. ej. 100, 1 000, 10 000 partículas por cuerpo) y el número de hilos, manteniendo N_cuerpos fijo.</w:t>
      </w:r>
    </w:p>
    <w:p>
      <w:pPr>
        <w:pStyle w:val="Heading1"/>
        <w:spacing w:after="150" w:before="300"/>
      </w:pPr>
      <w:r>
        <w:rPr>
          <w:rFonts w:ascii="Times New Roman" w:cs="Times New Roman" w:eastAsia="Times New Roman" w:hAnsi="Times New Roman"/>
          <w:b/>
          <w:bCs/>
          <w:color w:val="006633"/>
          <w:sz w:val="26"/>
          <w:szCs w:val="26"/>
        </w:rPr>
        <w:t xml:space="preserve">5. Boceto visual</w:t>
      </w:r>
    </w:p>
    <w:p>
      <w:pPr>
        <w:spacing w:after="160" w:line="276"/>
      </w:pPr>
      <w:r>
        <w:rPr>
          <w:rFonts w:ascii="Times New Roman" w:cs="Times New Roman" w:eastAsia="Times New Roman" w:hAnsi="Times New Roman"/>
          <w:sz w:val="22"/>
          <w:szCs w:val="22"/>
        </w:rPr>
        <w:t xml:space="preserve">Como referencia visual del resultado esperado se utiliza el mapa ilustrado del sistema solar de Outer Wilds (figura 1), que servirá de guía para la disposición relativa de los cuerpos, sus órbitas y su apariencia general en el screensaver.</w:t>
      </w:r>
    </w:p>
    <w:p>
      <w:pPr>
        <w:spacing w:after="100" w:before="200"/>
        <w:jc w:val="center"/>
      </w:pPr>
      <w:r>
        <w:drawing>
          <wp:inline distT="0" distB="0" distL="0" distR="0">
            <wp:extent cx="30480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4057650"/>
                    </a:xfrm>
                    <a:prstGeom prst="rect">
                      <a:avLst/>
                    </a:prstGeom>
                  </pic:spPr>
                </pic:pic>
              </a:graphicData>
            </a:graphic>
          </wp:inline>
        </w:drawing>
      </w:r>
    </w:p>
    <w:p>
      <w:pPr>
        <w:jc w:val="center"/>
      </w:pPr>
      <w:r>
        <w:rPr>
          <w:rFonts w:ascii="Times New Roman" w:cs="Times New Roman" w:eastAsia="Times New Roman" w:hAnsi="Times New Roman"/>
          <w:i/>
          <w:iCs/>
          <w:sz w:val="18"/>
          <w:szCs w:val="18"/>
        </w:rPr>
        <w:t xml:space="preserve">Figura 1. Referencia visual — disposición de los cuerpos celestes.</w:t>
      </w:r>
    </w:p>
    <w:p>
      <w:pPr>
        <w:pStyle w:val="Heading1"/>
        <w:spacing w:after="150" w:before="300"/>
      </w:pPr>
      <w:r>
        <w:rPr>
          <w:rFonts w:ascii="Times New Roman" w:cs="Times New Roman" w:eastAsia="Times New Roman" w:hAnsi="Times New Roman"/>
          <w:b/>
          <w:bCs/>
          <w:color w:val="006633"/>
          <w:sz w:val="26"/>
          <w:szCs w:val="26"/>
        </w:rPr>
        <w:t xml:space="preserve">6. Herramienta gráfica seleccionada: OpenGL</w:t>
      </w:r>
    </w:p>
    <w:p>
      <w:pPr>
        <w:spacing w:after="160" w:line="276"/>
      </w:pPr>
      <w:r>
        <w:rPr>
          <w:rFonts w:ascii="Times New Roman" w:cs="Times New Roman" w:eastAsia="Times New Roman" w:hAnsi="Times New Roman"/>
          <w:sz w:val="22"/>
          <w:szCs w:val="22"/>
        </w:rPr>
        <w:t xml:space="preserve">Entre las opciones evaluadas (SDL y OpenGL) se seleccionó OpenGL para el desarrollo gráfico del screensaver.</w:t>
      </w:r>
    </w:p>
    <w:p>
      <w:pPr>
        <w:spacing w:after="160" w:line="276"/>
      </w:pPr>
      <w:r>
        <w:rPr>
          <w:rFonts w:ascii="Times New Roman" w:cs="Times New Roman" w:eastAsia="Times New Roman" w:hAnsi="Times New Roman"/>
          <w:b/>
          <w:bCs/>
          <w:sz w:val="22"/>
          <w:szCs w:val="22"/>
        </w:rPr>
        <w:t xml:space="preserve">Descripción breve</w:t>
      </w:r>
    </w:p>
    <w:p>
      <w:pPr>
        <w:spacing w:after="160" w:line="276"/>
      </w:pPr>
      <w:r>
        <w:rPr>
          <w:rFonts w:ascii="Times New Roman" w:cs="Times New Roman" w:eastAsia="Times New Roman" w:hAnsi="Times New Roman"/>
          <w:sz w:val="22"/>
          <w:szCs w:val="22"/>
        </w:rPr>
        <w:t xml:space="preserve">OpenGL (Open Graphics Library) es una API gráfica multiplataforma y de bajo nivel para renderizado 2D y 3D, basada en un pipeline programable de shaders (vertex y fragment shaders) que se ejecutan directamente en la GPU. OpenGL en sí no maneja ventanas, entrada ni contexto gráfico, por lo que normalmente se combina con una librería auxiliar como GLFW (creación de ventana/contexto y manejo de input) y un cargador de funciones como GLAD o GLEW (para acceder a las funciones de la versión de OpenGL deseada, ya que estas se cargan dinámicamente desde el driver de la tarjeta gráfica).</w:t>
      </w:r>
    </w:p>
    <w:p>
      <w:pPr>
        <w:spacing w:after="160" w:line="276"/>
      </w:pPr>
      <w:r>
        <w:rPr>
          <w:rFonts w:ascii="Times New Roman" w:cs="Times New Roman" w:eastAsia="Times New Roman" w:hAnsi="Times New Roman"/>
          <w:b/>
          <w:bCs/>
          <w:sz w:val="22"/>
          <w:szCs w:val="22"/>
        </w:rPr>
        <w:t xml:space="preserve">Justificación</w:t>
      </w:r>
    </w:p>
    <w:p>
      <w:pPr>
        <w:spacing w:after="160" w:line="276"/>
      </w:pPr>
      <w:r>
        <w:rPr>
          <w:rFonts w:ascii="Times New Roman" w:cs="Times New Roman" w:eastAsia="Times New Roman" w:hAnsi="Times New Roman"/>
          <w:sz w:val="22"/>
          <w:szCs w:val="22"/>
        </w:rPr>
        <w:t xml:space="preserve">OpenGL se considera adecuado para este proyecto por las siguientes razones:</w:t>
      </w:r>
    </w:p>
    <w:p>
      <w:pPr>
        <w:pStyle w:val="ListParagraph"/>
        <w:numPr>
          <w:ilvl w:val="0"/>
          <w:numId w:val="2"/>
        </w:numPr>
        <w:spacing w:after="80"/>
      </w:pPr>
      <w:r>
        <w:rPr>
          <w:rFonts w:ascii="Times New Roman" w:cs="Times New Roman" w:eastAsia="Times New Roman" w:hAnsi="Times New Roman"/>
          <w:b/>
          <w:bCs/>
          <w:sz w:val="22"/>
          <w:szCs w:val="22"/>
        </w:rPr>
        <w:t xml:space="preserve">Complementa la paralelización con OpenMP — </w:t>
      </w:r>
      <w:r>
        <w:rPr>
          <w:rFonts w:ascii="Times New Roman" w:cs="Times New Roman" w:eastAsia="Times New Roman" w:hAnsi="Times New Roman"/>
          <w:sz w:val="22"/>
          <w:szCs w:val="22"/>
        </w:rPr>
        <w:t xml:space="preserve"> el modelo de OpenGL encaja de forma natural con el esquema propuesto en la sección 4: los hilos de OpenMP calculan en paralelo la posición y el estado de cada cuerpo/partícula, y luego un único hilo transfiere esos datos a la GPU y emite las llamadas de dibujo (glDrawArrays/glDrawElements) en cada cuadro, evitando llamar funciones de OpenGL desde múltiples hilos a la vez (el contexto de OpenGL no es thread-safe).</w:t>
      </w:r>
    </w:p>
    <w:p>
      <w:pPr>
        <w:pStyle w:val="ListParagraph"/>
        <w:numPr>
          <w:ilvl w:val="0"/>
          <w:numId w:val="2"/>
        </w:numPr>
        <w:spacing w:after="80"/>
      </w:pPr>
      <w:r>
        <w:rPr>
          <w:rFonts w:ascii="Times New Roman" w:cs="Times New Roman" w:eastAsia="Times New Roman" w:hAnsi="Times New Roman"/>
          <w:b/>
          <w:bCs/>
          <w:sz w:val="22"/>
          <w:szCs w:val="22"/>
        </w:rPr>
        <w:t xml:space="preserve">Rendimiento para sistemas de partículas — </w:t>
      </w:r>
      <w:r>
        <w:rPr>
          <w:rFonts w:ascii="Times New Roman" w:cs="Times New Roman" w:eastAsia="Times New Roman" w:hAnsi="Times New Roman"/>
          <w:sz w:val="22"/>
          <w:szCs w:val="22"/>
        </w:rPr>
        <w:t xml:space="preserve"> al subir las posiciones como buffers de vértices (VBO) y dibujar con un solo draw call por tipo de elemento (por ejemplo, todos los granos de arena o todas las estrellas de fondo como un conjunto de puntos), la GPU procesa en paralelo miles de partículas usando shaders, sin necesidad de un motor de videojuegos completo.</w:t>
      </w:r>
    </w:p>
    <w:p>
      <w:pPr>
        <w:pStyle w:val="ListParagraph"/>
        <w:numPr>
          <w:ilvl w:val="0"/>
          <w:numId w:val="2"/>
        </w:numPr>
        <w:spacing w:after="80"/>
      </w:pPr>
      <w:r>
        <w:rPr>
          <w:rFonts w:ascii="Times New Roman" w:cs="Times New Roman" w:eastAsia="Times New Roman" w:hAnsi="Times New Roman"/>
          <w:b/>
          <w:bCs/>
          <w:sz w:val="22"/>
          <w:szCs w:val="22"/>
        </w:rPr>
        <w:t xml:space="preserve">Ligereza y compatibilidad con C/C++ — </w:t>
      </w:r>
      <w:r>
        <w:rPr>
          <w:rFonts w:ascii="Times New Roman" w:cs="Times New Roman" w:eastAsia="Times New Roman" w:hAnsi="Times New Roman"/>
          <w:sz w:val="22"/>
          <w:szCs w:val="22"/>
        </w:rPr>
        <w:t xml:space="preserve"> es una API nativa de C, ampliamente documentada, con soporte directo en Linux/Windows/macOS y sin dependencias de un motor externo, lo que se ajusta al alcance de un proyecto de curso enfocado en paralelización más que en gráficos avanzados.</w:t>
      </w:r>
    </w:p>
    <w:p>
      <w:pPr>
        <w:pStyle w:val="ListParagraph"/>
        <w:numPr>
          <w:ilvl w:val="0"/>
          <w:numId w:val="2"/>
        </w:numPr>
        <w:spacing w:after="80"/>
      </w:pPr>
      <w:r>
        <w:rPr>
          <w:rFonts w:ascii="Times New Roman" w:cs="Times New Roman" w:eastAsia="Times New Roman" w:hAnsi="Times New Roman"/>
          <w:b/>
          <w:bCs/>
          <w:sz w:val="22"/>
          <w:szCs w:val="22"/>
        </w:rPr>
        <w:t xml:space="preserve">Control explícito del render — </w:t>
      </w:r>
      <w:r>
        <w:rPr>
          <w:rFonts w:ascii="Times New Roman" w:cs="Times New Roman" w:eastAsia="Times New Roman" w:hAnsi="Times New Roman"/>
          <w:sz w:val="22"/>
          <w:szCs w:val="22"/>
        </w:rPr>
        <w:t xml:space="preserve"> a diferencia de SDL (que ofrece renderizado 2D acelerado de más alto nivel), OpenGL da control directo sobre el pipeline gráfico, lo cual facilita representar órbitas, curvas y sistemas de partículas con transformaciones (rotación, traslación) manejadas explícitamente por el equipo, mostrando mejor el trabajo de paralelización sobre los cálculos de posición.</w:t>
      </w:r>
    </w:p>
    <w:p>
      <w:pPr>
        <w:spacing w:after="160" w:line="276"/>
      </w:pPr>
      <w:r>
        <w:rPr>
          <w:rFonts w:ascii="Times New Roman" w:cs="Times New Roman" w:eastAsia="Times New Roman" w:hAnsi="Times New Roman"/>
          <w:b/>
          <w:bCs/>
          <w:sz w:val="22"/>
          <w:szCs w:val="22"/>
        </w:rPr>
        <w:t xml:space="preserve">Requisitos básicos de instalación y uso con C/C++</w:t>
      </w:r>
    </w:p>
    <w:p>
      <w:pPr>
        <w:pStyle w:val="ListParagraph"/>
        <w:numPr>
          <w:ilvl w:val="0"/>
          <w:numId w:val="2"/>
        </w:numPr>
        <w:spacing w:after="80"/>
      </w:pPr>
      <w:r>
        <w:rPr>
          <w:rFonts w:ascii="Times New Roman" w:cs="Times New Roman" w:eastAsia="Times New Roman" w:hAnsi="Times New Roman"/>
          <w:b/>
          <w:bCs/>
          <w:sz w:val="22"/>
          <w:szCs w:val="22"/>
        </w:rPr>
        <w:t xml:space="preserve">Compilador C/C++</w:t>
      </w:r>
      <w:r>
        <w:rPr>
          <w:rFonts w:ascii="Times New Roman" w:cs="Times New Roman" w:eastAsia="Times New Roman" w:hAnsi="Times New Roman"/>
          <w:sz w:val="22"/>
          <w:szCs w:val="22"/>
        </w:rPr>
        <w:t xml:space="preserve"> (GCC/Clang en Linux/macOS, o MSVC en Windows) con soporte para C++11 o superior.</w:t>
      </w:r>
    </w:p>
    <w:p>
      <w:pPr>
        <w:pStyle w:val="ListParagraph"/>
        <w:numPr>
          <w:ilvl w:val="0"/>
          <w:numId w:val="2"/>
        </w:numPr>
        <w:spacing w:after="80"/>
      </w:pPr>
      <w:r>
        <w:rPr>
          <w:rFonts w:ascii="Times New Roman" w:cs="Times New Roman" w:eastAsia="Times New Roman" w:hAnsi="Times New Roman"/>
          <w:b/>
          <w:bCs/>
          <w:sz w:val="22"/>
          <w:szCs w:val="22"/>
        </w:rPr>
        <w:t xml:space="preserve">Drivers de GPU / OpenGL</w:t>
      </w:r>
      <w:r>
        <w:rPr>
          <w:rFonts w:ascii="Times New Roman" w:cs="Times New Roman" w:eastAsia="Times New Roman" w:hAnsi="Times New Roman"/>
          <w:sz w:val="22"/>
          <w:szCs w:val="22"/>
        </w:rPr>
        <w:t xml:space="preserve"> los drivers de la tarjeta gráfica ya incluyen la implementación de OpenGL del sistema; no requiere instalación aparte, pero sí drivers actualizados.</w:t>
      </w:r>
    </w:p>
    <w:p>
      <w:pPr>
        <w:pStyle w:val="ListParagraph"/>
        <w:numPr>
          <w:ilvl w:val="0"/>
          <w:numId w:val="2"/>
        </w:numPr>
        <w:spacing w:after="80"/>
      </w:pPr>
      <w:r>
        <w:rPr>
          <w:rFonts w:ascii="Times New Roman" w:cs="Times New Roman" w:eastAsia="Times New Roman" w:hAnsi="Times New Roman"/>
          <w:b/>
          <w:bCs/>
          <w:sz w:val="22"/>
          <w:szCs w:val="22"/>
        </w:rPr>
        <w:t xml:space="preserve">GLFW</w:t>
      </w:r>
      <w:r>
        <w:rPr>
          <w:rFonts w:ascii="Times New Roman" w:cs="Times New Roman" w:eastAsia="Times New Roman" w:hAnsi="Times New Roman"/>
          <w:sz w:val="22"/>
          <w:szCs w:val="22"/>
        </w:rPr>
        <w:t xml:space="preserve"> (creación de ventana, contexto OpenGL y manejo de teclado/mouse). En Ubuntu/Debian: sudo apt install libglfw3-dev; también disponible vía vcpkg (Windows) o Homebrew (macOS).</w:t>
      </w:r>
    </w:p>
    <w:p>
      <w:pPr>
        <w:pStyle w:val="ListParagraph"/>
        <w:numPr>
          <w:ilvl w:val="0"/>
          <w:numId w:val="2"/>
        </w:numPr>
        <w:spacing w:after="80"/>
      </w:pPr>
      <w:r>
        <w:rPr>
          <w:rFonts w:ascii="Times New Roman" w:cs="Times New Roman" w:eastAsia="Times New Roman" w:hAnsi="Times New Roman"/>
          <w:b/>
          <w:bCs/>
          <w:sz w:val="22"/>
          <w:szCs w:val="22"/>
        </w:rPr>
        <w:t xml:space="preserve">GLAD (o GLEW)</w:t>
      </w:r>
      <w:r>
        <w:rPr>
          <w:rFonts w:ascii="Times New Roman" w:cs="Times New Roman" w:eastAsia="Times New Roman" w:hAnsi="Times New Roman"/>
          <w:sz w:val="22"/>
          <w:szCs w:val="22"/>
        </w:rPr>
        <w:t xml:space="preserve"> para cargar las funciones de OpenGL moderno (3.3+ core profile) en tiempo de ejecución; se genera desde https://glad.dav1d.de/ indicando la versión y perfil deseados, y se agrega como archivo fuente al proyecto.</w:t>
      </w:r>
    </w:p>
    <w:p>
      <w:pPr>
        <w:pStyle w:val="ListParagraph"/>
        <w:numPr>
          <w:ilvl w:val="0"/>
          <w:numId w:val="2"/>
        </w:numPr>
        <w:spacing w:after="80"/>
      </w:pPr>
      <w:r>
        <w:rPr>
          <w:rFonts w:ascii="Times New Roman" w:cs="Times New Roman" w:eastAsia="Times New Roman" w:hAnsi="Times New Roman"/>
          <w:b/>
          <w:bCs/>
          <w:sz w:val="22"/>
          <w:szCs w:val="22"/>
        </w:rPr>
        <w:t xml:space="preserve">GLM</w:t>
      </w:r>
      <w:r>
        <w:rPr>
          <w:rFonts w:ascii="Times New Roman" w:cs="Times New Roman" w:eastAsia="Times New Roman" w:hAnsi="Times New Roman"/>
          <w:sz w:val="22"/>
          <w:szCs w:val="22"/>
        </w:rPr>
        <w:t xml:space="preserve"> (opcional pero recomendada) para operaciones de vectores y matrices (traslación, rotación, proyección) usadas en el cálculo de las órbitas.</w:t>
      </w:r>
    </w:p>
    <w:p>
      <w:pPr>
        <w:pStyle w:val="ListParagraph"/>
        <w:numPr>
          <w:ilvl w:val="0"/>
          <w:numId w:val="2"/>
        </w:numPr>
        <w:spacing w:after="80"/>
      </w:pPr>
      <w:r>
        <w:rPr>
          <w:rFonts w:ascii="Times New Roman" w:cs="Times New Roman" w:eastAsia="Times New Roman" w:hAnsi="Times New Roman"/>
          <w:b/>
          <w:bCs/>
          <w:sz w:val="22"/>
          <w:szCs w:val="22"/>
        </w:rPr>
        <w:t xml:space="preserve">CMake</w:t>
      </w:r>
      <w:r>
        <w:rPr>
          <w:rFonts w:ascii="Times New Roman" w:cs="Times New Roman" w:eastAsia="Times New Roman" w:hAnsi="Times New Roman"/>
          <w:sz w:val="22"/>
          <w:szCs w:val="22"/>
        </w:rPr>
        <w:t xml:space="preserve"> recomendado para compilar el proyecto de forma multiplataforma, enlazando las librerías con find_package(OpenGL REQUIRED) y find_package(glfw3 REQUIRED). En Linux, el enlazado manual sería aproximadamente: g++ main.cpp glad.c -lglfw -lGL -ldl -fopenmp.</w:t>
      </w:r>
    </w:p>
    <w:p>
      <w:pPr>
        <w:pStyle w:val="ListParagraph"/>
        <w:numPr>
          <w:ilvl w:val="0"/>
          <w:numId w:val="2"/>
        </w:numPr>
        <w:spacing w:after="80"/>
      </w:pPr>
      <w:r>
        <w:rPr>
          <w:rFonts w:ascii="Times New Roman" w:cs="Times New Roman" w:eastAsia="Times New Roman" w:hAnsi="Times New Roman"/>
          <w:b/>
          <w:bCs/>
          <w:sz w:val="22"/>
          <w:szCs w:val="22"/>
        </w:rPr>
        <w:t xml:space="preserve">Flujo básico de uso</w:t>
      </w:r>
      <w:r>
        <w:rPr>
          <w:rFonts w:ascii="Times New Roman" w:cs="Times New Roman" w:eastAsia="Times New Roman" w:hAnsi="Times New Roman"/>
          <w:sz w:val="22"/>
          <w:szCs w:val="22"/>
        </w:rPr>
        <w:t xml:space="preserve"> el flujo típico es: 1) crear ventana y contexto con GLFW, 2) inicializar GLAD, 3) compilar y enlazar los shaders (vertex/fragment), 4) crear los VAO/VBO con las posiciones de los cuerpos y partículas, 5) dentro del ciclo principal, actualizar posiciones en paralelo con OpenMP, subir los datos a la GPU y dibujar, y 6) intercambiar buffers con glfwSwapBuffers.</w:t>
      </w:r>
    </w:p>
    <w:p>
      <w:pPr>
        <w:spacing w:after="160" w:line="276"/>
      </w:pPr>
      <w:r>
        <w:rPr>
          <w:rFonts w:ascii="Times New Roman" w:cs="Times New Roman" w:eastAsia="Times New Roman" w:hAnsi="Times New Roman"/>
          <w:b/>
          <w:bCs/>
          <w:sz w:val="22"/>
          <w:szCs w:val="22"/>
        </w:rPr>
        <w:t xml:space="preserve">Ejemplo de referencia</w:t>
      </w:r>
    </w:p>
    <w:p>
      <w:pPr>
        <w:spacing w:after="160" w:line="276"/>
      </w:pPr>
      <w:r>
        <w:rPr>
          <w:rFonts w:ascii="Times New Roman" w:cs="Times New Roman" w:eastAsia="Times New Roman" w:hAnsi="Times New Roman"/>
          <w:sz w:val="22"/>
          <w:szCs w:val="22"/>
        </w:rPr>
        <w:t xml:space="preserve">Un ejemplo directo y muy relevante es la colección de screensavers de XScreenSaver (xscreensaver.com), un proyecto de código abierto que incluye docenas de "hacks" gráficos escritos en C y renderizados con OpenGL (por ejemplo hyperball, boxed, flow o skytentacles), lo que demuestra que OpenGL es una herramienta viable y probada específicamente para este tipo de aplicaciones.</w:t>
      </w:r>
    </w:p>
    <w:p>
      <w:pPr>
        <w:spacing w:after="60" w:before="150"/>
        <w:jc w:val="center"/>
      </w:pPr>
      <w:r>
        <w:drawing>
          <wp:inline distT="0" distB="0" distL="0" distR="0">
            <wp:extent cx="190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2857500"/>
                    </a:xfrm>
                    <a:prstGeom prst="rect">
                      <a:avLst/>
                    </a:prstGeom>
                  </pic:spPr>
                </pic:pic>
              </a:graphicData>
            </a:graphic>
          </wp:inline>
        </w:drawing>
      </w:r>
    </w:p>
    <w:p>
      <w:pPr>
        <w:spacing w:after="200"/>
        <w:jc w:val="center"/>
      </w:pPr>
      <w:r>
        <w:rPr>
          <w:rFonts w:ascii="Times New Roman" w:cs="Times New Roman" w:eastAsia="Times New Roman" w:hAnsi="Times New Roman"/>
          <w:i/>
          <w:iCs/>
          <w:sz w:val="18"/>
          <w:szCs w:val="18"/>
        </w:rPr>
        <w:t xml:space="preserve">Figura 2. "Sky Tentacles", uno de los hacks de la colección XScreenSaver renderizado con OpenGL.</w:t>
      </w:r>
    </w:p>
    <w:p>
      <w:pPr>
        <w:spacing w:after="160" w:line="276"/>
      </w:pPr>
      <w:r>
        <w:rPr>
          <w:rFonts w:ascii="Times New Roman" w:cs="Times New Roman" w:eastAsia="Times New Roman" w:hAnsi="Times New Roman"/>
          <w:sz w:val="22"/>
          <w:szCs w:val="22"/>
        </w:rPr>
        <w:t xml:space="preserve">Como referencia adicional de implementación, la sección "Getting Started" y el capítulo "Coordinate Systems" del tutorial LearnOpenGL (learnopengl.com) muestran cómo construir una escena de un sol con planetas orbitando usando transformaciones de OpenGL, un caso muy cercano al comportamiento orbital que se necesita en este proyecto. Proyectos similares construidos en C/C++ con OpenGL y GLFW, como los sistemas solares 3D disponibles en repositorios abiertos, ilustran el mismo enfoque: un sol central con planetas orbitando mediante matrices de transformación actualizadas en cada cuadro.</w:t>
      </w:r>
    </w:p>
    <w:p>
      <w:pPr>
        <w:spacing w:after="60" w:before="150"/>
        <w:jc w:val="center"/>
      </w:pPr>
      <w:r>
        <w:drawing>
          <wp:inline distT="0" distB="0" distL="0" distR="0">
            <wp:extent cx="3619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552700"/>
                    </a:xfrm>
                    <a:prstGeom prst="rect">
                      <a:avLst/>
                    </a:prstGeom>
                  </pic:spPr>
                </pic:pic>
              </a:graphicData>
            </a:graphic>
          </wp:inline>
        </w:drawing>
      </w:r>
    </w:p>
    <w:p>
      <w:pPr>
        <w:spacing w:after="200"/>
        <w:jc w:val="center"/>
      </w:pPr>
      <w:r>
        <w:rPr>
          <w:rFonts w:ascii="Times New Roman" w:cs="Times New Roman" w:eastAsia="Times New Roman" w:hAnsi="Times New Roman"/>
          <w:i/>
          <w:iCs/>
          <w:sz w:val="18"/>
          <w:szCs w:val="18"/>
        </w:rPr>
        <w:t xml:space="preserve">Figura 3. Ejemplo de un sistema planetario 3D renderizado con OpenGL, con un sol central y planetas orbitando.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b003ffa219d13096576e4506b6cfb2b4be61ca6.png"/><Relationship Id="rId8" Type="http://schemas.openxmlformats.org/officeDocument/2006/relationships/image" Target="media/5adc39d565160c8c4f6e790e7532cedd3be983ab.png"/><Relationship Id="rId9" Type="http://schemas.openxmlformats.org/officeDocument/2006/relationships/image" Target="media/f8b45598c3e1b412876fe91be579a5054d63bae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2026-08-21T04:18:44.392Z</dcterms:created>
  <dcterms:modified xsi:type="dcterms:W3CDTF">2026-08-21T04:18:44.392Z</dcterms:modified>
</cp:coreProperties>
</file>

<file path=docProps/custom.xml><?xml version="1.0" encoding="utf-8"?>
<Properties xmlns="http://schemas.openxmlformats.org/officeDocument/2006/custom-properties" xmlns:vt="http://schemas.openxmlformats.org/officeDocument/2006/docPropsVTypes"/>
</file>