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1050" w14:textId="39577AB7" w:rsidR="002D7CB0" w:rsidRDefault="00E85392">
      <w:pPr>
        <w:jc w:val="center"/>
        <w:rPr>
          <w:rFonts w:hint="eastAsia"/>
        </w:rPr>
      </w:pPr>
      <w:r>
        <w:rPr>
          <w:b/>
          <w:color w:val="173B57"/>
          <w:sz w:val="44"/>
        </w:rPr>
        <w:t xml:space="preserve">Project </w:t>
      </w:r>
      <w:r w:rsidR="00000000">
        <w:rPr>
          <w:b/>
          <w:color w:val="173B57"/>
          <w:sz w:val="44"/>
        </w:rPr>
        <w:t>CRAIG Credit Memo LLM Roadmap</w:t>
      </w:r>
    </w:p>
    <w:p w14:paraId="6872B702" w14:textId="77777777" w:rsidR="002D7CB0" w:rsidRDefault="00000000">
      <w:pPr>
        <w:jc w:val="center"/>
        <w:rPr>
          <w:rFonts w:hint="eastAsia"/>
        </w:rPr>
      </w:pPr>
      <w:r>
        <w:rPr>
          <w:color w:val="5A5A5A"/>
          <w:sz w:val="23"/>
        </w:rPr>
        <w:t>From v0.1 prompt harness to v2.0 tuned open-weight RCO-assistive credit review model</w:t>
      </w:r>
    </w:p>
    <w:p w14:paraId="13E3C1CA" w14:textId="77777777" w:rsidR="002D7CB0" w:rsidRDefault="00000000">
      <w:pPr>
        <w:jc w:val="center"/>
        <w:rPr>
          <w:rFonts w:hint="eastAsia"/>
        </w:rPr>
      </w:pPr>
      <w:r>
        <w:rPr>
          <w:sz w:val="17"/>
        </w:rPr>
        <w:t>Current date: May 18, 2026 | Prepared for credit leadership, RCO users, AI engineering, AWS platform, data governance, and model risk</w:t>
      </w:r>
    </w:p>
    <w:p w14:paraId="238E11BD" w14:textId="77777777" w:rsidR="002D7CB0" w:rsidRDefault="002D7CB0">
      <w:pPr>
        <w:rPr>
          <w:rFonts w:hint="eastAsia"/>
        </w:rPr>
      </w:pPr>
    </w:p>
    <w:p w14:paraId="1C4B51B6" w14:textId="77777777" w:rsidR="002D7CB0" w:rsidRDefault="00000000">
      <w:pPr>
        <w:pStyle w:val="Heading1"/>
      </w:pPr>
      <w:r>
        <w:t>1. Executive Rationale</w:t>
      </w:r>
    </w:p>
    <w:p w14:paraId="108A62A0" w14:textId="77777777" w:rsidR="002D7CB0" w:rsidRDefault="00000000">
      <w:pPr>
        <w:pStyle w:val="ListBullet"/>
        <w:spacing w:after="40"/>
        <w:rPr>
          <w:rFonts w:hint="eastAsia"/>
        </w:rPr>
      </w:pPr>
      <w:r>
        <w:t>The central thesis is that commercial credit memos contain underused underwriting signal: decision logic, missing support, policy exceptions, structure tradeoffs, risk mitigants, and outcome clues that generic LLMs are unlikely to understand deeply.</w:t>
      </w:r>
    </w:p>
    <w:p w14:paraId="27F64DBF" w14:textId="77777777" w:rsidR="002D7CB0" w:rsidRDefault="00000000">
      <w:pPr>
        <w:pStyle w:val="ListBullet"/>
        <w:spacing w:after="40"/>
        <w:rPr>
          <w:rFonts w:hint="eastAsia"/>
        </w:rPr>
      </w:pPr>
      <w:r>
        <w:t>CRAIG should begin as a fast prompt harness that makes RCO review more efficient immediately, then use human tagging and automated tagging to build the data asset required for a tuned open-weight LLM.</w:t>
      </w:r>
    </w:p>
    <w:p w14:paraId="2F116604" w14:textId="77777777" w:rsidR="002D7CB0" w:rsidRDefault="00000000">
      <w:pPr>
        <w:pStyle w:val="ListBullet"/>
        <w:spacing w:after="40"/>
        <w:rPr>
          <w:rFonts w:hint="eastAsia"/>
        </w:rPr>
      </w:pPr>
      <w:r>
        <w:t>The program is RCO-assistive. It should accelerate review, improve consistency, surface weak underwriting support, and propose structure enhancements while leaving credit authority with humans.</w:t>
      </w:r>
    </w:p>
    <w:p w14:paraId="498361D2" w14:textId="77777777" w:rsidR="002D7CB0" w:rsidRDefault="00000000">
      <w:pPr>
        <w:pStyle w:val="ListBullet"/>
        <w:spacing w:after="40"/>
        <w:rPr>
          <w:rFonts w:hint="eastAsia"/>
        </w:rPr>
      </w:pPr>
      <w:r>
        <w:t>The model path should remain AWS-first, with SageMaker JumpStart/SageMaker considered for model deployment, training, evaluation, registry, and private endpoint controls.</w:t>
      </w:r>
    </w:p>
    <w:p w14:paraId="504CA23C" w14:textId="77777777" w:rsidR="002D7CB0" w:rsidRDefault="00000000">
      <w:pPr>
        <w:pStyle w:val="Heading1"/>
      </w:pPr>
      <w:r>
        <w:t>2. Target End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3568"/>
        <w:gridCol w:w="3038"/>
        <w:gridCol w:w="2340"/>
      </w:tblGrid>
      <w:tr w:rsidR="002D7CB0" w14:paraId="34A357B3" w14:textId="77777777">
        <w:trPr>
          <w:jc w:val="center"/>
        </w:trPr>
        <w:tc>
          <w:tcPr>
            <w:tcW w:w="2016" w:type="dxa"/>
            <w:shd w:val="clear" w:color="auto" w:fill="173B57"/>
          </w:tcPr>
          <w:p w14:paraId="26F8B5A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w="3888" w:type="dxa"/>
            <w:shd w:val="clear" w:color="auto" w:fill="173B57"/>
          </w:tcPr>
          <w:p w14:paraId="2E5EC4E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v2.0 Target Behavior</w:t>
            </w:r>
          </w:p>
        </w:tc>
        <w:tc>
          <w:tcPr>
            <w:tcW w:w="3312" w:type="dxa"/>
            <w:shd w:val="clear" w:color="auto" w:fill="173B57"/>
          </w:tcPr>
          <w:p w14:paraId="04B4B2F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RCO Efficiency Value</w:t>
            </w:r>
          </w:p>
        </w:tc>
        <w:tc>
          <w:tcPr>
            <w:tcW w:w="2448" w:type="dxa"/>
            <w:shd w:val="clear" w:color="auto" w:fill="173B57"/>
          </w:tcPr>
          <w:p w14:paraId="2341F6B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 w:rsidR="002D7CB0" w14:paraId="04EA64D5" w14:textId="77777777">
        <w:trPr>
          <w:jc w:val="center"/>
        </w:trPr>
        <w:tc>
          <w:tcPr>
            <w:tcW w:w="2016" w:type="dxa"/>
          </w:tcPr>
          <w:p w14:paraId="796839D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Completeness review</w:t>
            </w:r>
          </w:p>
        </w:tc>
        <w:tc>
          <w:tcPr>
            <w:tcW w:w="3888" w:type="dxa"/>
          </w:tcPr>
          <w:p w14:paraId="2E80598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Detects missing, incomplete, weak, stale, or inconsistent memo sections by memo/facility type.</w:t>
            </w:r>
          </w:p>
        </w:tc>
        <w:tc>
          <w:tcPr>
            <w:tcW w:w="3312" w:type="dxa"/>
          </w:tcPr>
          <w:p w14:paraId="0CF686B4" w14:textId="78458156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Reduces time spent hunting for gaps before approval.</w:t>
            </w:r>
          </w:p>
        </w:tc>
        <w:tc>
          <w:tcPr>
            <w:tcW w:w="2448" w:type="dxa"/>
          </w:tcPr>
          <w:p w14:paraId="689A5CE3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Cites memo spans and marks insufficient information.</w:t>
            </w:r>
          </w:p>
        </w:tc>
      </w:tr>
      <w:tr w:rsidR="002D7CB0" w14:paraId="65408C2B" w14:textId="77777777">
        <w:trPr>
          <w:jc w:val="center"/>
        </w:trPr>
        <w:tc>
          <w:tcPr>
            <w:tcW w:w="2016" w:type="dxa"/>
          </w:tcPr>
          <w:p w14:paraId="2F2AF63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Memo summarization</w:t>
            </w:r>
          </w:p>
        </w:tc>
        <w:tc>
          <w:tcPr>
            <w:tcW w:w="3888" w:type="dxa"/>
          </w:tcPr>
          <w:p w14:paraId="1E34E76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Produces concise, structured summary of borrower, request, repayment source, risk factors, mitigants, and decision points.</w:t>
            </w:r>
          </w:p>
        </w:tc>
        <w:tc>
          <w:tcPr>
            <w:tcW w:w="3312" w:type="dxa"/>
          </w:tcPr>
          <w:p w14:paraId="6E9E86E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Creates a fast briefing layer for RCO review.</w:t>
            </w:r>
          </w:p>
        </w:tc>
        <w:tc>
          <w:tcPr>
            <w:tcW w:w="2448" w:type="dxa"/>
          </w:tcPr>
          <w:p w14:paraId="52AA2B0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Separates extraction from judgment.</w:t>
            </w:r>
          </w:p>
        </w:tc>
      </w:tr>
      <w:tr w:rsidR="002D7CB0" w14:paraId="11446FAC" w14:textId="77777777">
        <w:trPr>
          <w:jc w:val="center"/>
        </w:trPr>
        <w:tc>
          <w:tcPr>
            <w:tcW w:w="2016" w:type="dxa"/>
          </w:tcPr>
          <w:p w14:paraId="784E406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Completeness score</w:t>
            </w:r>
          </w:p>
        </w:tc>
        <w:tc>
          <w:tcPr>
            <w:tcW w:w="3888" w:type="dxa"/>
          </w:tcPr>
          <w:p w14:paraId="6D09E079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Scores memo readiness and conformance to expected underwriting standards.</w:t>
            </w:r>
          </w:p>
        </w:tc>
        <w:tc>
          <w:tcPr>
            <w:tcW w:w="3312" w:type="dxa"/>
          </w:tcPr>
          <w:p w14:paraId="2EF5643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Prioritizes rework and triage.</w:t>
            </w:r>
          </w:p>
        </w:tc>
        <w:tc>
          <w:tcPr>
            <w:tcW w:w="2448" w:type="dxa"/>
          </w:tcPr>
          <w:p w14:paraId="1711646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Advisory only; component-based and explainable.</w:t>
            </w:r>
          </w:p>
        </w:tc>
      </w:tr>
      <w:tr w:rsidR="002D7CB0" w14:paraId="4F5510AE" w14:textId="77777777">
        <w:trPr>
          <w:jc w:val="center"/>
        </w:trPr>
        <w:tc>
          <w:tcPr>
            <w:tcW w:w="2016" w:type="dxa"/>
          </w:tcPr>
          <w:p w14:paraId="097CE73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Underwriting strength score</w:t>
            </w:r>
          </w:p>
        </w:tc>
        <w:tc>
          <w:tcPr>
            <w:tcW w:w="3888" w:type="dxa"/>
          </w:tcPr>
          <w:p w14:paraId="17BDDDC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Scores evidence-supported strength of the proposed credit structure and repayment case.</w:t>
            </w:r>
          </w:p>
        </w:tc>
        <w:tc>
          <w:tcPr>
            <w:tcW w:w="3312" w:type="dxa"/>
          </w:tcPr>
          <w:p w14:paraId="69F1DDC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Focuses RCO attention on weak support and unresolved risks.</w:t>
            </w:r>
          </w:p>
        </w:tc>
        <w:tc>
          <w:tcPr>
            <w:tcW w:w="2448" w:type="dxa"/>
          </w:tcPr>
          <w:p w14:paraId="7ED5135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Not an official risk rating or decision.</w:t>
            </w:r>
          </w:p>
        </w:tc>
      </w:tr>
      <w:tr w:rsidR="002D7CB0" w14:paraId="43F4DE8E" w14:textId="77777777">
        <w:trPr>
          <w:jc w:val="center"/>
        </w:trPr>
        <w:tc>
          <w:tcPr>
            <w:tcW w:w="2016" w:type="dxa"/>
          </w:tcPr>
          <w:p w14:paraId="0D6DD61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Structure enhancement</w:t>
            </w:r>
          </w:p>
        </w:tc>
        <w:tc>
          <w:tcPr>
            <w:tcW w:w="3888" w:type="dxa"/>
          </w:tcPr>
          <w:p w14:paraId="49BA8233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Suggests covenants, collateral, reporting, tenor, amortization, conditions, or mitigants that improve risk control and review efficiency.</w:t>
            </w:r>
          </w:p>
        </w:tc>
        <w:tc>
          <w:tcPr>
            <w:tcW w:w="3312" w:type="dxa"/>
          </w:tcPr>
          <w:p w14:paraId="1321BC9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Turns model output into actionable credit structuring prompts.</w:t>
            </w:r>
          </w:p>
        </w:tc>
        <w:tc>
          <w:tcPr>
            <w:tcW w:w="2448" w:type="dxa"/>
          </w:tcPr>
          <w:p w14:paraId="104BB89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Recommendations are non-binding and cited.</w:t>
            </w:r>
          </w:p>
        </w:tc>
      </w:tr>
    </w:tbl>
    <w:p w14:paraId="240AD0CB" w14:textId="77777777" w:rsidR="002D7CB0" w:rsidRDefault="002D7CB0">
      <w:pPr>
        <w:rPr>
          <w:rFonts w:hint="eastAsia"/>
        </w:rPr>
      </w:pPr>
    </w:p>
    <w:p w14:paraId="4DF8C21A" w14:textId="77777777" w:rsidR="002D7CB0" w:rsidRDefault="00000000">
      <w:pPr>
        <w:rPr>
          <w:rFonts w:hint="eastAsia"/>
        </w:rPr>
      </w:pPr>
      <w:r>
        <w:br w:type="page"/>
      </w:r>
    </w:p>
    <w:p w14:paraId="5B3B4ECA" w14:textId="77777777" w:rsidR="002D7CB0" w:rsidRDefault="00000000">
      <w:pPr>
        <w:pStyle w:val="Heading1"/>
      </w:pPr>
      <w:r>
        <w:lastRenderedPageBreak/>
        <w:t>3. Version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7"/>
        <w:gridCol w:w="1573"/>
        <w:gridCol w:w="2526"/>
        <w:gridCol w:w="1952"/>
        <w:gridCol w:w="1983"/>
        <w:gridCol w:w="2031"/>
      </w:tblGrid>
      <w:tr w:rsidR="002D7CB0" w14:paraId="1BD8949B" w14:textId="77777777">
        <w:trPr>
          <w:jc w:val="center"/>
        </w:trPr>
        <w:tc>
          <w:tcPr>
            <w:tcW w:w="864" w:type="dxa"/>
            <w:shd w:val="clear" w:color="auto" w:fill="173B57"/>
          </w:tcPr>
          <w:p w14:paraId="0D4A721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w="1944" w:type="dxa"/>
            <w:shd w:val="clear" w:color="auto" w:fill="173B57"/>
          </w:tcPr>
          <w:p w14:paraId="7C0722C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Release</w:t>
            </w:r>
          </w:p>
        </w:tc>
        <w:tc>
          <w:tcPr>
            <w:tcW w:w="3312" w:type="dxa"/>
            <w:shd w:val="clear" w:color="auto" w:fill="173B57"/>
          </w:tcPr>
          <w:p w14:paraId="38CF4C3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w="2376" w:type="dxa"/>
            <w:shd w:val="clear" w:color="auto" w:fill="173B57"/>
          </w:tcPr>
          <w:p w14:paraId="03ABE54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Model Approach</w:t>
            </w:r>
          </w:p>
        </w:tc>
        <w:tc>
          <w:tcPr>
            <w:tcW w:w="2448" w:type="dxa"/>
            <w:shd w:val="clear" w:color="auto" w:fill="173B57"/>
          </w:tcPr>
          <w:p w14:paraId="74877B9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Data Required</w:t>
            </w:r>
          </w:p>
        </w:tc>
        <w:tc>
          <w:tcPr>
            <w:tcW w:w="2592" w:type="dxa"/>
            <w:shd w:val="clear" w:color="auto" w:fill="173B57"/>
          </w:tcPr>
          <w:p w14:paraId="0C9DC699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Exit Evidence</w:t>
            </w:r>
          </w:p>
        </w:tc>
      </w:tr>
      <w:tr w:rsidR="002D7CB0" w14:paraId="1E7A275B" w14:textId="77777777">
        <w:trPr>
          <w:jc w:val="center"/>
        </w:trPr>
        <w:tc>
          <w:tcPr>
            <w:tcW w:w="864" w:type="dxa"/>
          </w:tcPr>
          <w:p w14:paraId="5EC9BA8D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v0.1</w:t>
            </w:r>
          </w:p>
        </w:tc>
        <w:tc>
          <w:tcPr>
            <w:tcW w:w="1944" w:type="dxa"/>
          </w:tcPr>
          <w:p w14:paraId="7C068E8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Prompt Harness Memo Review</w:t>
            </w:r>
          </w:p>
        </w:tc>
        <w:tc>
          <w:tcPr>
            <w:tcW w:w="3312" w:type="dxa"/>
          </w:tcPr>
          <w:p w14:paraId="2297EDE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Fast LLM prompt wrapper that checks whether required memo sections are present and complete, then produces a concise memo summary.</w:t>
            </w:r>
          </w:p>
        </w:tc>
        <w:tc>
          <w:tcPr>
            <w:tcW w:w="2376" w:type="dxa"/>
          </w:tcPr>
          <w:p w14:paraId="398E646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Existing approved LLM; no tuning.</w:t>
            </w:r>
          </w:p>
        </w:tc>
        <w:tc>
          <w:tcPr>
            <w:tcW w:w="2448" w:type="dxa"/>
          </w:tcPr>
          <w:p w14:paraId="26AE80B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Memo text, memo type, required section checklist.</w:t>
            </w:r>
          </w:p>
        </w:tc>
        <w:tc>
          <w:tcPr>
            <w:tcW w:w="2592" w:type="dxa"/>
          </w:tcPr>
          <w:p w14:paraId="0F8C8FED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Working prompt harness, output template, first RCO feedback loop.</w:t>
            </w:r>
          </w:p>
        </w:tc>
      </w:tr>
      <w:tr w:rsidR="002D7CB0" w14:paraId="45F9DCA4" w14:textId="77777777">
        <w:trPr>
          <w:jc w:val="center"/>
        </w:trPr>
        <w:tc>
          <w:tcPr>
            <w:tcW w:w="864" w:type="dxa"/>
          </w:tcPr>
          <w:p w14:paraId="4F4480A2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v0.2</w:t>
            </w:r>
          </w:p>
        </w:tc>
        <w:tc>
          <w:tcPr>
            <w:tcW w:w="1944" w:type="dxa"/>
          </w:tcPr>
          <w:p w14:paraId="1207B7F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Cited Structured Review</w:t>
            </w:r>
          </w:p>
        </w:tc>
        <w:tc>
          <w:tcPr>
            <w:tcW w:w="3312" w:type="dxa"/>
          </w:tcPr>
          <w:p w14:paraId="4D2A6FC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Adds structured JSON/Word-style outputs, citation discipline, missing-section severity, and policy-aware prompts.</w:t>
            </w:r>
          </w:p>
        </w:tc>
        <w:tc>
          <w:tcPr>
            <w:tcW w:w="2376" w:type="dxa"/>
          </w:tcPr>
          <w:p w14:paraId="700E08D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Prompt harness plus policy snippets/RAG where approved.</w:t>
            </w:r>
          </w:p>
        </w:tc>
        <w:tc>
          <w:tcPr>
            <w:tcW w:w="2448" w:type="dxa"/>
          </w:tcPr>
          <w:p w14:paraId="6576161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Policy excerpts, section map, cited memo spans.</w:t>
            </w:r>
          </w:p>
        </w:tc>
        <w:tc>
          <w:tcPr>
            <w:tcW w:w="2592" w:type="dxa"/>
          </w:tcPr>
          <w:p w14:paraId="7E3B5A0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Schema-validated outputs, citation QA, policy prompt controls.</w:t>
            </w:r>
          </w:p>
        </w:tc>
      </w:tr>
      <w:tr w:rsidR="002D7CB0" w14:paraId="1361C8B4" w14:textId="77777777">
        <w:trPr>
          <w:jc w:val="center"/>
        </w:trPr>
        <w:tc>
          <w:tcPr>
            <w:tcW w:w="864" w:type="dxa"/>
          </w:tcPr>
          <w:p w14:paraId="1D92639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v0.3</w:t>
            </w:r>
          </w:p>
        </w:tc>
        <w:tc>
          <w:tcPr>
            <w:tcW w:w="1944" w:type="dxa"/>
          </w:tcPr>
          <w:p w14:paraId="14041DF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Human Tagging Launch</w:t>
            </w:r>
          </w:p>
        </w:tc>
        <w:tc>
          <w:tcPr>
            <w:tcW w:w="3312" w:type="dxa"/>
          </w:tcPr>
          <w:p w14:paraId="7CFE0203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Begins human tagging of credit memos using the tagging blueprint while v0.1/v0.2 workflow continues.</w:t>
            </w:r>
          </w:p>
        </w:tc>
        <w:tc>
          <w:tcPr>
            <w:tcW w:w="2376" w:type="dxa"/>
          </w:tcPr>
          <w:p w14:paraId="37A02E4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Human tagging; optional LLM pre-read only if approved.</w:t>
            </w:r>
          </w:p>
        </w:tc>
        <w:tc>
          <w:tcPr>
            <w:tcW w:w="2448" w:type="dxa"/>
          </w:tcPr>
          <w:p w14:paraId="171BC63D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Representative memos across facility types, outcomes, and memo quality levels.</w:t>
            </w:r>
          </w:p>
        </w:tc>
        <w:tc>
          <w:tcPr>
            <w:tcW w:w="2592" w:type="dxa"/>
          </w:tcPr>
          <w:p w14:paraId="1F90DC5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Tagged pilot set, tagger calibration, revised tag definitions.</w:t>
            </w:r>
          </w:p>
        </w:tc>
      </w:tr>
      <w:tr w:rsidR="002D7CB0" w14:paraId="3E103516" w14:textId="77777777">
        <w:trPr>
          <w:jc w:val="center"/>
        </w:trPr>
        <w:tc>
          <w:tcPr>
            <w:tcW w:w="864" w:type="dxa"/>
          </w:tcPr>
          <w:p w14:paraId="295D65B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v0.5</w:t>
            </w:r>
          </w:p>
        </w:tc>
        <w:tc>
          <w:tcPr>
            <w:tcW w:w="1944" w:type="dxa"/>
          </w:tcPr>
          <w:p w14:paraId="7F145D3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Controlled MVP Workflow</w:t>
            </w:r>
          </w:p>
        </w:tc>
        <w:tc>
          <w:tcPr>
            <w:tcW w:w="3312" w:type="dxa"/>
          </w:tcPr>
          <w:p w14:paraId="4B49269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Creates a controlled workflow for memo upload, prompt review, RCO feedback, and tag collection.</w:t>
            </w:r>
          </w:p>
        </w:tc>
        <w:tc>
          <w:tcPr>
            <w:tcW w:w="2376" w:type="dxa"/>
          </w:tcPr>
          <w:p w14:paraId="5059D1B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Prompt/RAG baseline in AWS-first environment.</w:t>
            </w:r>
          </w:p>
        </w:tc>
        <w:tc>
          <w:tcPr>
            <w:tcW w:w="2448" w:type="dxa"/>
          </w:tcPr>
          <w:p w14:paraId="20CEF3B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Uploaded memos, user feedback, tagging records, policy references.</w:t>
            </w:r>
          </w:p>
        </w:tc>
        <w:tc>
          <w:tcPr>
            <w:tcW w:w="2592" w:type="dxa"/>
          </w:tcPr>
          <w:p w14:paraId="3E683042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MVP workflow, audit logs, feedback queue, RCO usability evidence.</w:t>
            </w:r>
          </w:p>
        </w:tc>
      </w:tr>
      <w:tr w:rsidR="002D7CB0" w14:paraId="41D7F417" w14:textId="77777777">
        <w:trPr>
          <w:jc w:val="center"/>
        </w:trPr>
        <w:tc>
          <w:tcPr>
            <w:tcW w:w="864" w:type="dxa"/>
          </w:tcPr>
          <w:p w14:paraId="0ED1500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v0.7</w:t>
            </w:r>
          </w:p>
        </w:tc>
        <w:tc>
          <w:tcPr>
            <w:tcW w:w="1944" w:type="dxa"/>
          </w:tcPr>
          <w:p w14:paraId="0EF8F25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Gold-Standard Dataset</w:t>
            </w:r>
          </w:p>
        </w:tc>
        <w:tc>
          <w:tcPr>
            <w:tcW w:w="3312" w:type="dxa"/>
          </w:tcPr>
          <w:p w14:paraId="7F76CC59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Creates adjudicated, evidence-linked gold-standard examples from human-reviewed memos.</w:t>
            </w:r>
          </w:p>
        </w:tc>
        <w:tc>
          <w:tcPr>
            <w:tcW w:w="2376" w:type="dxa"/>
          </w:tcPr>
          <w:p w14:paraId="0B8A681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Human adjudication; baseline models tested against locked examples.</w:t>
            </w:r>
          </w:p>
        </w:tc>
        <w:tc>
          <w:tcPr>
            <w:tcW w:w="2448" w:type="dxa"/>
          </w:tcPr>
          <w:p w14:paraId="57C9356B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Dual-reviewed tags, evidence citations, outcomes where available.</w:t>
            </w:r>
          </w:p>
        </w:tc>
        <w:tc>
          <w:tcPr>
            <w:tcW w:w="2592" w:type="dxa"/>
          </w:tcPr>
          <w:p w14:paraId="5D1320A3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Gold set, eval harness, performance baselines, go/no-go for tagging automation.</w:t>
            </w:r>
          </w:p>
        </w:tc>
      </w:tr>
      <w:tr w:rsidR="002D7CB0" w14:paraId="2A9AFC2D" w14:textId="77777777">
        <w:trPr>
          <w:jc w:val="center"/>
        </w:trPr>
        <w:tc>
          <w:tcPr>
            <w:tcW w:w="864" w:type="dxa"/>
          </w:tcPr>
          <w:p w14:paraId="14BBFF42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v1.0</w:t>
            </w:r>
          </w:p>
        </w:tc>
        <w:tc>
          <w:tcPr>
            <w:tcW w:w="1944" w:type="dxa"/>
          </w:tcPr>
          <w:p w14:paraId="0B3C45D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Automated Tagging Platform</w:t>
            </w:r>
          </w:p>
        </w:tc>
        <w:tc>
          <w:tcPr>
            <w:tcW w:w="3312" w:type="dxa"/>
          </w:tcPr>
          <w:p w14:paraId="2250322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Builds an LLM-assisted tagging platform based on lessons from human tagging, with human-in-the-loop review.</w:t>
            </w:r>
          </w:p>
        </w:tc>
        <w:tc>
          <w:tcPr>
            <w:tcW w:w="2376" w:type="dxa"/>
          </w:tcPr>
          <w:p w14:paraId="79A0F55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Prompt/RAG tagger; candidate open-weight models for draft tags.</w:t>
            </w:r>
          </w:p>
        </w:tc>
        <w:tc>
          <w:tcPr>
            <w:tcW w:w="2448" w:type="dxa"/>
          </w:tcPr>
          <w:p w14:paraId="2EF09EB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Validated schema, tag queue, reviewer corrections, adjudication history.</w:t>
            </w:r>
          </w:p>
        </w:tc>
        <w:tc>
          <w:tcPr>
            <w:tcW w:w="2592" w:type="dxa"/>
          </w:tcPr>
          <w:p w14:paraId="6004937D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Production-scale tag capture, correction log, data lineage, QA dashboards.</w:t>
            </w:r>
          </w:p>
        </w:tc>
      </w:tr>
      <w:tr w:rsidR="002D7CB0" w14:paraId="416EF1BC" w14:textId="77777777">
        <w:trPr>
          <w:jc w:val="center"/>
        </w:trPr>
        <w:tc>
          <w:tcPr>
            <w:tcW w:w="864" w:type="dxa"/>
          </w:tcPr>
          <w:p w14:paraId="16C9150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v1.5</w:t>
            </w:r>
          </w:p>
        </w:tc>
        <w:tc>
          <w:tcPr>
            <w:tcW w:w="1944" w:type="dxa"/>
          </w:tcPr>
          <w:p w14:paraId="3B39713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Open-Weight Model Training</w:t>
            </w:r>
          </w:p>
        </w:tc>
        <w:tc>
          <w:tcPr>
            <w:tcW w:w="3312" w:type="dxa"/>
          </w:tcPr>
          <w:p w14:paraId="25B9D8A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Trains and evaluates open-weight candidates using curated tagged memo data and correction records.</w:t>
            </w:r>
          </w:p>
        </w:tc>
        <w:tc>
          <w:tcPr>
            <w:tcW w:w="2376" w:type="dxa"/>
          </w:tcPr>
          <w:p w14:paraId="65B9279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SFT/LoRA or QLoRA on candidate Llama/Gemma-style models.</w:t>
            </w:r>
          </w:p>
        </w:tc>
        <w:tc>
          <w:tcPr>
            <w:tcW w:w="2448" w:type="dxa"/>
          </w:tcPr>
          <w:p w14:paraId="0B30395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Gold tags, accepted corrections, held-out evals, policy corpus, metadata.</w:t>
            </w:r>
          </w:p>
        </w:tc>
        <w:tc>
          <w:tcPr>
            <w:tcW w:w="2592" w:type="dxa"/>
          </w:tcPr>
          <w:p w14:paraId="5414EA5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Model bake-off, tuning lift report, MRM evidence, deployment candidate.</w:t>
            </w:r>
          </w:p>
        </w:tc>
      </w:tr>
      <w:tr w:rsidR="002D7CB0" w14:paraId="01E200A7" w14:textId="77777777">
        <w:trPr>
          <w:jc w:val="center"/>
        </w:trPr>
        <w:tc>
          <w:tcPr>
            <w:tcW w:w="864" w:type="dxa"/>
          </w:tcPr>
          <w:p w14:paraId="583C82E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v2.0</w:t>
            </w:r>
          </w:p>
        </w:tc>
        <w:tc>
          <w:tcPr>
            <w:tcW w:w="1944" w:type="dxa"/>
          </w:tcPr>
          <w:p w14:paraId="2475B37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Tuned RCO-Assistive LLM</w:t>
            </w:r>
          </w:p>
        </w:tc>
        <w:tc>
          <w:tcPr>
            <w:tcW w:w="3312" w:type="dxa"/>
          </w:tcPr>
          <w:p w14:paraId="5272281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Tuned open-weight LLM performs memo review, completeness scoring, underwriting strength scoring, cited feedback, and structure enhancement suggestions.</w:t>
            </w:r>
          </w:p>
        </w:tc>
        <w:tc>
          <w:tcPr>
            <w:tcW w:w="2376" w:type="dxa"/>
          </w:tcPr>
          <w:p w14:paraId="0078774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Self-hosted tuned open-weight model with governed serving path.</w:t>
            </w:r>
          </w:p>
        </w:tc>
        <w:tc>
          <w:tcPr>
            <w:tcW w:w="2448" w:type="dxa"/>
          </w:tcPr>
          <w:p w14:paraId="2884F43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Full tagged corpus, eval set, policy corpus, monitoring telemetry.</w:t>
            </w:r>
          </w:p>
        </w:tc>
        <w:tc>
          <w:tcPr>
            <w:tcW w:w="2592" w:type="dxa"/>
          </w:tcPr>
          <w:p w14:paraId="0F9929B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4"/>
              </w:rPr>
              <w:t>Controlled deployment for RCO-assistive review, monitoring, and retraining governance.</w:t>
            </w:r>
          </w:p>
        </w:tc>
      </w:tr>
    </w:tbl>
    <w:p w14:paraId="563FB41C" w14:textId="77777777" w:rsidR="002D7CB0" w:rsidRDefault="002D7CB0">
      <w:pPr>
        <w:rPr>
          <w:rFonts w:hint="eastAsia"/>
        </w:rPr>
      </w:pPr>
    </w:p>
    <w:p w14:paraId="64ED8986" w14:textId="77777777" w:rsidR="002D7CB0" w:rsidRDefault="00000000">
      <w:pPr>
        <w:pStyle w:val="Heading1"/>
      </w:pPr>
      <w:r>
        <w:t>4. Version-by-Version Implementation Detail</w:t>
      </w:r>
    </w:p>
    <w:p w14:paraId="07C1CFB2" w14:textId="77777777" w:rsidR="002D7CB0" w:rsidRDefault="00000000">
      <w:pPr>
        <w:pStyle w:val="Heading2"/>
      </w:pPr>
      <w:r>
        <w:t>v0.1: Prompt Harness Memo Review</w:t>
      </w:r>
    </w:p>
    <w:p w14:paraId="3149965D" w14:textId="77777777" w:rsidR="002D7CB0" w:rsidRDefault="00000000">
      <w:pPr>
        <w:pStyle w:val="ListBullet"/>
        <w:spacing w:after="40"/>
        <w:rPr>
          <w:rFonts w:hint="eastAsia"/>
        </w:rPr>
      </w:pPr>
      <w:r>
        <w:t>Goal: build the fastest useful memo review capability with no fine-tuning dependency.</w:t>
      </w:r>
    </w:p>
    <w:p w14:paraId="6F1A3830" w14:textId="77777777" w:rsidR="002D7CB0" w:rsidRDefault="00000000">
      <w:pPr>
        <w:pStyle w:val="ListBullet"/>
        <w:spacing w:after="40"/>
        <w:rPr>
          <w:rFonts w:hint="eastAsia"/>
        </w:rPr>
      </w:pPr>
      <w:r>
        <w:t>User workflow: RCO or credit user uploads/pastes a memo, selects memo type, and receives section-completeness review plus a short summary.</w:t>
      </w:r>
    </w:p>
    <w:p w14:paraId="5BEA7170" w14:textId="77777777" w:rsidR="002D7CB0" w:rsidRDefault="00000000">
      <w:pPr>
        <w:pStyle w:val="ListBullet"/>
        <w:spacing w:after="40"/>
        <w:rPr>
          <w:rFonts w:hint="eastAsia"/>
        </w:rPr>
      </w:pPr>
      <w:r>
        <w:t>Prompt harness: system prompt sets RCO-assistive role, forbids approval/decline/rating language, requires insufficient-information statements, and uses a memo-type checklist.</w:t>
      </w:r>
    </w:p>
    <w:p w14:paraId="4C0EB406" w14:textId="77777777" w:rsidR="002D7CB0" w:rsidRDefault="00000000">
      <w:pPr>
        <w:pStyle w:val="ListBullet"/>
        <w:spacing w:after="40"/>
        <w:rPr>
          <w:rFonts w:hint="eastAsia"/>
        </w:rPr>
      </w:pPr>
      <w:r>
        <w:t>Output: required sections present/missing/incomplete, issue severity, concise memo summary, and recommended follow-up questions.</w:t>
      </w:r>
    </w:p>
    <w:p w14:paraId="6B1D17F4" w14:textId="77777777" w:rsidR="002D7CB0" w:rsidRDefault="00000000">
      <w:pPr>
        <w:pStyle w:val="ListBullet"/>
        <w:spacing w:after="40"/>
        <w:rPr>
          <w:rFonts w:hint="eastAsia"/>
        </w:rPr>
      </w:pPr>
      <w:r>
        <w:t>Gate: continue if RCO users agree the review catches obvious gaps and saves review time.</w:t>
      </w:r>
    </w:p>
    <w:p w14:paraId="562CDA4F" w14:textId="77777777" w:rsidR="002D7CB0" w:rsidRDefault="00000000">
      <w:pPr>
        <w:pStyle w:val="Heading2"/>
      </w:pPr>
      <w:r>
        <w:t>v0.2: Cited Structured Review</w:t>
      </w:r>
    </w:p>
    <w:p w14:paraId="11BFED7B" w14:textId="77777777" w:rsidR="002D7CB0" w:rsidRDefault="00000000">
      <w:pPr>
        <w:pStyle w:val="ListBullet"/>
        <w:spacing w:after="40"/>
        <w:rPr>
          <w:rFonts w:hint="eastAsia"/>
        </w:rPr>
      </w:pPr>
      <w:r>
        <w:t>Goal: make v0.1 outputs auditable and easier to evaluate.</w:t>
      </w:r>
    </w:p>
    <w:p w14:paraId="0B0646ED" w14:textId="77777777" w:rsidR="002D7CB0" w:rsidRDefault="00000000">
      <w:pPr>
        <w:pStyle w:val="ListBullet"/>
        <w:spacing w:after="40"/>
        <w:rPr>
          <w:rFonts w:hint="eastAsia"/>
        </w:rPr>
      </w:pPr>
      <w:r>
        <w:t>Add structured output with stable fields, confidence, severity, and citation references.</w:t>
      </w:r>
    </w:p>
    <w:p w14:paraId="0ADBB144" w14:textId="77777777" w:rsidR="002D7CB0" w:rsidRDefault="00000000">
      <w:pPr>
        <w:pStyle w:val="ListBullet"/>
        <w:spacing w:after="40"/>
        <w:rPr>
          <w:rFonts w:hint="eastAsia"/>
        </w:rPr>
      </w:pPr>
      <w:r>
        <w:t>Add policy-aware prompts using approved policy excerpts or retrieval where available.</w:t>
      </w:r>
    </w:p>
    <w:p w14:paraId="292C35E7" w14:textId="77777777" w:rsidR="002D7CB0" w:rsidRDefault="00000000">
      <w:pPr>
        <w:pStyle w:val="ListBullet"/>
        <w:spacing w:after="40"/>
        <w:rPr>
          <w:rFonts w:hint="eastAsia"/>
        </w:rPr>
      </w:pPr>
      <w:r>
        <w:t>Measure citation accuracy, unsupported-finding rate, and missed-section rate.</w:t>
      </w:r>
    </w:p>
    <w:p w14:paraId="201C9B3D" w14:textId="77777777" w:rsidR="002D7CB0" w:rsidRDefault="00000000">
      <w:pPr>
        <w:pStyle w:val="ListBullet"/>
        <w:spacing w:after="40"/>
        <w:rPr>
          <w:rFonts w:hint="eastAsia"/>
        </w:rPr>
      </w:pPr>
      <w:r>
        <w:t>Gate: proceed only if outputs are consistently structured and materially cited.</w:t>
      </w:r>
    </w:p>
    <w:p w14:paraId="047C2F1B" w14:textId="77777777" w:rsidR="002D7CB0" w:rsidRDefault="00000000">
      <w:pPr>
        <w:pStyle w:val="Heading2"/>
      </w:pPr>
      <w:r>
        <w:t>v0.3: Human Tagging Launch</w:t>
      </w:r>
    </w:p>
    <w:p w14:paraId="2B27DE46" w14:textId="77777777" w:rsidR="002D7CB0" w:rsidRDefault="00000000">
      <w:pPr>
        <w:pStyle w:val="ListBullet"/>
        <w:spacing w:after="40"/>
        <w:rPr>
          <w:rFonts w:hint="eastAsia"/>
        </w:rPr>
      </w:pPr>
      <w:r>
        <w:t>Goal: begin building the proprietary data asset while the prompt harness matures.</w:t>
      </w:r>
    </w:p>
    <w:p w14:paraId="3386F780" w14:textId="77777777" w:rsidR="002D7CB0" w:rsidRDefault="00000000">
      <w:pPr>
        <w:pStyle w:val="ListBullet"/>
        <w:spacing w:after="40"/>
        <w:rPr>
          <w:rFonts w:hint="eastAsia"/>
        </w:rPr>
      </w:pPr>
      <w:r>
        <w:t>Use the tagging blueprint to capture what an experienced credit officer sees in a memo: strengths, weaknesses, repayment logic, structure fit, policy exceptions, and missing evidence.</w:t>
      </w:r>
    </w:p>
    <w:p w14:paraId="5BD1BBB2" w14:textId="77777777" w:rsidR="002D7CB0" w:rsidRDefault="00000000">
      <w:pPr>
        <w:pStyle w:val="ListBullet"/>
        <w:spacing w:after="40"/>
        <w:rPr>
          <w:rFonts w:hint="eastAsia"/>
        </w:rPr>
      </w:pPr>
      <w:r>
        <w:t>Start with 10-20 calibration memos, then 50-100 dual-reviewed examples.</w:t>
      </w:r>
    </w:p>
    <w:p w14:paraId="181A7F79" w14:textId="77777777" w:rsidR="002D7CB0" w:rsidRDefault="00000000">
      <w:pPr>
        <w:pStyle w:val="ListBullet"/>
        <w:spacing w:after="40"/>
        <w:rPr>
          <w:rFonts w:hint="eastAsia"/>
        </w:rPr>
      </w:pPr>
      <w:r>
        <w:t>Separate extraction tags from judgment tags and future outcome tags.</w:t>
      </w:r>
    </w:p>
    <w:p w14:paraId="4B98F656" w14:textId="77777777" w:rsidR="002D7CB0" w:rsidRDefault="00000000">
      <w:pPr>
        <w:pStyle w:val="ListBullet"/>
        <w:spacing w:after="40"/>
        <w:rPr>
          <w:rFonts w:hint="eastAsia"/>
        </w:rPr>
      </w:pPr>
      <w:r>
        <w:t>Gate: expand tagging only after disagreement patterns are understood and instructions are revised.</w:t>
      </w:r>
    </w:p>
    <w:p w14:paraId="462F0F9E" w14:textId="77777777" w:rsidR="002D7CB0" w:rsidRDefault="00000000">
      <w:pPr>
        <w:pStyle w:val="Heading2"/>
      </w:pPr>
      <w:r>
        <w:lastRenderedPageBreak/>
        <w:t>v0.5: Controlled MVP Workflow</w:t>
      </w:r>
    </w:p>
    <w:p w14:paraId="1676FA17" w14:textId="77777777" w:rsidR="002D7CB0" w:rsidRDefault="00000000">
      <w:pPr>
        <w:pStyle w:val="ListBullet"/>
        <w:spacing w:after="40"/>
        <w:rPr>
          <w:rFonts w:hint="eastAsia"/>
        </w:rPr>
      </w:pPr>
      <w:r>
        <w:t>Goal: create a controlled MVP workflow that connects memo review, feedback, and tagging operations.</w:t>
      </w:r>
    </w:p>
    <w:p w14:paraId="6D650817" w14:textId="77777777" w:rsidR="002D7CB0" w:rsidRDefault="00000000">
      <w:pPr>
        <w:pStyle w:val="ListBullet"/>
        <w:spacing w:after="40"/>
        <w:rPr>
          <w:rFonts w:hint="eastAsia"/>
        </w:rPr>
      </w:pPr>
      <w:r>
        <w:t>Use hosted Streamlit or comparable internal UI if appropriate; AWS handles approved LLM endpoint or baseline model calls.</w:t>
      </w:r>
    </w:p>
    <w:p w14:paraId="57F43BFC" w14:textId="77777777" w:rsidR="002D7CB0" w:rsidRDefault="00000000">
      <w:pPr>
        <w:pStyle w:val="ListBullet"/>
        <w:spacing w:after="40"/>
        <w:rPr>
          <w:rFonts w:hint="eastAsia"/>
        </w:rPr>
      </w:pPr>
      <w:r>
        <w:t>Capture prompt version, model version, memo version, user feedback, accepted/rejected findings, and tag updates.</w:t>
      </w:r>
    </w:p>
    <w:p w14:paraId="4FAE2676" w14:textId="77777777" w:rsidR="002D7CB0" w:rsidRDefault="00000000">
      <w:pPr>
        <w:pStyle w:val="ListBullet"/>
        <w:spacing w:after="40"/>
        <w:rPr>
          <w:rFonts w:hint="eastAsia"/>
        </w:rPr>
      </w:pPr>
      <w:r>
        <w:t>Route feedback to a tagging/adjudication queue rather than training directly from user edits.</w:t>
      </w:r>
    </w:p>
    <w:p w14:paraId="670656A1" w14:textId="77777777" w:rsidR="002D7CB0" w:rsidRDefault="00000000">
      <w:pPr>
        <w:pStyle w:val="ListBullet"/>
        <w:spacing w:after="40"/>
        <w:rPr>
          <w:rFonts w:hint="eastAsia"/>
        </w:rPr>
      </w:pPr>
      <w:r>
        <w:t>Gate: RCO users report time savings and outputs remain within use limits.</w:t>
      </w:r>
    </w:p>
    <w:p w14:paraId="79364F8D" w14:textId="77777777" w:rsidR="002D7CB0" w:rsidRDefault="00000000">
      <w:pPr>
        <w:pStyle w:val="Heading2"/>
      </w:pPr>
      <w:r>
        <w:t>v0.7: Gold-Standard Dataset</w:t>
      </w:r>
    </w:p>
    <w:p w14:paraId="3396D819" w14:textId="77777777" w:rsidR="002D7CB0" w:rsidRDefault="00000000">
      <w:pPr>
        <w:pStyle w:val="ListBullet"/>
        <w:spacing w:after="40"/>
        <w:rPr>
          <w:rFonts w:hint="eastAsia"/>
        </w:rPr>
      </w:pPr>
      <w:r>
        <w:t>Goal: create a gold-standard evaluation and training foundation.</w:t>
      </w:r>
    </w:p>
    <w:p w14:paraId="3CED04EF" w14:textId="77777777" w:rsidR="002D7CB0" w:rsidRDefault="00000000">
      <w:pPr>
        <w:pStyle w:val="ListBullet"/>
        <w:spacing w:after="40"/>
        <w:rPr>
          <w:rFonts w:hint="eastAsia"/>
        </w:rPr>
      </w:pPr>
      <w:r>
        <w:t>Dual-review and adjudicate high-value examples across memo quality, facility type, borrower profile, risk profile, and known performance.</w:t>
      </w:r>
    </w:p>
    <w:p w14:paraId="6BE31419" w14:textId="77777777" w:rsidR="002D7CB0" w:rsidRDefault="00000000">
      <w:pPr>
        <w:pStyle w:val="ListBullet"/>
        <w:spacing w:after="40"/>
        <w:rPr>
          <w:rFonts w:hint="eastAsia"/>
        </w:rPr>
      </w:pPr>
      <w:r>
        <w:t>Create locked test sets by borrower/relationship to prevent leakage.</w:t>
      </w:r>
    </w:p>
    <w:p w14:paraId="0186E3AB" w14:textId="77777777" w:rsidR="002D7CB0" w:rsidRDefault="00000000">
      <w:pPr>
        <w:pStyle w:val="ListBullet"/>
        <w:spacing w:after="40"/>
        <w:rPr>
          <w:rFonts w:hint="eastAsia"/>
        </w:rPr>
      </w:pPr>
      <w:r>
        <w:t>Include challenge cases: polished weak credits, messy strong credits, missing financial analysis, weak collateral, covenant gaps, unsupported add-backs, and policy exceptions.</w:t>
      </w:r>
    </w:p>
    <w:p w14:paraId="2ED8CFD8" w14:textId="77777777" w:rsidR="002D7CB0" w:rsidRDefault="00000000">
      <w:pPr>
        <w:pStyle w:val="ListBullet"/>
        <w:spacing w:after="40"/>
        <w:rPr>
          <w:rFonts w:hint="eastAsia"/>
        </w:rPr>
      </w:pPr>
      <w:r>
        <w:t>Gate: no automated tagging scale-up or fine-tuning until gold-set quality is accepted.</w:t>
      </w:r>
    </w:p>
    <w:p w14:paraId="4EAA5834" w14:textId="77777777" w:rsidR="002D7CB0" w:rsidRDefault="00000000">
      <w:pPr>
        <w:pStyle w:val="Heading2"/>
      </w:pPr>
      <w:r>
        <w:t>v1.0: Automated Tagging Platform</w:t>
      </w:r>
    </w:p>
    <w:p w14:paraId="780693D9" w14:textId="77777777" w:rsidR="002D7CB0" w:rsidRDefault="00000000">
      <w:pPr>
        <w:pStyle w:val="ListBullet"/>
        <w:spacing w:after="40"/>
        <w:rPr>
          <w:rFonts w:hint="eastAsia"/>
        </w:rPr>
      </w:pPr>
      <w:r>
        <w:t>Goal: build an automated tagging platform using lessons from human-reviewed memos.</w:t>
      </w:r>
    </w:p>
    <w:p w14:paraId="2F62E2F8" w14:textId="77777777" w:rsidR="002D7CB0" w:rsidRDefault="00000000">
      <w:pPr>
        <w:pStyle w:val="ListBullet"/>
        <w:spacing w:after="40"/>
        <w:rPr>
          <w:rFonts w:hint="eastAsia"/>
        </w:rPr>
      </w:pPr>
      <w:r>
        <w:t>Use LLM-assisted draft tags with human review, field-level confidence, correction reasons, and adjudication status.</w:t>
      </w:r>
    </w:p>
    <w:p w14:paraId="7FAA16BC" w14:textId="77777777" w:rsidR="002D7CB0" w:rsidRDefault="00000000">
      <w:pPr>
        <w:pStyle w:val="ListBullet"/>
        <w:spacing w:after="40"/>
        <w:rPr>
          <w:rFonts w:hint="eastAsia"/>
        </w:rPr>
      </w:pPr>
      <w:r>
        <w:t>Prioritize tags that are high signal for RCO judgment and repeatable enough for model training.</w:t>
      </w:r>
    </w:p>
    <w:p w14:paraId="3B3737E9" w14:textId="77777777" w:rsidR="002D7CB0" w:rsidRDefault="00000000">
      <w:pPr>
        <w:pStyle w:val="ListBullet"/>
        <w:spacing w:after="40"/>
        <w:rPr>
          <w:rFonts w:hint="eastAsia"/>
        </w:rPr>
      </w:pPr>
      <w:r>
        <w:t>Maintain full data lineage: memo ID, document version, evidence span, reviewer, adjudicator, prompt/model version, and outcome source.</w:t>
      </w:r>
    </w:p>
    <w:p w14:paraId="5068CB2C" w14:textId="77777777" w:rsidR="002D7CB0" w:rsidRDefault="00000000">
      <w:pPr>
        <w:pStyle w:val="ListBullet"/>
        <w:spacing w:after="40"/>
        <w:rPr>
          <w:rFonts w:hint="eastAsia"/>
        </w:rPr>
      </w:pPr>
      <w:r>
        <w:t>Gate: automated tagging scales only if acceptance rate, correction rate, and citation quality meet thresholds.</w:t>
      </w:r>
    </w:p>
    <w:p w14:paraId="5F47358B" w14:textId="77777777" w:rsidR="002D7CB0" w:rsidRDefault="00000000">
      <w:pPr>
        <w:pStyle w:val="Heading2"/>
      </w:pPr>
      <w:r>
        <w:t>v1.5: Open-Weight Model Training</w:t>
      </w:r>
    </w:p>
    <w:p w14:paraId="49DDF82D" w14:textId="77777777" w:rsidR="002D7CB0" w:rsidRDefault="00000000">
      <w:pPr>
        <w:pStyle w:val="ListBullet"/>
        <w:spacing w:after="40"/>
        <w:rPr>
          <w:rFonts w:hint="eastAsia"/>
        </w:rPr>
      </w:pPr>
      <w:r>
        <w:t>Goal: train and evaluate open-weight model candidates using curated tags.</w:t>
      </w:r>
    </w:p>
    <w:p w14:paraId="6386B8A7" w14:textId="77777777" w:rsidR="002D7CB0" w:rsidRDefault="00000000">
      <w:pPr>
        <w:pStyle w:val="ListBullet"/>
        <w:spacing w:after="40"/>
        <w:rPr>
          <w:rFonts w:hint="eastAsia"/>
        </w:rPr>
      </w:pPr>
      <w:r>
        <w:t>Evaluate Llama-family and approved alternatives such as Gemma based on license, self-hosting, context window, trainability, structured output, cost, latency, and RCO usefulness.</w:t>
      </w:r>
    </w:p>
    <w:p w14:paraId="4266C47F" w14:textId="77777777" w:rsidR="002D7CB0" w:rsidRDefault="00000000">
      <w:pPr>
        <w:pStyle w:val="ListBullet"/>
        <w:spacing w:after="40"/>
        <w:rPr>
          <w:rFonts w:hint="eastAsia"/>
        </w:rPr>
      </w:pPr>
      <w:r>
        <w:t>Use SFT and LoRA/QLoRA first; keep RAG for current policy and version-sensitive knowledge.</w:t>
      </w:r>
    </w:p>
    <w:p w14:paraId="7B8D1034" w14:textId="77777777" w:rsidR="002D7CB0" w:rsidRDefault="00000000">
      <w:pPr>
        <w:pStyle w:val="ListBullet"/>
        <w:spacing w:after="40"/>
        <w:rPr>
          <w:rFonts w:hint="eastAsia"/>
        </w:rPr>
      </w:pPr>
      <w:r>
        <w:t>Compare tuned candidates against prompt-only and RAG baselines on locked evals.</w:t>
      </w:r>
    </w:p>
    <w:p w14:paraId="6DB39373" w14:textId="77777777" w:rsidR="002D7CB0" w:rsidRDefault="00000000">
      <w:pPr>
        <w:pStyle w:val="ListBullet"/>
        <w:spacing w:after="40"/>
        <w:rPr>
          <w:rFonts w:hint="eastAsia"/>
        </w:rPr>
      </w:pPr>
      <w:r>
        <w:t>Gate: move forward only if tuning produces material lift and MRM/security controls are accepted.</w:t>
      </w:r>
    </w:p>
    <w:p w14:paraId="1D2C86A9" w14:textId="77777777" w:rsidR="002D7CB0" w:rsidRDefault="00000000">
      <w:pPr>
        <w:pStyle w:val="Heading2"/>
      </w:pPr>
      <w:r>
        <w:t>v2.0: Tuned RCO-Assistive LLM</w:t>
      </w:r>
    </w:p>
    <w:p w14:paraId="5036B9D1" w14:textId="77777777" w:rsidR="002D7CB0" w:rsidRDefault="00000000">
      <w:pPr>
        <w:pStyle w:val="ListBullet"/>
        <w:spacing w:after="40"/>
        <w:rPr>
          <w:rFonts w:hint="eastAsia"/>
        </w:rPr>
      </w:pPr>
      <w:r>
        <w:t>Goal: deploy tuned open-weight RCO-assistive model for controlled credit memo review.</w:t>
      </w:r>
    </w:p>
    <w:p w14:paraId="5E835826" w14:textId="77777777" w:rsidR="002D7CB0" w:rsidRDefault="00000000">
      <w:pPr>
        <w:pStyle w:val="ListBullet"/>
        <w:spacing w:after="40"/>
        <w:rPr>
          <w:rFonts w:hint="eastAsia"/>
        </w:rPr>
      </w:pPr>
      <w:r>
        <w:t>Core outputs: completeness review, memo summary, completeness score, underwriting strength score, cited issues, follow-up questions, and structure enhancement suggestions.</w:t>
      </w:r>
    </w:p>
    <w:p w14:paraId="6FD97FBF" w14:textId="77777777" w:rsidR="002D7CB0" w:rsidRDefault="00000000">
      <w:pPr>
        <w:pStyle w:val="ListBullet"/>
        <w:spacing w:after="40"/>
        <w:rPr>
          <w:rFonts w:hint="eastAsia"/>
        </w:rPr>
      </w:pPr>
      <w:r>
        <w:t>Operational controls: SSO, RBAC, private networking, encryption, audit logs, prompt/model registry, monitoring, issue escalation, and rollback.</w:t>
      </w:r>
    </w:p>
    <w:p w14:paraId="0606A958" w14:textId="77777777" w:rsidR="002D7CB0" w:rsidRDefault="00000000">
      <w:pPr>
        <w:pStyle w:val="ListBullet"/>
        <w:spacing w:after="40"/>
        <w:rPr>
          <w:rFonts w:hint="eastAsia"/>
        </w:rPr>
      </w:pPr>
      <w:r>
        <w:t>Monitoring: score drift, citation quality, unsupported findings, RCO acceptance/rejection, harmful output rate, and retraining triggers.</w:t>
      </w:r>
    </w:p>
    <w:p w14:paraId="489B3843" w14:textId="77777777" w:rsidR="002D7CB0" w:rsidRDefault="00000000">
      <w:pPr>
        <w:pStyle w:val="ListBullet"/>
        <w:spacing w:after="40"/>
        <w:rPr>
          <w:rFonts w:hint="eastAsia"/>
        </w:rPr>
      </w:pPr>
      <w:r>
        <w:t>Gate: controlled deployment only after pilot value, validation evidence, governance approval, and support model are in place.</w:t>
      </w:r>
    </w:p>
    <w:p w14:paraId="05CA2B06" w14:textId="77777777" w:rsidR="002D7CB0" w:rsidRDefault="00000000">
      <w:pPr>
        <w:pStyle w:val="Heading1"/>
      </w:pPr>
      <w:r>
        <w:t>5. AWS-First Platform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4818"/>
        <w:gridCol w:w="4111"/>
      </w:tblGrid>
      <w:tr w:rsidR="002D7CB0" w14:paraId="37854AC1" w14:textId="77777777">
        <w:trPr>
          <w:jc w:val="center"/>
        </w:trPr>
        <w:tc>
          <w:tcPr>
            <w:tcW w:w="2016" w:type="dxa"/>
            <w:shd w:val="clear" w:color="auto" w:fill="173B57"/>
          </w:tcPr>
          <w:p w14:paraId="37E1400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5040" w:type="dxa"/>
            <w:shd w:val="clear" w:color="auto" w:fill="173B57"/>
          </w:tcPr>
          <w:p w14:paraId="57610A0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Default Direction</w:t>
            </w:r>
          </w:p>
        </w:tc>
        <w:tc>
          <w:tcPr>
            <w:tcW w:w="4320" w:type="dxa"/>
            <w:shd w:val="clear" w:color="auto" w:fill="173B57"/>
          </w:tcPr>
          <w:p w14:paraId="40CA9A1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 Point</w:t>
            </w:r>
          </w:p>
        </w:tc>
      </w:tr>
      <w:tr w:rsidR="002D7CB0" w14:paraId="67E5DDA6" w14:textId="77777777">
        <w:trPr>
          <w:jc w:val="center"/>
        </w:trPr>
        <w:tc>
          <w:tcPr>
            <w:tcW w:w="2016" w:type="dxa"/>
          </w:tcPr>
          <w:p w14:paraId="0F919A0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Prompt harness</w:t>
            </w:r>
          </w:p>
        </w:tc>
        <w:tc>
          <w:tcPr>
            <w:tcW w:w="5040" w:type="dxa"/>
          </w:tcPr>
          <w:p w14:paraId="5FCE655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Hosted internal app or Streamlit prototype calling approved LLM endpoints.</w:t>
            </w:r>
          </w:p>
        </w:tc>
        <w:tc>
          <w:tcPr>
            <w:tcW w:w="4320" w:type="dxa"/>
          </w:tcPr>
          <w:p w14:paraId="0C139FCB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Can confidential memo data be processed by hosted models, or must all tests use bank-controlled endpoints?</w:t>
            </w:r>
          </w:p>
        </w:tc>
      </w:tr>
      <w:tr w:rsidR="002D7CB0" w14:paraId="18539CBA" w14:textId="77777777">
        <w:trPr>
          <w:jc w:val="center"/>
        </w:trPr>
        <w:tc>
          <w:tcPr>
            <w:tcW w:w="2016" w:type="dxa"/>
          </w:tcPr>
          <w:p w14:paraId="78751E4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Model hosting</w:t>
            </w:r>
          </w:p>
        </w:tc>
        <w:tc>
          <w:tcPr>
            <w:tcW w:w="5040" w:type="dxa"/>
          </w:tcPr>
          <w:p w14:paraId="4017054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SageMaker JumpStart/SageMaker endpoints for open-weight model candidates where available.</w:t>
            </w:r>
          </w:p>
        </w:tc>
        <w:tc>
          <w:tcPr>
            <w:tcW w:w="4320" w:type="dxa"/>
          </w:tcPr>
          <w:p w14:paraId="4E33125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Which model family wins on license, context, cost, latency, and RCO eval performance?</w:t>
            </w:r>
          </w:p>
        </w:tc>
      </w:tr>
      <w:tr w:rsidR="002D7CB0" w14:paraId="7B2C609A" w14:textId="77777777">
        <w:trPr>
          <w:jc w:val="center"/>
        </w:trPr>
        <w:tc>
          <w:tcPr>
            <w:tcW w:w="2016" w:type="dxa"/>
          </w:tcPr>
          <w:p w14:paraId="5AB04E7B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Fine-tuning</w:t>
            </w:r>
          </w:p>
        </w:tc>
        <w:tc>
          <w:tcPr>
            <w:tcW w:w="5040" w:type="dxa"/>
          </w:tcPr>
          <w:p w14:paraId="38BFA66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SageMaker training jobs or approved custom containers for SFT/LoRA/QLoRA.</w:t>
            </w:r>
          </w:p>
        </w:tc>
        <w:tc>
          <w:tcPr>
            <w:tcW w:w="4320" w:type="dxa"/>
          </w:tcPr>
          <w:p w14:paraId="2B5F1EC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Does tuning beat prompt/RAG baselines enough to justify model risk and operating cost?</w:t>
            </w:r>
          </w:p>
        </w:tc>
      </w:tr>
      <w:tr w:rsidR="002D7CB0" w14:paraId="74C07D4F" w14:textId="77777777">
        <w:trPr>
          <w:jc w:val="center"/>
        </w:trPr>
        <w:tc>
          <w:tcPr>
            <w:tcW w:w="2016" w:type="dxa"/>
          </w:tcPr>
          <w:p w14:paraId="7082E98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Data store</w:t>
            </w:r>
          </w:p>
        </w:tc>
        <w:tc>
          <w:tcPr>
            <w:tcW w:w="5040" w:type="dxa"/>
          </w:tcPr>
          <w:p w14:paraId="6944F9EA" w14:textId="19C60603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S3</w:t>
            </w:r>
            <w:r w:rsidR="00E85392">
              <w:rPr>
                <w:color w:val="232323"/>
                <w:sz w:val="16"/>
              </w:rPr>
              <w:t>,</w:t>
            </w:r>
            <w:r>
              <w:rPr>
                <w:color w:val="232323"/>
                <w:sz w:val="16"/>
              </w:rPr>
              <w:t>lineage metadata, and approved retention rules.</w:t>
            </w:r>
          </w:p>
        </w:tc>
        <w:tc>
          <w:tcPr>
            <w:tcW w:w="4320" w:type="dxa"/>
          </w:tcPr>
          <w:p w14:paraId="1634702F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What document and tag data can be stored, masked, or used for training?</w:t>
            </w:r>
          </w:p>
        </w:tc>
      </w:tr>
      <w:tr w:rsidR="002D7CB0" w14:paraId="36157065" w14:textId="77777777">
        <w:trPr>
          <w:jc w:val="center"/>
        </w:trPr>
        <w:tc>
          <w:tcPr>
            <w:tcW w:w="2016" w:type="dxa"/>
          </w:tcPr>
          <w:p w14:paraId="17942F6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Evaluation</w:t>
            </w:r>
          </w:p>
        </w:tc>
        <w:tc>
          <w:tcPr>
            <w:tcW w:w="5040" w:type="dxa"/>
          </w:tcPr>
          <w:p w14:paraId="2AEBEF1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Locked test sets and repeatable evaluation jobs with versioned prompts/models/data.</w:t>
            </w:r>
          </w:p>
        </w:tc>
        <w:tc>
          <w:tcPr>
            <w:tcW w:w="4320" w:type="dxa"/>
          </w:tcPr>
          <w:p w14:paraId="3841242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What thresholds are required for citation, completeness, score calibration, and harmful output?</w:t>
            </w:r>
          </w:p>
        </w:tc>
      </w:tr>
    </w:tbl>
    <w:p w14:paraId="6F85A64F" w14:textId="77777777" w:rsidR="002D7CB0" w:rsidRDefault="002D7CB0">
      <w:pPr>
        <w:rPr>
          <w:rFonts w:hint="eastAsia"/>
        </w:rPr>
      </w:pPr>
    </w:p>
    <w:p w14:paraId="754A19CF" w14:textId="77777777" w:rsidR="002D7CB0" w:rsidRDefault="00000000">
      <w:pPr>
        <w:pStyle w:val="Heading1"/>
      </w:pPr>
      <w:r>
        <w:t>6. Tagging Strategy</w:t>
      </w:r>
    </w:p>
    <w:p w14:paraId="36CD16CE" w14:textId="77777777" w:rsidR="002D7CB0" w:rsidRDefault="00000000">
      <w:pPr>
        <w:pStyle w:val="ListBullet"/>
        <w:spacing w:after="40"/>
        <w:rPr>
          <w:rFonts w:hint="eastAsia"/>
        </w:rPr>
      </w:pPr>
      <w:r>
        <w:t>Tagging must capture underwriting judgment, not just memo metadata. The highest-value tags are those that explain why an RCO would pause, approve follow-up, require mitigation, or improve deal structure.</w:t>
      </w:r>
    </w:p>
    <w:p w14:paraId="74F0B95F" w14:textId="77777777" w:rsidR="002D7CB0" w:rsidRDefault="00000000">
      <w:pPr>
        <w:pStyle w:val="ListBullet"/>
        <w:spacing w:after="40"/>
        <w:rPr>
          <w:rFonts w:hint="eastAsia"/>
        </w:rPr>
      </w:pPr>
      <w:r>
        <w:t>Human tagging starts broad enough to capture signal but focused enough to avoid reviewer fatigue. Tags should be prioritized by value for future tuning and RCO usefulness.</w:t>
      </w:r>
    </w:p>
    <w:p w14:paraId="520457DD" w14:textId="77777777" w:rsidR="002D7CB0" w:rsidRDefault="00000000">
      <w:pPr>
        <w:pStyle w:val="ListBullet"/>
        <w:spacing w:after="40"/>
        <w:rPr>
          <w:rFonts w:hint="eastAsia"/>
        </w:rPr>
      </w:pPr>
      <w:r>
        <w:t>The automated tagging platform should be built only after human review reveals which tags are reliable, high-signal, and worth scaling.</w:t>
      </w:r>
    </w:p>
    <w:p w14:paraId="0BAB97EC" w14:textId="77777777" w:rsidR="002D7CB0" w:rsidRDefault="00000000">
      <w:pPr>
        <w:pStyle w:val="ListBullet"/>
        <w:spacing w:after="40"/>
        <w:rPr>
          <w:rFonts w:hint="eastAsia"/>
        </w:rPr>
      </w:pPr>
      <w:r>
        <w:t>Outcome tags should be separated from as-of memo analysis to avoid hindsight leakage. Outcome-aware labels are useful, but only when the task is explicitly outcome-aware.</w:t>
      </w:r>
    </w:p>
    <w:p w14:paraId="50EFFC05" w14:textId="77777777" w:rsidR="002D7CB0" w:rsidRDefault="00000000">
      <w:pPr>
        <w:pStyle w:val="Heading1"/>
      </w:pPr>
      <w:r>
        <w:t>7. Governance, Controls, and Human Decisioning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352"/>
      </w:tblGrid>
      <w:tr w:rsidR="002D7CB0" w14:paraId="4BCF2370" w14:textId="77777777">
        <w:trPr>
          <w:jc w:val="center"/>
        </w:trPr>
        <w:tc>
          <w:tcPr>
            <w:tcW w:w="2448" w:type="dxa"/>
            <w:shd w:val="clear" w:color="auto" w:fill="173B57"/>
          </w:tcPr>
          <w:p w14:paraId="21A42A0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Control Area</w:t>
            </w:r>
          </w:p>
        </w:tc>
        <w:tc>
          <w:tcPr>
            <w:tcW w:w="8352" w:type="dxa"/>
            <w:shd w:val="clear" w:color="auto" w:fill="173B57"/>
          </w:tcPr>
          <w:p w14:paraId="31EC283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2D7CB0" w14:paraId="35555A1C" w14:textId="77777777">
        <w:trPr>
          <w:jc w:val="center"/>
        </w:trPr>
        <w:tc>
          <w:tcPr>
            <w:tcW w:w="2448" w:type="dxa"/>
          </w:tcPr>
          <w:p w14:paraId="648F63A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Use limits</w:t>
            </w:r>
          </w:p>
        </w:tc>
        <w:tc>
          <w:tcPr>
            <w:tcW w:w="8352" w:type="dxa"/>
          </w:tcPr>
          <w:p w14:paraId="6BEE704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Outputs are assistive and non-binding; no approval, decline, pricing, official risk rating, or waiver authority.</w:t>
            </w:r>
          </w:p>
        </w:tc>
      </w:tr>
      <w:tr w:rsidR="002D7CB0" w14:paraId="0A80435C" w14:textId="77777777">
        <w:trPr>
          <w:jc w:val="center"/>
        </w:trPr>
        <w:tc>
          <w:tcPr>
            <w:tcW w:w="2448" w:type="dxa"/>
          </w:tcPr>
          <w:p w14:paraId="266EBE9D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Auditability</w:t>
            </w:r>
          </w:p>
        </w:tc>
        <w:tc>
          <w:tcPr>
            <w:tcW w:w="8352" w:type="dxa"/>
          </w:tcPr>
          <w:p w14:paraId="019349BB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Every material finding should cite memo span, policy source, missing evidence, or source system.</w:t>
            </w:r>
          </w:p>
        </w:tc>
      </w:tr>
      <w:tr w:rsidR="002D7CB0" w14:paraId="7361654B" w14:textId="77777777">
        <w:trPr>
          <w:jc w:val="center"/>
        </w:trPr>
        <w:tc>
          <w:tcPr>
            <w:tcW w:w="2448" w:type="dxa"/>
          </w:tcPr>
          <w:p w14:paraId="75A4CB4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Model risk</w:t>
            </w:r>
          </w:p>
        </w:tc>
        <w:tc>
          <w:tcPr>
            <w:tcW w:w="8352" w:type="dxa"/>
          </w:tcPr>
          <w:p w14:paraId="4E176A9A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Classify the tool before pilot; update classification before scoring, fine-tuning, or broader deployment.</w:t>
            </w:r>
          </w:p>
        </w:tc>
      </w:tr>
      <w:tr w:rsidR="002D7CB0" w14:paraId="775E55F4" w14:textId="77777777">
        <w:trPr>
          <w:jc w:val="center"/>
        </w:trPr>
        <w:tc>
          <w:tcPr>
            <w:tcW w:w="2448" w:type="dxa"/>
          </w:tcPr>
          <w:p w14:paraId="7A77D5CB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Data lineage</w:t>
            </w:r>
          </w:p>
        </w:tc>
        <w:tc>
          <w:tcPr>
            <w:tcW w:w="8352" w:type="dxa"/>
          </w:tcPr>
          <w:p w14:paraId="6251CE2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Track memo version, policy version, tag version, reviewer, adjudicator, model version, prompt version, and training eligibility.</w:t>
            </w:r>
          </w:p>
        </w:tc>
      </w:tr>
      <w:tr w:rsidR="002D7CB0" w14:paraId="1BD1EC03" w14:textId="77777777">
        <w:trPr>
          <w:jc w:val="center"/>
        </w:trPr>
        <w:tc>
          <w:tcPr>
            <w:tcW w:w="2448" w:type="dxa"/>
          </w:tcPr>
          <w:p w14:paraId="79145CC9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Training data control</w:t>
            </w:r>
          </w:p>
        </w:tc>
        <w:tc>
          <w:tcPr>
            <w:tcW w:w="8352" w:type="dxa"/>
          </w:tcPr>
          <w:p w14:paraId="1D3881A2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Only adjudicated records and approved corrections enter evaluation or tuning datasets.</w:t>
            </w:r>
          </w:p>
        </w:tc>
      </w:tr>
      <w:tr w:rsidR="002D7CB0" w14:paraId="4A028834" w14:textId="77777777">
        <w:trPr>
          <w:jc w:val="center"/>
        </w:trPr>
        <w:tc>
          <w:tcPr>
            <w:tcW w:w="2448" w:type="dxa"/>
          </w:tcPr>
          <w:p w14:paraId="5F57DF7E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RCO feedback</w:t>
            </w:r>
          </w:p>
        </w:tc>
        <w:tc>
          <w:tcPr>
            <w:tcW w:w="8352" w:type="dxa"/>
          </w:tcPr>
          <w:p w14:paraId="4925CBA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Capture accept/reject/edit signals, but route them through review before training use.</w:t>
            </w:r>
          </w:p>
        </w:tc>
      </w:tr>
    </w:tbl>
    <w:p w14:paraId="5E30181E" w14:textId="77777777" w:rsidR="002D7CB0" w:rsidRDefault="002D7CB0">
      <w:pPr>
        <w:rPr>
          <w:rFonts w:hint="eastAsia"/>
        </w:rPr>
      </w:pPr>
    </w:p>
    <w:p w14:paraId="761A1FF2" w14:textId="77777777" w:rsidR="002D7CB0" w:rsidRDefault="00000000">
      <w:pPr>
        <w:pStyle w:val="Heading1"/>
      </w:pPr>
      <w:r>
        <w:t>8.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352"/>
      </w:tblGrid>
      <w:tr w:rsidR="002D7CB0" w14:paraId="4710B053" w14:textId="77777777">
        <w:trPr>
          <w:jc w:val="center"/>
        </w:trPr>
        <w:tc>
          <w:tcPr>
            <w:tcW w:w="2448" w:type="dxa"/>
            <w:shd w:val="clear" w:color="auto" w:fill="173B57"/>
          </w:tcPr>
          <w:p w14:paraId="63487A1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8352" w:type="dxa"/>
            <w:shd w:val="clear" w:color="auto" w:fill="173B57"/>
          </w:tcPr>
          <w:p w14:paraId="6E80322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Metric</w:t>
            </w:r>
          </w:p>
        </w:tc>
      </w:tr>
      <w:tr w:rsidR="002D7CB0" w14:paraId="503E716D" w14:textId="77777777">
        <w:trPr>
          <w:jc w:val="center"/>
        </w:trPr>
        <w:tc>
          <w:tcPr>
            <w:tcW w:w="2448" w:type="dxa"/>
          </w:tcPr>
          <w:p w14:paraId="664935CB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RCO productivity</w:t>
            </w:r>
          </w:p>
        </w:tc>
        <w:tc>
          <w:tcPr>
            <w:tcW w:w="8352" w:type="dxa"/>
          </w:tcPr>
          <w:p w14:paraId="21A19E31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Time saved per memo review; reduction in rework cycles; faster identification of missing evidence.</w:t>
            </w:r>
          </w:p>
        </w:tc>
      </w:tr>
      <w:tr w:rsidR="002D7CB0" w14:paraId="68028A64" w14:textId="77777777">
        <w:trPr>
          <w:jc w:val="center"/>
        </w:trPr>
        <w:tc>
          <w:tcPr>
            <w:tcW w:w="2448" w:type="dxa"/>
          </w:tcPr>
          <w:p w14:paraId="06924236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Review quality</w:t>
            </w:r>
          </w:p>
        </w:tc>
        <w:tc>
          <w:tcPr>
            <w:tcW w:w="8352" w:type="dxa"/>
          </w:tcPr>
          <w:p w14:paraId="3402BC6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Missed-material-weakness rate; unsupported-finding rate; internal consistency detection; policy citation accuracy.</w:t>
            </w:r>
          </w:p>
        </w:tc>
      </w:tr>
      <w:tr w:rsidR="002D7CB0" w14:paraId="2202487D" w14:textId="77777777">
        <w:trPr>
          <w:jc w:val="center"/>
        </w:trPr>
        <w:tc>
          <w:tcPr>
            <w:tcW w:w="2448" w:type="dxa"/>
          </w:tcPr>
          <w:p w14:paraId="44840967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Scoring utility</w:t>
            </w:r>
          </w:p>
        </w:tc>
        <w:tc>
          <w:tcPr>
            <w:tcW w:w="8352" w:type="dxa"/>
          </w:tcPr>
          <w:p w14:paraId="18697D8D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Expert agreement on score bands; score stability; calibration by memo quality and underwriting strength.</w:t>
            </w:r>
          </w:p>
        </w:tc>
      </w:tr>
      <w:tr w:rsidR="002D7CB0" w14:paraId="59E2654B" w14:textId="77777777">
        <w:trPr>
          <w:jc w:val="center"/>
        </w:trPr>
        <w:tc>
          <w:tcPr>
            <w:tcW w:w="2448" w:type="dxa"/>
          </w:tcPr>
          <w:p w14:paraId="4CA3BB13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Tagging quality</w:t>
            </w:r>
          </w:p>
        </w:tc>
        <w:tc>
          <w:tcPr>
            <w:tcW w:w="8352" w:type="dxa"/>
          </w:tcPr>
          <w:p w14:paraId="404CB5AC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Inter-rater agreement, adjudication rate, field-level confidence, evidence completeness, and correction reasons.</w:t>
            </w:r>
          </w:p>
        </w:tc>
      </w:tr>
      <w:tr w:rsidR="002D7CB0" w14:paraId="3DD794F8" w14:textId="77777777">
        <w:trPr>
          <w:jc w:val="center"/>
        </w:trPr>
        <w:tc>
          <w:tcPr>
            <w:tcW w:w="2448" w:type="dxa"/>
          </w:tcPr>
          <w:p w14:paraId="5D54D7F8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Model performance</w:t>
            </w:r>
          </w:p>
        </w:tc>
        <w:tc>
          <w:tcPr>
            <w:tcW w:w="8352" w:type="dxa"/>
          </w:tcPr>
          <w:p w14:paraId="1AEE2A40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Lift over prompt/RAG baseline, structured output validity, citation accuracy, and harmful output rate.</w:t>
            </w:r>
          </w:p>
        </w:tc>
      </w:tr>
      <w:tr w:rsidR="002D7CB0" w14:paraId="116CC18A" w14:textId="77777777">
        <w:trPr>
          <w:jc w:val="center"/>
        </w:trPr>
        <w:tc>
          <w:tcPr>
            <w:tcW w:w="2448" w:type="dxa"/>
          </w:tcPr>
          <w:p w14:paraId="127ABF05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Governance readiness</w:t>
            </w:r>
          </w:p>
        </w:tc>
        <w:tc>
          <w:tcPr>
            <w:tcW w:w="8352" w:type="dxa"/>
          </w:tcPr>
          <w:p w14:paraId="09FEDCE4" w14:textId="77777777" w:rsidR="002D7CB0" w:rsidRDefault="00000000">
            <w:pPr>
              <w:spacing w:after="20"/>
              <w:rPr>
                <w:rFonts w:hint="eastAsia"/>
              </w:rPr>
            </w:pPr>
            <w:r>
              <w:rPr>
                <w:color w:val="232323"/>
                <w:sz w:val="16"/>
              </w:rPr>
              <w:t>Audit logs complete, model registry current, data lineage verified, and MRM sign-offs obtained.</w:t>
            </w:r>
          </w:p>
        </w:tc>
      </w:tr>
    </w:tbl>
    <w:p w14:paraId="14499324" w14:textId="77777777" w:rsidR="002D7CB0" w:rsidRDefault="002D7CB0">
      <w:pPr>
        <w:rPr>
          <w:rFonts w:hint="eastAsia"/>
        </w:rPr>
      </w:pPr>
    </w:p>
    <w:p w14:paraId="659E94E8" w14:textId="77777777" w:rsidR="002D7CB0" w:rsidRDefault="00000000">
      <w:pPr>
        <w:pStyle w:val="Heading1"/>
      </w:pPr>
      <w:r>
        <w:t>9. Senior Credit Officer Review and Revisions Applied</w:t>
      </w:r>
    </w:p>
    <w:p w14:paraId="0FC37767" w14:textId="77777777" w:rsidR="002D7CB0" w:rsidRDefault="00000000">
      <w:pPr>
        <w:pStyle w:val="ListBullet"/>
        <w:spacing w:after="40"/>
        <w:rPr>
          <w:rFonts w:hint="eastAsia"/>
        </w:rPr>
      </w:pPr>
      <w:r>
        <w:t>The roadmap prioritizes speed in v0.1 because an RCO will value immediate memo triage before any long-running tuning effort.</w:t>
      </w:r>
    </w:p>
    <w:p w14:paraId="58C86C34" w14:textId="77777777" w:rsidR="002D7CB0" w:rsidRDefault="00000000">
      <w:pPr>
        <w:pStyle w:val="ListBullet"/>
        <w:spacing w:after="40"/>
        <w:rPr>
          <w:rFonts w:hint="eastAsia"/>
        </w:rPr>
      </w:pPr>
      <w:r>
        <w:t>The tagging blueprint focuses on underwriting judgment, structure fit, missing evidence, and risk mitigants because those are the inputs most likely to make a credit officer faster.</w:t>
      </w:r>
    </w:p>
    <w:p w14:paraId="1BEBF32A" w14:textId="77777777" w:rsidR="002D7CB0" w:rsidRDefault="00000000">
      <w:pPr>
        <w:pStyle w:val="ListBullet"/>
        <w:spacing w:after="40"/>
        <w:rPr>
          <w:rFonts w:hint="eastAsia"/>
        </w:rPr>
      </w:pPr>
      <w:r>
        <w:t>The plan keeps scores advisory, cited, and component-based so they help triage rather than becoming opaque decision substitutes.</w:t>
      </w:r>
    </w:p>
    <w:p w14:paraId="45DC57CB" w14:textId="77777777" w:rsidR="002D7CB0" w:rsidRDefault="00000000">
      <w:pPr>
        <w:pStyle w:val="ListBullet"/>
        <w:spacing w:after="40"/>
        <w:rPr>
          <w:rFonts w:hint="eastAsia"/>
        </w:rPr>
      </w:pPr>
      <w:r>
        <w:t>The automated tagging platform is positioned as a prerequisite to v2.0 because large-scale, consistent, evidence-linked tags are necessary before tuning can credibly outperform prompt-only review.</w:t>
      </w:r>
    </w:p>
    <w:sectPr w:rsidR="002D7CB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742176">
    <w:abstractNumId w:val="8"/>
  </w:num>
  <w:num w:numId="2" w16cid:durableId="1645352251">
    <w:abstractNumId w:val="6"/>
  </w:num>
  <w:num w:numId="3" w16cid:durableId="1486967035">
    <w:abstractNumId w:val="5"/>
  </w:num>
  <w:num w:numId="4" w16cid:durableId="394163834">
    <w:abstractNumId w:val="4"/>
  </w:num>
  <w:num w:numId="5" w16cid:durableId="1533030774">
    <w:abstractNumId w:val="7"/>
  </w:num>
  <w:num w:numId="6" w16cid:durableId="677345415">
    <w:abstractNumId w:val="3"/>
  </w:num>
  <w:num w:numId="7" w16cid:durableId="356736291">
    <w:abstractNumId w:val="2"/>
  </w:num>
  <w:num w:numId="8" w16cid:durableId="2050955281">
    <w:abstractNumId w:val="1"/>
  </w:num>
  <w:num w:numId="9" w16cid:durableId="84240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27"/>
    <w:rsid w:val="0006063C"/>
    <w:rsid w:val="0015074B"/>
    <w:rsid w:val="0029639D"/>
    <w:rsid w:val="002D7CB0"/>
    <w:rsid w:val="00326F90"/>
    <w:rsid w:val="00AA1D8D"/>
    <w:rsid w:val="00B47730"/>
    <w:rsid w:val="00CB0664"/>
    <w:rsid w:val="00D75882"/>
    <w:rsid w:val="00E85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2A11C"/>
  <w14:defaultImageDpi w14:val="300"/>
  <w15:docId w15:val="{93CADD07-BF6F-4F3A-97A0-1979CDDB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B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2019</Words>
  <Characters>11510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Michel</cp:lastModifiedBy>
  <cp:revision>2</cp:revision>
  <dcterms:created xsi:type="dcterms:W3CDTF">2013-12-23T23:15:00Z</dcterms:created>
  <dcterms:modified xsi:type="dcterms:W3CDTF">2026-05-18T18:41:00Z</dcterms:modified>
  <cp:category/>
</cp:coreProperties>
</file>