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Fortress Intelligence — PROD Enhancement Roadmap</w:t>
      </w:r>
    </w:p>
    <w:p>
      <w:pPr>
        <w:spacing w:after="160"/>
      </w:pPr>
      <w:r>
        <w:rPr>
          <w:i/>
          <w:iCs/>
          <w:color w:val="666666"/>
        </w:rPr>
        <w:t xml:space="preserve">Prepared for Bharat Samant | July 7, 2026</w:t>
      </w:r>
    </w:p>
    <w:p>
      <w:pPr>
        <w:spacing w:after="160"/>
      </w:pPr>
      <w:r>
        <w:t xml:space="preserve">Validated across four skills: growth-strategy-advisor, hidden-gem-hunter, design (critique + design-system + ux-copy), and board-of-directors.</w:t>
      </w:r>
    </w:p>
    <w:p>
      <w:pPr>
        <w:pStyle w:val="Heading2"/>
      </w:pPr>
      <w:r>
        <w:t xml:space="preserve">Executive Summary</w:t>
      </w:r>
    </w:p>
    <w:p>
      <w:pPr>
        <w:spacing w:after="160"/>
      </w:pPr>
      <w:r>
        <w:t xml:space="preserve">Fortress Intelligence's brand promise — transparent, explainable stock scoring — is currently ahead of the product. GEM SCORE is technicals-only (no fundamentals), key UI terms (barbell split, drift, GEM SCORE, l1-l6) are unexplained, and a color token is reused for two different meanings. On top of that, project records show conflicting signals about whether the full app is actually live in production or still running on a fallback server. Every skill consulted converged on the same conclusion: close the gap between what the product claims and what it does before adding new features.</w:t>
      </w:r>
    </w:p>
    <w:p>
      <w:pPr>
        <w:pStyle w:val="Heading2"/>
      </w:pPr>
      <w:r>
        <w:t xml:space="preserve">Priority Order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60"/>
      </w:tblGrid>
      <w:tr>
        <w:tc>
          <w:tcPr>
            <w:tcW w:type="dxa" w:w="7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rPr>
              <w:t xml:space="preserve">#</w:t>
            </w:r>
          </w:p>
        </w:tc>
        <w:tc>
          <w:tcPr>
            <w:tcW w:type="dxa" w:w="3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rPr>
              <w:t xml:space="preserve">Enhancement</w:t>
            </w:r>
          </w:p>
        </w:tc>
        <w:tc>
          <w:tcPr>
            <w:tcW w:type="dxa" w:w="52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rPr>
              <w:t xml:space="preserve">Why now / rationale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Verify actual production state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Board of Directors flagged this as a 30-minute check, not a roadmap item — CLAUDE.md has conflicting status entries ("live" vs. "minimal fallback server"). Do this before committing time to anything below.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Finish full Next.js app restoration + close remaining 2/8 security items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Foundation. Nothing else matters if the live site isn't the real app.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Deepen GEM SCORE with fundamentals (P/E, P/B, ROE, FCF, debt)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Hidden-gem-hunter check: technicals-only scoring (MACD/SMA/RSI) can flag momentum on weak businesses. Fundamentals is the differentiated, harder-to-replicate layer — the actual moat, per Naval/Justin.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 jargon gaps in UI copy (barbell split, GEM SCORE, drift, l1-l6)</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Design critique + ux-copy: unexplained finance jargon directly undercuts the "no black-box" brand promise. Cheapest, highest-trust fix available.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 color-token conflict (amber = risk tier AND alert severity)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Design-system audit: will get worse once Phase 3 adds more alert types. One-paragraph rule fixes it now.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3 feedback loop (why users delete strategies)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Cheap to build, generates real usage data to justify what comes next.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Fallback market-data adapter (yfinance → Alpha Vantage/Polygon)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Reliability insurance once the core is stable — good quick win, not urgent.</w:t>
            </w:r>
          </w:p>
        </w:tc>
      </w:tr>
    </w:tbl>
    <w:p>
      <w:pPr>
        <w:pStyle w:val="Heading2"/>
      </w:pPr>
      <w:r>
        <w:t xml:space="preserve">Deferred (until core proves out)</w:t>
      </w:r>
    </w:p>
    <w:p>
      <w:pPr>
        <w:pStyle w:val="ListParagraph"/>
        <w:numPr>
          <w:ilvl w:val="0"/>
          <w:numId w:val="2"/>
        </w:numPr>
        <w:spacing w:after="80"/>
      </w:pPr>
      <w:r>
        <w:t xml:space="preserve">Market expansion — Malaysia / Singapore / Hong Kong</w:t>
      </w:r>
    </w:p>
    <w:p>
      <w:pPr>
        <w:pStyle w:val="ListParagraph"/>
        <w:numPr>
          <w:ilvl w:val="0"/>
          <w:numId w:val="2"/>
        </w:numPr>
        <w:spacing w:after="80"/>
      </w:pPr>
      <w:r>
        <w:t xml:space="preserve">6 trading-signal generators (InvestSkill / NSE toolkit integration)</w:t>
      </w:r>
    </w:p>
    <w:p>
      <w:pPr>
        <w:pStyle w:val="ListParagraph"/>
        <w:numPr>
          <w:ilvl w:val="0"/>
          <w:numId w:val="2"/>
        </w:numPr>
        <w:spacing w:after="80"/>
      </w:pPr>
      <w:r>
        <w:t xml:space="preserve">Real-time alerts + performance dashboard</w:t>
      </w:r>
    </w:p>
    <w:p>
      <w:pPr>
        <w:spacing w:after="160"/>
      </w:pPr>
      <w:r>
        <w:rPr>
          <w:i/>
          <w:iCs/>
        </w:rPr>
        <w:t xml:space="preserve">Board of Directors (Codie Sanchez): none of items 0-6 generate revenue directly — that's acceptable as pre-monetization foundation work, but the next roadmap review should name the explicit monetization trigger so this doesn't become permanent polish.</w:t>
      </w:r>
    </w:p>
    <w:p>
      <w:pPr>
        <w:pStyle w:val="Heading2"/>
      </w:pPr>
      <w:r>
        <w:t xml:space="preserve">Key Findings by Lens</w:t>
      </w:r>
    </w:p>
    <w:p>
      <w:pPr>
        <w:spacing w:after="40"/>
      </w:pPr>
      <w:r>
        <w:rPr>
          <w:b/>
          <w:bCs/>
        </w:rPr>
        <w:t xml:space="preserve">Growth strategy: </w:t>
      </w:r>
    </w:p>
    <w:p>
      <w:pPr>
        <w:spacing w:after="160"/>
      </w:pPr>
      <w:r>
        <w:t xml:space="preserve">Trust and reliability matter more than acquisition right now. Don't build Phase 3 features on an unverified/unstable production foundation.</w:t>
      </w:r>
    </w:p>
    <w:p>
      <w:pPr>
        <w:spacing w:after="40"/>
      </w:pPr>
      <w:r>
        <w:rPr>
          <w:b/>
          <w:bCs/>
        </w:rPr>
        <w:t xml:space="preserve">Hidden-gem methodology: </w:t>
      </w:r>
    </w:p>
    <w:p>
      <w:pPr>
        <w:spacing w:after="160"/>
      </w:pPr>
      <w:r>
        <w:t xml:space="preserve">Fortress 30 currently covers only 1 of 4 gem-detection legs (momentum/technicals). Fundamental Strength and Valuation Edge are the missing, higher-value legs to add first; Institutional Blindspot is a good stretch goal later.</w:t>
      </w:r>
    </w:p>
    <w:p>
      <w:pPr>
        <w:spacing w:after="40"/>
      </w:pPr>
      <w:r>
        <w:rPr>
          <w:b/>
          <w:bCs/>
        </w:rPr>
        <w:t xml:space="preserve">Design critique: </w:t>
      </w:r>
    </w:p>
    <w:p>
      <w:pPr>
        <w:spacing w:after="160"/>
      </w:pPr>
      <w:r>
        <w:t xml:space="preserve">"Premium/luxury" visual choices (gradient text, backdrop blur, animation) currently compete with clarity rather than support it. Score and explanation should win the eye first.</w:t>
      </w:r>
    </w:p>
    <w:p>
      <w:pPr>
        <w:spacing w:after="40"/>
      </w:pPr>
      <w:r>
        <w:rPr>
          <w:b/>
          <w:bCs/>
        </w:rPr>
        <w:t xml:space="preserve">Board of Directors: </w:t>
      </w:r>
    </w:p>
    <w:p>
      <w:pPr>
        <w:spacing w:after="160"/>
      </w:pPr>
      <w:r>
        <w:t xml:space="preserve">Sequencing is directionally correct. One correction: treat the "finish restoration" item as a verification task first, not an open-ended project — confirm what's actually broken before allocating time to fix it.</w:t>
      </w:r>
    </w:p>
    <w:p>
      <w:pPr>
        <w:pStyle w:val="Heading2"/>
      </w:pPr>
      <w:r>
        <w:t xml:space="preserve">Next 48 Hours</w:t>
      </w:r>
    </w:p>
    <w:p>
      <w:pPr>
        <w:spacing w:after="160"/>
      </w:pPr>
      <w:r>
        <w:t xml:space="preserve">Open https://fortressintelligence.space yourself and click through Fortress 30, Investment Genie, and Portfolio Tracker to confirm what's actually live versus what the project notes claim. That single check determines whether item 1 is a day of work or already done.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2937"/>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2026-07-07T14:49:51.577Z</dcterms:created>
  <dcterms:modified xsi:type="dcterms:W3CDTF">2026-07-07T14:49:51.577Z</dcterms:modified>
</cp:coreProperties>
</file>

<file path=docProps/custom.xml><?xml version="1.0" encoding="utf-8"?>
<Properties xmlns="http://schemas.openxmlformats.org/officeDocument/2006/custom-properties" xmlns:vt="http://schemas.openxmlformats.org/officeDocument/2006/docPropsVTypes"/>
</file>