
<file path=[Content_Types].xml><?xml version="1.0" encoding="utf-8"?>
<Types xmlns="http://schemas.openxmlformats.org/package/2006/content-types">
  <Default ContentType="image/png" Extension="png"/>
  <Default ContentType="image/jpeg" Extension="jpeg"/>
  <Default ContentType="image/jpeg" Extension="jpg"/>
  <Default ContentType="image/bmp" Extension="bmp"/>
  <Default ContentType="image/gif" Extension="gif"/>
  <Default ContentType="image/svg+xml" Extension="svg"/>
  <Default ContentType="application/vnd.openxmlformats-package.relationships+xml" Extension="rels"/>
  <Default ContentType="application/xml" Extension="xml"/>
  <Default ContentType="application/vnd.openxmlformats-officedocument.obfuscatedFont" Extension="odttf"/>
  <Override ContentType="application/vnd.openxmlformats-officedocument.wordprocessingml.document.main+xml" PartName="/word/document.xml"/>
  <Override ContentType="application/vnd.openxmlformats-officedocument.wordprocessingml.styles+xml" PartName="/word/styles.xml"/>
  <Override ContentType="application/vnd.openxmlformats-package.core-properties+xml" PartName="/docProps/core.xml"/>
  <Override ContentType="application/vnd.openxmlformats-officedocument.custom-properties+xml" PartName="/docProps/custom.xml"/>
  <Override ContentType="application/vnd.openxmlformats-officedocument.extended-properties+xml" PartName="/docProps/app.xml"/>
  <Override ContentType="application/vnd.openxmlformats-officedocument.wordprocessingml.numbering+xml" PartName="/word/numbering.xml"/>
  <Override ContentType="application/vnd.openxmlformats-officedocument.wordprocessingml.footnotes+xml" PartName="/word/footnotes.xml"/>
  <Override ContentType="application/vnd.openxmlformats-officedocument.wordprocessingml.endnotes+xml" PartName="/word/endnotes.xml"/>
  <Override ContentType="application/vnd.openxmlformats-officedocument.wordprocessingml.settings+xml" PartName="/word/settings.xml"/>
  <Override ContentType="application/vnd.openxmlformats-officedocument.wordprocessingml.comments+xml" PartName="/word/comments.xml"/>
  <Override ContentType="application/vnd.openxmlformats-officedocument.wordprocessingml.fontTable+xml" PartName="/word/fontTable.xml"/>
  <Override ContentType="application/vnd.openxmlformats-officedocument.wordprocessingml.header+xml" PartName="/word/header1.xml"/>
  <Override ContentType="application/vnd.openxmlformats-officedocument.wordprocessingml.footer+xml" PartName="/word/footer1.xml"/>
</Types>
</file>

<file path=_rels/.rels><?xml version="1.0" encoding="UTF-8"?><Relationships xmlns="http://schemas.openxmlformats.org/package/2006/relationships"><Relationship Id="rId1" Type="http://schemas.openxmlformats.org/officeDocument/2006/relationships/officeDocument" Target="word/document.xml"/><Relationship Id="rId2" Type="http://schemas.openxmlformats.org/package/2006/relationships/metadata/core-properties" Target="docProps/core.xml"/><Relationship Id="rId3" Type="http://schemas.openxmlformats.org/officeDocument/2006/relationships/extended-properties" Target="docProps/app.xml"/><Relationship Id="rId4" Type="http://schemas.openxmlformats.org/officeDocument/2006/relationships/custom-properties" Target="docProps/custom.xml"/></Relationships>
</file>

<file path=word/document.xml><?xml version="1.0" encoding="utf-8"?>
<w:document xmlns:wpc="http://schemas.microsoft.com/office/word/2010/wordprocessingCanvas" xmlns:mc="http://schemas.openxmlformats.org/markup-compatibility/2006" xmlns:o="urn:schemas-microsoft-com:office:office" xmlns:r="http://schemas.openxmlformats.org/officeDocument/2006/relationships" xmlns:m="http://schemas.openxmlformats.org/officeDocument/2006/math" xmlns:v="urn:schemas-microsoft-com:vml" xmlns:wp14="http://schemas.microsoft.com/office/word/2010/wordprocessingDrawing" xmlns:wp="http://schemas.openxmlformats.org/drawingml/2006/wordprocessingDrawing" xmlns:w10="urn:schemas-microsoft-com:office:word" xmlns:w="http://schemas.openxmlformats.org/wordprocessingml/2006/main" xmlns:w14="http://schemas.microsoft.com/office/word/2010/wordml" xmlns:w15="http://schemas.microsoft.com/office/word/2012/wordml" xmlns:wpg="http://schemas.microsoft.com/office/word/2010/wordprocessingGroup" xmlns:wpi="http://schemas.microsoft.com/office/word/2010/wordprocessingInk" xmlns:wne="http://schemas.microsoft.com/office/word/2006/wordml" xmlns:wps="http://schemas.microsoft.com/office/word/2010/wordprocessingShape" xmlns:cx="http://schemas.microsoft.com/office/drawing/2014/chartex" xmlns:cx1="http://schemas.microsoft.com/office/drawing/2015/9/8/chartex" xmlns:cx2="http://schemas.microsoft.com/office/drawing/2015/10/21/chartex" xmlns:cx3="http://schemas.microsoft.com/office/drawing/2016/5/9/chartex" xmlns:cx4="http://schemas.microsoft.com/office/drawing/2016/5/10/chartex" xmlns:cx5="http://schemas.microsoft.com/office/drawing/2016/5/11/chartex" xmlns:cx6="http://schemas.microsoft.com/office/drawing/2016/5/12/chartex" xmlns:cx7="http://schemas.microsoft.com/office/drawing/2016/5/13/chartex" xmlns:cx8="http://schemas.microsoft.com/office/drawing/2016/5/14/chartex" xmlns:aink="http://schemas.microsoft.com/office/drawing/2016/ink" xmlns:am3d="http://schemas.microsoft.com/office/drawing/2017/model3d" xmlns:w16cex="http://schemas.microsoft.com/office/word/2018/wordml/cex" xmlns:w16cid="http://schemas.microsoft.com/office/word/2016/wordml/cid" xmlns:w16="http://schemas.microsoft.com/office/word/2018/wordml" xmlns:w16sdtdh="http://schemas.microsoft.com/office/word/2020/wordml/sdtdatahash" xmlns:w16se="http://schemas.microsoft.com/office/word/2015/wordml/symex" mc:Ignorable="w14 w15 wp14">
  <w:body>
    <w:p>
      <w:r>
        <w:t xml:space="preserve"/>
      </w:r>
    </w:p>
    <w:p>
      <w:r>
        <w:t xml:space="preserve"/>
      </w:r>
    </w:p>
    <w:p>
      <w:pPr>
        <w:spacing w:after="40" w:before="0"/>
        <w:jc w:val="center"/>
      </w:pPr>
      <w:r>
        <w:rPr>
          <w:rFonts w:ascii="Arial" w:cs="Arial" w:eastAsia="Arial" w:hAnsi="Arial"/>
          <w:b/>
          <w:bCs/>
          <w:color w:val="0A0F1E"/>
          <w:sz w:val="64"/>
          <w:szCs w:val="64"/>
        </w:rPr>
        <w:t xml:space="preserve">INVESTMENT GENIE</w:t>
      </w:r>
    </w:p>
    <w:p>
      <w:pPr>
        <w:spacing w:after="80" w:before="0"/>
        <w:jc w:val="center"/>
      </w:pPr>
      <w:r>
        <w:rPr>
          <w:rFonts w:ascii="Arial" w:cs="Arial" w:eastAsia="Arial" w:hAnsi="Arial"/>
          <w:b w:val="false"/>
          <w:bCs w:val="false"/>
          <w:color w:val="C9A84C"/>
          <w:sz w:val="40"/>
          <w:szCs w:val="40"/>
        </w:rPr>
        <w:t xml:space="preserve">NRI Wealth Blueprint 2026</w:t>
      </w:r>
    </w:p>
    <w:p>
      <w:pPr>
        <w:pBdr>
          <w:bottom w:val="single" w:color="C9A84C" w:sz="3" w:space="1"/>
        </w:pBdr>
        <w:spacing w:after="120" w:before="120"/>
      </w:pPr>
      <w:r>
        <w:t xml:space="preserve"/>
      </w:r>
    </w:p>
    <w:p>
      <w:pPr>
        <w:spacing w:after="40" w:before="80"/>
        <w:jc w:val="center"/>
      </w:pPr>
      <w:r>
        <w:rPr>
          <w:rFonts w:ascii="Arial" w:cs="Arial" w:eastAsia="Arial" w:hAnsi="Arial"/>
          <w:color w:val="4B5563"/>
          <w:sz w:val="28"/>
          <w:szCs w:val="28"/>
        </w:rPr>
        <w:t xml:space="preserve">Turning $10,000 into Lasting Wealth</w:t>
      </w:r>
    </w:p>
    <w:p>
      <w:pPr>
        <w:spacing w:after="160" w:before="40"/>
        <w:jc w:val="center"/>
      </w:pPr>
      <w:r>
        <w:rPr>
          <w:rFonts w:ascii="Arial" w:cs="Arial" w:eastAsia="Arial" w:hAnsi="Arial"/>
          <w:color w:val="64748B"/>
          <w:sz w:val="22"/>
          <w:szCs w:val="22"/>
        </w:rPr>
        <w:t xml:space="preserve">A data-backed, tax-aware, geopolitically calibrated strategy for Indian expats in Malaysia</w:t>
      </w:r>
    </w:p>
    <w:p>
      <w:r>
        <w:t xml:space="preserve"/>
      </w:r>
    </w:p>
    <w:tbl>
      <w:tblPr>
        <w:tblW w:type="dxa" w:w="6000"/>
        <w:tblBorders>
          <w:top w:val="single" w:color="auto" w:sz="4"/>
          <w:left w:val="single" w:color="auto" w:sz="4"/>
          <w:bottom w:val="single" w:color="auto" w:sz="4"/>
          <w:right w:val="single" w:color="auto" w:sz="4"/>
          <w:insideH w:val="single" w:color="auto" w:sz="4"/>
          <w:insideV w:val="single" w:color="auto" w:sz="4"/>
        </w:tblBorders>
      </w:tblPr>
      <w:tblGrid>
        <w:gridCol w:w="3000"/>
        <w:gridCol w:w="3000"/>
      </w:tblGrid>
      <w:tr>
        <w:tc>
          <w:tcPr>
            <w:tcW w:type="dxa" w:w="3000"/>
            <w:tcBorders>
              <w:top w:val="single" w:color="D1D5DB" w:sz="1"/>
              <w:left w:val="single" w:color="D1D5DB" w:sz="1"/>
              <w:bottom w:val="single" w:color="D1D5DB" w:sz="1"/>
              <w:right w:val="single" w:color="D1D5DB" w:sz="1"/>
            </w:tcBorders>
            <w:shd w:fill="F8FAFC" w:val="clear"/>
            <w:tcMar>
              <w:top w:type="dxa" w:w="80"/>
              <w:left w:type="dxa" w:w="120"/>
              <w:bottom w:type="dxa" w:w="80"/>
              <w:right w:type="dxa" w:w="120"/>
            </w:tcMar>
            <w:vAlign w:val="center"/>
          </w:tcPr>
          <w:p>
            <w:pPr>
              <w:jc w:val="left"/>
            </w:pPr>
            <w:r>
              <w:rPr>
                <w:rFonts w:ascii="Arial" w:cs="Arial" w:eastAsia="Arial" w:hAnsi="Arial"/>
                <w:b/>
                <w:bCs/>
                <w:color w:val="64748B"/>
                <w:sz w:val="20"/>
                <w:szCs w:val="20"/>
              </w:rPr>
              <w:t xml:space="preserve">Prepared for</w:t>
            </w:r>
          </w:p>
        </w:tc>
        <w:tc>
          <w:tcPr>
            <w:tcW w:type="dxa" w:w="3000"/>
            <w:tcBorders>
              <w:top w:val="single" w:color="D1D5DB" w:sz="1"/>
              <w:left w:val="single" w:color="D1D5DB" w:sz="1"/>
              <w:bottom w:val="single" w:color="D1D5DB" w:sz="1"/>
              <w:right w:val="single" w:color="D1D5DB" w:sz="1"/>
            </w:tcBorders>
            <w:shd w:fill="F8FAFC" w:val="clear"/>
            <w:tcMar>
              <w:top w:type="dxa" w:w="80"/>
              <w:left w:type="dxa" w:w="120"/>
              <w:bottom w:type="dxa" w:w="80"/>
              <w:right w:type="dxa" w:w="120"/>
            </w:tcMar>
            <w:vAlign w:val="center"/>
          </w:tcPr>
          <w:p>
            <w:pPr>
              <w:jc w:val="left"/>
            </w:pPr>
            <w:r>
              <w:rPr>
                <w:rFonts w:ascii="Arial" w:cs="Arial" w:eastAsia="Arial" w:hAnsi="Arial"/>
                <w:b/>
                <w:bCs/>
                <w:color w:val="374151"/>
                <w:sz w:val="20"/>
                <w:szCs w:val="20"/>
              </w:rPr>
              <w:t xml:space="preserve">B (NRI — Indian expat, Malaysia)</w:t>
            </w:r>
          </w:p>
        </w:tc>
      </w:tr>
      <w:tr>
        <w:tc>
          <w:tcPr>
            <w:tcW w:type="dxa" w:w="3000"/>
            <w:tcBorders>
              <w:top w:val="single" w:color="D1D5DB" w:sz="1"/>
              <w:left w:val="single" w:color="D1D5DB" w:sz="1"/>
              <w:bottom w:val="single" w:color="D1D5DB" w:sz="1"/>
              <w:right w:val="single" w:color="D1D5DB" w:sz="1"/>
            </w:tcBorders>
            <w:shd w:fill="FFFFFF" w:val="clear"/>
            <w:tcMar>
              <w:top w:type="dxa" w:w="80"/>
              <w:left w:type="dxa" w:w="120"/>
              <w:bottom w:type="dxa" w:w="80"/>
              <w:right w:type="dxa" w:w="120"/>
            </w:tcMar>
            <w:vAlign w:val="center"/>
          </w:tcPr>
          <w:p>
            <w:pPr>
              <w:jc w:val="left"/>
            </w:pPr>
            <w:r>
              <w:rPr>
                <w:rFonts w:ascii="Arial" w:cs="Arial" w:eastAsia="Arial" w:hAnsi="Arial"/>
                <w:b/>
                <w:bCs/>
                <w:color w:val="64748B"/>
                <w:sz w:val="20"/>
                <w:szCs w:val="20"/>
              </w:rPr>
              <w:t xml:space="preserve">Date</w:t>
            </w:r>
          </w:p>
        </w:tc>
        <w:tc>
          <w:tcPr>
            <w:tcW w:type="dxa" w:w="3000"/>
            <w:tcBorders>
              <w:top w:val="single" w:color="D1D5DB" w:sz="1"/>
              <w:left w:val="single" w:color="D1D5DB" w:sz="1"/>
              <w:bottom w:val="single" w:color="D1D5DB" w:sz="1"/>
              <w:right w:val="single" w:color="D1D5DB" w:sz="1"/>
            </w:tcBorders>
            <w:shd w:fill="FFFFFF" w:val="clear"/>
            <w:tcMar>
              <w:top w:type="dxa" w:w="80"/>
              <w:left w:type="dxa" w:w="120"/>
              <w:bottom w:type="dxa" w:w="80"/>
              <w:right w:type="dxa" w:w="120"/>
            </w:tcMar>
            <w:vAlign w:val="center"/>
          </w:tcPr>
          <w:p>
            <w:pPr>
              <w:jc w:val="left"/>
            </w:pPr>
            <w:r>
              <w:rPr>
                <w:rFonts w:ascii="Arial" w:cs="Arial" w:eastAsia="Arial" w:hAnsi="Arial"/>
                <w:b w:val="false"/>
                <w:bCs w:val="false"/>
                <w:color w:val="374151"/>
                <w:sz w:val="20"/>
                <w:szCs w:val="20"/>
              </w:rPr>
              <w:t xml:space="preserve">April 2026</w:t>
            </w:r>
          </w:p>
        </w:tc>
      </w:tr>
      <w:tr>
        <w:tc>
          <w:tcPr>
            <w:tcW w:type="dxa" w:w="3000"/>
            <w:tcBorders>
              <w:top w:val="single" w:color="D1D5DB" w:sz="1"/>
              <w:left w:val="single" w:color="D1D5DB" w:sz="1"/>
              <w:bottom w:val="single" w:color="D1D5DB" w:sz="1"/>
              <w:right w:val="single" w:color="D1D5DB" w:sz="1"/>
            </w:tcBorders>
            <w:shd w:fill="F8FAFC" w:val="clear"/>
            <w:tcMar>
              <w:top w:type="dxa" w:w="80"/>
              <w:left w:type="dxa" w:w="120"/>
              <w:bottom w:type="dxa" w:w="80"/>
              <w:right w:type="dxa" w:w="120"/>
            </w:tcMar>
            <w:vAlign w:val="center"/>
          </w:tcPr>
          <w:p>
            <w:pPr>
              <w:jc w:val="left"/>
            </w:pPr>
            <w:r>
              <w:rPr>
                <w:rFonts w:ascii="Arial" w:cs="Arial" w:eastAsia="Arial" w:hAnsi="Arial"/>
                <w:b/>
                <w:bCs/>
                <w:color w:val="64748B"/>
                <w:sz w:val="20"/>
                <w:szCs w:val="20"/>
              </w:rPr>
              <w:t xml:space="preserve">Starting Capital</w:t>
            </w:r>
          </w:p>
        </w:tc>
        <w:tc>
          <w:tcPr>
            <w:tcW w:type="dxa" w:w="3000"/>
            <w:tcBorders>
              <w:top w:val="single" w:color="D1D5DB" w:sz="1"/>
              <w:left w:val="single" w:color="D1D5DB" w:sz="1"/>
              <w:bottom w:val="single" w:color="D1D5DB" w:sz="1"/>
              <w:right w:val="single" w:color="D1D5DB" w:sz="1"/>
            </w:tcBorders>
            <w:shd w:fill="F8FAFC" w:val="clear"/>
            <w:tcMar>
              <w:top w:type="dxa" w:w="80"/>
              <w:left w:type="dxa" w:w="120"/>
              <w:bottom w:type="dxa" w:w="80"/>
              <w:right w:type="dxa" w:w="120"/>
            </w:tcMar>
            <w:vAlign w:val="center"/>
          </w:tcPr>
          <w:p>
            <w:pPr>
              <w:jc w:val="left"/>
            </w:pPr>
            <w:r>
              <w:rPr>
                <w:rFonts w:ascii="Arial" w:cs="Arial" w:eastAsia="Arial" w:hAnsi="Arial"/>
                <w:b/>
                <w:bCs/>
                <w:color w:val="374151"/>
                <w:sz w:val="20"/>
                <w:szCs w:val="20"/>
              </w:rPr>
              <w:t xml:space="preserve">USD $10,000</w:t>
            </w:r>
          </w:p>
        </w:tc>
      </w:tr>
      <w:tr>
        <w:tc>
          <w:tcPr>
            <w:tcW w:type="dxa" w:w="3000"/>
            <w:tcBorders>
              <w:top w:val="single" w:color="D1D5DB" w:sz="1"/>
              <w:left w:val="single" w:color="D1D5DB" w:sz="1"/>
              <w:bottom w:val="single" w:color="D1D5DB" w:sz="1"/>
              <w:right w:val="single" w:color="D1D5DB" w:sz="1"/>
            </w:tcBorders>
            <w:shd w:fill="FFFFFF" w:val="clear"/>
            <w:tcMar>
              <w:top w:type="dxa" w:w="80"/>
              <w:left w:type="dxa" w:w="120"/>
              <w:bottom w:type="dxa" w:w="80"/>
              <w:right w:type="dxa" w:w="120"/>
            </w:tcMar>
            <w:vAlign w:val="center"/>
          </w:tcPr>
          <w:p>
            <w:pPr>
              <w:jc w:val="left"/>
            </w:pPr>
            <w:r>
              <w:rPr>
                <w:rFonts w:ascii="Arial" w:cs="Arial" w:eastAsia="Arial" w:hAnsi="Arial"/>
                <w:b/>
                <w:bCs/>
                <w:color w:val="64748B"/>
                <w:sz w:val="20"/>
                <w:szCs w:val="20"/>
              </w:rPr>
              <w:t xml:space="preserve">Horizon</w:t>
            </w:r>
          </w:p>
        </w:tc>
        <w:tc>
          <w:tcPr>
            <w:tcW w:type="dxa" w:w="3000"/>
            <w:tcBorders>
              <w:top w:val="single" w:color="D1D5DB" w:sz="1"/>
              <w:left w:val="single" w:color="D1D5DB" w:sz="1"/>
              <w:bottom w:val="single" w:color="D1D5DB" w:sz="1"/>
              <w:right w:val="single" w:color="D1D5DB" w:sz="1"/>
            </w:tcBorders>
            <w:shd w:fill="FFFFFF" w:val="clear"/>
            <w:tcMar>
              <w:top w:type="dxa" w:w="80"/>
              <w:left w:type="dxa" w:w="120"/>
              <w:bottom w:type="dxa" w:w="80"/>
              <w:right w:type="dxa" w:w="120"/>
            </w:tcMar>
            <w:vAlign w:val="center"/>
          </w:tcPr>
          <w:p>
            <w:pPr>
              <w:jc w:val="left"/>
            </w:pPr>
            <w:r>
              <w:rPr>
                <w:rFonts w:ascii="Arial" w:cs="Arial" w:eastAsia="Arial" w:hAnsi="Arial"/>
                <w:b w:val="false"/>
                <w:bCs w:val="false"/>
                <w:color w:val="374151"/>
                <w:sz w:val="20"/>
                <w:szCs w:val="20"/>
              </w:rPr>
              <w:t xml:space="preserve">5 Years (2026–2030)</w:t>
            </w:r>
          </w:p>
        </w:tc>
      </w:tr>
      <w:tr>
        <w:tc>
          <w:tcPr>
            <w:tcW w:type="dxa" w:w="3000"/>
            <w:tcBorders>
              <w:top w:val="single" w:color="D1D5DB" w:sz="1"/>
              <w:left w:val="single" w:color="D1D5DB" w:sz="1"/>
              <w:bottom w:val="single" w:color="D1D5DB" w:sz="1"/>
              <w:right w:val="single" w:color="D1D5DB" w:sz="1"/>
            </w:tcBorders>
            <w:shd w:fill="F8FAFC" w:val="clear"/>
            <w:tcMar>
              <w:top w:type="dxa" w:w="80"/>
              <w:left w:type="dxa" w:w="120"/>
              <w:bottom w:type="dxa" w:w="80"/>
              <w:right w:type="dxa" w:w="120"/>
            </w:tcMar>
            <w:vAlign w:val="center"/>
          </w:tcPr>
          <w:p>
            <w:pPr>
              <w:jc w:val="left"/>
            </w:pPr>
            <w:r>
              <w:rPr>
                <w:rFonts w:ascii="Arial" w:cs="Arial" w:eastAsia="Arial" w:hAnsi="Arial"/>
                <w:b/>
                <w:bCs/>
                <w:color w:val="64748B"/>
                <w:sz w:val="20"/>
                <w:szCs w:val="20"/>
              </w:rPr>
              <w:t xml:space="preserve">Base Target</w:t>
            </w:r>
          </w:p>
        </w:tc>
        <w:tc>
          <w:tcPr>
            <w:tcW w:type="dxa" w:w="3000"/>
            <w:tcBorders>
              <w:top w:val="single" w:color="D1D5DB" w:sz="1"/>
              <w:left w:val="single" w:color="D1D5DB" w:sz="1"/>
              <w:bottom w:val="single" w:color="D1D5DB" w:sz="1"/>
              <w:right w:val="single" w:color="D1D5DB" w:sz="1"/>
            </w:tcBorders>
            <w:shd w:fill="F8FAFC" w:val="clear"/>
            <w:tcMar>
              <w:top w:type="dxa" w:w="80"/>
              <w:left w:type="dxa" w:w="120"/>
              <w:bottom w:type="dxa" w:w="80"/>
              <w:right w:type="dxa" w:w="120"/>
            </w:tcMar>
            <w:vAlign w:val="center"/>
          </w:tcPr>
          <w:p>
            <w:pPr>
              <w:jc w:val="left"/>
            </w:pPr>
            <w:r>
              <w:rPr>
                <w:rFonts w:ascii="Arial" w:cs="Arial" w:eastAsia="Arial" w:hAnsi="Arial"/>
                <w:b/>
                <w:bCs/>
                <w:color w:val="0D6E4A"/>
                <w:sz w:val="20"/>
                <w:szCs w:val="20"/>
              </w:rPr>
              <w:t xml:space="preserve">2x–3x net of NRI taxes (~$19,500–$28,000)</w:t>
            </w:r>
          </w:p>
        </w:tc>
      </w:tr>
      <w:tr>
        <w:tc>
          <w:tcPr>
            <w:tcW w:type="dxa" w:w="3000"/>
            <w:tcBorders>
              <w:top w:val="single" w:color="D1D5DB" w:sz="1"/>
              <w:left w:val="single" w:color="D1D5DB" w:sz="1"/>
              <w:bottom w:val="single" w:color="D1D5DB" w:sz="1"/>
              <w:right w:val="single" w:color="D1D5DB" w:sz="1"/>
            </w:tcBorders>
            <w:shd w:fill="FFFFFF" w:val="clear"/>
            <w:tcMar>
              <w:top w:type="dxa" w:w="80"/>
              <w:left w:type="dxa" w:w="120"/>
              <w:bottom w:type="dxa" w:w="80"/>
              <w:right w:type="dxa" w:w="120"/>
            </w:tcMar>
            <w:vAlign w:val="center"/>
          </w:tcPr>
          <w:p>
            <w:pPr>
              <w:jc w:val="left"/>
            </w:pPr>
            <w:r>
              <w:rPr>
                <w:rFonts w:ascii="Arial" w:cs="Arial" w:eastAsia="Arial" w:hAnsi="Arial"/>
                <w:b/>
                <w:bCs/>
                <w:color w:val="64748B"/>
                <w:sz w:val="20"/>
                <w:szCs w:val="20"/>
              </w:rPr>
              <w:t xml:space="preserve">Bull Target</w:t>
            </w:r>
          </w:p>
        </w:tc>
        <w:tc>
          <w:tcPr>
            <w:tcW w:type="dxa" w:w="3000"/>
            <w:tcBorders>
              <w:top w:val="single" w:color="D1D5DB" w:sz="1"/>
              <w:left w:val="single" w:color="D1D5DB" w:sz="1"/>
              <w:bottom w:val="single" w:color="D1D5DB" w:sz="1"/>
              <w:right w:val="single" w:color="D1D5DB" w:sz="1"/>
            </w:tcBorders>
            <w:shd w:fill="FFFFFF" w:val="clear"/>
            <w:tcMar>
              <w:top w:type="dxa" w:w="80"/>
              <w:left w:type="dxa" w:w="120"/>
              <w:bottom w:type="dxa" w:w="80"/>
              <w:right w:type="dxa" w:w="120"/>
            </w:tcMar>
            <w:vAlign w:val="center"/>
          </w:tcPr>
          <w:p>
            <w:pPr>
              <w:jc w:val="left"/>
            </w:pPr>
            <w:r>
              <w:rPr>
                <w:rFonts w:ascii="Arial" w:cs="Arial" w:eastAsia="Arial" w:hAnsi="Arial"/>
                <w:b/>
                <w:bCs/>
                <w:color w:val="1D4ED8"/>
                <w:sz w:val="20"/>
                <w:szCs w:val="20"/>
              </w:rPr>
              <w:t xml:space="preserve">4x–6x if 1–2 bets hit (~$38,000–$65,000)</w:t>
            </w:r>
          </w:p>
        </w:tc>
      </w:tr>
    </w:tbl>
    <w:p>
      <w:r>
        <w:t xml:space="preserve"/>
      </w:r>
    </w:p>
    <w:p>
      <w:r>
        <w:t xml:space="preserve"/>
      </w:r>
    </w:p>
    <w:p>
      <w:r>
        <w:br w:type="page"/>
      </w:r>
    </w:p>
    <w:p>
      <w:pPr>
        <w:pStyle w:val="Heading1"/>
        <w:spacing w:after="160" w:before="320"/>
      </w:pPr>
      <w:r>
        <w:rPr>
          <w:rFonts w:ascii="Arial" w:cs="Arial" w:eastAsia="Arial" w:hAnsi="Arial"/>
          <w:b/>
          <w:bCs/>
          <w:color w:val="0A0F1E"/>
          <w:sz w:val="40"/>
          <w:szCs w:val="40"/>
        </w:rPr>
        <w:t xml:space="preserve">Table of Contents</w:t>
      </w:r>
    </w:p>
    <w:sdt>
      <w:sdtPr>
        <w:alias w:val="Contents"/>
      </w:sdtPr>
      <w:sdtContent>
        <w:p>
          <w:r>
            <w:fldChar w:fldCharType="begin" w:dirty="true"/>
            <w:instrText xml:space="preserve">TOC \h \o "1-2"</w:instrText>
            <w:fldChar w:fldCharType="separate"/>
          </w:r>
        </w:p>
        <w:p>
          <w:r>
            <w:fldChar w:fldCharType="end"/>
          </w:r>
        </w:p>
      </w:sdtContent>
    </w:sdt>
    <w:p>
      <w:r>
        <w:br w:type="page"/>
      </w:r>
    </w:p>
    <w:p>
      <w:pPr>
        <w:pStyle w:val="Heading1"/>
        <w:spacing w:after="160" w:before="320"/>
      </w:pPr>
      <w:r>
        <w:rPr>
          <w:rFonts w:ascii="Arial" w:cs="Arial" w:eastAsia="Arial" w:hAnsi="Arial"/>
          <w:b/>
          <w:bCs/>
          <w:color w:val="0A0F1E"/>
          <w:sz w:val="40"/>
          <w:szCs w:val="40"/>
        </w:rPr>
        <w:t xml:space="preserve">1. The Honest Verdict</w:t>
      </w:r>
    </w:p>
    <w:p>
      <w:pPr>
        <w:spacing w:after="80" w:before="80"/>
        <w:jc w:val="left"/>
      </w:pPr>
      <w:r>
        <w:rPr>
          <w:rFonts w:ascii="Arial" w:cs="Arial" w:eastAsia="Arial" w:hAnsi="Arial"/>
          <w:b w:val="false"/>
          <w:bCs w:val="false"/>
          <w:i w:val="false"/>
          <w:iCs w:val="false"/>
          <w:color w:val="374151"/>
          <w:sz w:val="22"/>
          <w:szCs w:val="22"/>
        </w:rPr>
        <w:t xml:space="preserve">The proposed 60/40 barbell investment framework is architecturally correct — this is how Ray Dalio, Nassim Taleb, and Howard Marks all think about portfolio construction. The geography choices are sound. However, let's be precise about the mathematics and what 2026 market conditions actually demand.</w:t>
      </w:r>
    </w:p>
    <w:p>
      <w:r>
        <w:t xml:space="preserve"/>
      </w:r>
    </w:p>
    <w:p>
      <w:pPr>
        <w:pStyle w:val="Heading2"/>
        <w:pBdr>
          <w:bottom w:val="single" w:color="B91C1C" w:sz="4" w:space="4"/>
        </w:pBdr>
        <w:spacing w:after="120" w:before="240"/>
      </w:pPr>
      <w:r>
        <w:rPr>
          <w:rFonts w:ascii="Arial" w:cs="Arial" w:eastAsia="Arial" w:hAnsi="Arial"/>
          <w:b/>
          <w:bCs/>
          <w:color w:val="B91C1C"/>
          <w:sz w:val="30"/>
          <w:szCs w:val="30"/>
        </w:rPr>
        <w:t xml:space="preserve">1.1 The Return Reality Check</w:t>
      </w:r>
    </w:p>
    <w:tbl>
      <w:tblPr>
        <w:tblW w:type="dxa" w:w="9360"/>
        <w:tblBorders>
          <w:top w:val="single" w:color="auto" w:sz="4"/>
          <w:left w:val="single" w:color="auto" w:sz="4"/>
          <w:bottom w:val="single" w:color="auto" w:sz="4"/>
          <w:right w:val="single" w:color="auto" w:sz="4"/>
          <w:insideH w:val="single" w:color="auto" w:sz="4"/>
          <w:insideV w:val="single" w:color="auto" w:sz="4"/>
        </w:tblBorders>
      </w:tblPr>
      <w:tblGrid>
        <w:gridCol w:w="2000"/>
        <w:gridCol w:w="2000"/>
        <w:gridCol w:w="3360"/>
        <w:gridCol w:w="2000"/>
      </w:tblGrid>
      <w:tr>
        <w:trPr>
          <w:tblHeader/>
        </w:trPr>
        <w:tc>
          <w:tcPr>
            <w:tcW w:type="dxa" w:w="2000"/>
            <w:tcBorders>
              <w:top w:val="single" w:color="D1D5DB" w:sz="1"/>
              <w:left w:val="single" w:color="D1D5DB" w:sz="1"/>
              <w:bottom w:val="single" w:color="D1D5DB" w:sz="1"/>
              <w:right w:val="single" w:color="D1D5DB" w:sz="1"/>
            </w:tcBorders>
            <w:shd w:fill="1E3A5F" w:val="clear"/>
            <w:tcMar>
              <w:top w:type="dxa" w:w="80"/>
              <w:left w:type="dxa" w:w="120"/>
              <w:bottom w:type="dxa" w:w="80"/>
              <w:right w:type="dxa" w:w="120"/>
            </w:tcMar>
            <w:vAlign w:val="center"/>
          </w:tcPr>
          <w:p>
            <w:pPr>
              <w:jc w:val="left"/>
            </w:pPr>
            <w:r>
              <w:rPr>
                <w:rFonts w:ascii="Arial" w:cs="Arial" w:eastAsia="Arial" w:hAnsi="Arial"/>
                <w:b/>
                <w:bCs/>
                <w:color w:val="FFFFFF"/>
                <w:sz w:val="20"/>
                <w:szCs w:val="20"/>
              </w:rPr>
              <w:t xml:space="preserve">Scenario</w:t>
            </w:r>
          </w:p>
        </w:tc>
        <w:tc>
          <w:tcPr>
            <w:tcW w:type="dxa" w:w="2000"/>
            <w:tcBorders>
              <w:top w:val="single" w:color="D1D5DB" w:sz="1"/>
              <w:left w:val="single" w:color="D1D5DB" w:sz="1"/>
              <w:bottom w:val="single" w:color="D1D5DB" w:sz="1"/>
              <w:right w:val="single" w:color="D1D5DB" w:sz="1"/>
            </w:tcBorders>
            <w:shd w:fill="1E3A5F" w:val="clear"/>
            <w:tcMar>
              <w:top w:type="dxa" w:w="80"/>
              <w:left w:type="dxa" w:w="120"/>
              <w:bottom w:type="dxa" w:w="80"/>
              <w:right w:type="dxa" w:w="120"/>
            </w:tcMar>
            <w:vAlign w:val="center"/>
          </w:tcPr>
          <w:p>
            <w:pPr>
              <w:jc w:val="left"/>
            </w:pPr>
            <w:r>
              <w:rPr>
                <w:rFonts w:ascii="Arial" w:cs="Arial" w:eastAsia="Arial" w:hAnsi="Arial"/>
                <w:b/>
                <w:bCs/>
                <w:color w:val="FFFFFF"/>
                <w:sz w:val="20"/>
                <w:szCs w:val="20"/>
              </w:rPr>
              <w:t xml:space="preserve">Required Annual CAGR</w:t>
            </w:r>
          </w:p>
        </w:tc>
        <w:tc>
          <w:tcPr>
            <w:tcW w:type="dxa" w:w="3360"/>
            <w:tcBorders>
              <w:top w:val="single" w:color="D1D5DB" w:sz="1"/>
              <w:left w:val="single" w:color="D1D5DB" w:sz="1"/>
              <w:bottom w:val="single" w:color="D1D5DB" w:sz="1"/>
              <w:right w:val="single" w:color="D1D5DB" w:sz="1"/>
            </w:tcBorders>
            <w:shd w:fill="1E3A5F" w:val="clear"/>
            <w:tcMar>
              <w:top w:type="dxa" w:w="80"/>
              <w:left w:type="dxa" w:w="120"/>
              <w:bottom w:type="dxa" w:w="80"/>
              <w:right w:type="dxa" w:w="120"/>
            </w:tcMar>
            <w:vAlign w:val="center"/>
          </w:tcPr>
          <w:p>
            <w:pPr>
              <w:jc w:val="left"/>
            </w:pPr>
            <w:r>
              <w:rPr>
                <w:rFonts w:ascii="Arial" w:cs="Arial" w:eastAsia="Arial" w:hAnsi="Arial"/>
                <w:b/>
                <w:bCs/>
                <w:color w:val="FFFFFF"/>
                <w:sz w:val="20"/>
                <w:szCs w:val="20"/>
              </w:rPr>
              <w:t xml:space="preserve">Assessment</w:t>
            </w:r>
          </w:p>
        </w:tc>
        <w:tc>
          <w:tcPr>
            <w:tcW w:type="dxa" w:w="2000"/>
            <w:tcBorders>
              <w:top w:val="single" w:color="D1D5DB" w:sz="1"/>
              <w:left w:val="single" w:color="D1D5DB" w:sz="1"/>
              <w:bottom w:val="single" w:color="D1D5DB" w:sz="1"/>
              <w:right w:val="single" w:color="D1D5DB" w:sz="1"/>
            </w:tcBorders>
            <w:shd w:fill="1E3A5F" w:val="clear"/>
            <w:tcMar>
              <w:top w:type="dxa" w:w="80"/>
              <w:left w:type="dxa" w:w="120"/>
              <w:bottom w:type="dxa" w:w="80"/>
              <w:right w:type="dxa" w:w="120"/>
            </w:tcMar>
            <w:vAlign w:val="center"/>
          </w:tcPr>
          <w:p>
            <w:pPr>
              <w:jc w:val="left"/>
            </w:pPr>
            <w:r>
              <w:rPr>
                <w:rFonts w:ascii="Arial" w:cs="Arial" w:eastAsia="Arial" w:hAnsi="Arial"/>
                <w:b/>
                <w:bCs/>
                <w:color w:val="FFFFFF"/>
                <w:sz w:val="20"/>
                <w:szCs w:val="20"/>
              </w:rPr>
              <w:t xml:space="preserve">Real Probability</w:t>
            </w:r>
          </w:p>
        </w:tc>
      </w:tr>
      <w:tr>
        <w:tc>
          <w:tcPr>
            <w:tcW w:type="dxa" w:w="2000"/>
            <w:tcBorders>
              <w:top w:val="single" w:color="D1D5DB" w:sz="1"/>
              <w:left w:val="single" w:color="D1D5DB" w:sz="1"/>
              <w:bottom w:val="single" w:color="D1D5DB" w:sz="1"/>
              <w:right w:val="single" w:color="D1D5DB" w:sz="1"/>
            </w:tcBorders>
            <w:shd w:fill="F8FAFC" w:val="clear"/>
            <w:tcMar>
              <w:top w:type="dxa" w:w="80"/>
              <w:left w:type="dxa" w:w="120"/>
              <w:bottom w:type="dxa" w:w="80"/>
              <w:right w:type="dxa" w:w="120"/>
            </w:tcMar>
            <w:vAlign w:val="center"/>
          </w:tcPr>
          <w:p>
            <w:pPr>
              <w:jc w:val="left"/>
            </w:pPr>
            <w:r>
              <w:rPr>
                <w:rFonts w:ascii="Arial" w:cs="Arial" w:eastAsia="Arial" w:hAnsi="Arial"/>
                <w:b/>
                <w:bCs/>
                <w:color w:val="374151"/>
                <w:sz w:val="19"/>
                <w:szCs w:val="19"/>
              </w:rPr>
              <w:t xml:space="preserve">10x in 5 years</w:t>
            </w:r>
          </w:p>
        </w:tc>
        <w:tc>
          <w:tcPr>
            <w:tcW w:type="dxa" w:w="2000"/>
            <w:tcBorders>
              <w:top w:val="single" w:color="D1D5DB" w:sz="1"/>
              <w:left w:val="single" w:color="D1D5DB" w:sz="1"/>
              <w:bottom w:val="single" w:color="D1D5DB" w:sz="1"/>
              <w:right w:val="single" w:color="D1D5DB" w:sz="1"/>
            </w:tcBorders>
            <w:shd w:fill="F8FAFC" w:val="clear"/>
            <w:tcMar>
              <w:top w:type="dxa" w:w="80"/>
              <w:left w:type="dxa" w:w="120"/>
              <w:bottom w:type="dxa" w:w="80"/>
              <w:right w:type="dxa" w:w="120"/>
            </w:tcMar>
            <w:vAlign w:val="center"/>
          </w:tcPr>
          <w:p>
            <w:pPr>
              <w:jc w:val="left"/>
            </w:pPr>
            <w:r>
              <w:rPr>
                <w:rFonts w:ascii="Arial" w:cs="Arial" w:eastAsia="Arial" w:hAnsi="Arial"/>
                <w:b w:val="false"/>
                <w:bCs w:val="false"/>
                <w:color w:val="374151"/>
                <w:sz w:val="19"/>
                <w:szCs w:val="19"/>
              </w:rPr>
              <w:t xml:space="preserve">58.5% per year</w:t>
            </w:r>
          </w:p>
        </w:tc>
        <w:tc>
          <w:tcPr>
            <w:tcW w:type="dxa" w:w="3360"/>
            <w:tcBorders>
              <w:top w:val="single" w:color="D1D5DB" w:sz="1"/>
              <w:left w:val="single" w:color="D1D5DB" w:sz="1"/>
              <w:bottom w:val="single" w:color="D1D5DB" w:sz="1"/>
              <w:right w:val="single" w:color="D1D5DB" w:sz="1"/>
            </w:tcBorders>
            <w:shd w:fill="F8FAFC" w:val="clear"/>
            <w:tcMar>
              <w:top w:type="dxa" w:w="80"/>
              <w:left w:type="dxa" w:w="120"/>
              <w:bottom w:type="dxa" w:w="80"/>
              <w:right w:type="dxa" w:w="120"/>
            </w:tcMar>
            <w:vAlign w:val="center"/>
          </w:tcPr>
          <w:p>
            <w:pPr>
              <w:jc w:val="left"/>
            </w:pPr>
            <w:r>
              <w:rPr>
                <w:rFonts w:ascii="Arial" w:cs="Arial" w:eastAsia="Arial" w:hAnsi="Arial"/>
                <w:b w:val="false"/>
                <w:bCs w:val="false"/>
                <w:color w:val="374151"/>
                <w:sz w:val="19"/>
                <w:szCs w:val="19"/>
              </w:rPr>
              <w:t xml:space="preserve">Venture capital territory — not public markets</w:t>
            </w:r>
          </w:p>
        </w:tc>
        <w:tc>
          <w:tcPr>
            <w:tcW w:type="dxa" w:w="2000"/>
            <w:tcBorders>
              <w:top w:val="single" w:color="D1D5DB" w:sz="1"/>
              <w:left w:val="single" w:color="D1D5DB" w:sz="1"/>
              <w:bottom w:val="single" w:color="D1D5DB" w:sz="1"/>
              <w:right w:val="single" w:color="D1D5DB" w:sz="1"/>
            </w:tcBorders>
            <w:shd w:fill="F8FAFC" w:val="clear"/>
            <w:tcMar>
              <w:top w:type="dxa" w:w="80"/>
              <w:left w:type="dxa" w:w="120"/>
              <w:bottom w:type="dxa" w:w="80"/>
              <w:right w:type="dxa" w:w="120"/>
            </w:tcMar>
            <w:vAlign w:val="center"/>
          </w:tcPr>
          <w:p>
            <w:pPr>
              <w:jc w:val="left"/>
            </w:pPr>
            <w:r>
              <w:rPr>
                <w:rFonts w:ascii="Arial" w:cs="Arial" w:eastAsia="Arial" w:hAnsi="Arial"/>
                <w:b w:val="false"/>
                <w:bCs w:val="false"/>
                <w:color w:val="374151"/>
                <w:sz w:val="19"/>
                <w:szCs w:val="19"/>
              </w:rPr>
              <w:t xml:space="preserve">Very Low (&lt;5%)</w:t>
            </w:r>
          </w:p>
        </w:tc>
      </w:tr>
      <w:tr>
        <w:tc>
          <w:tcPr>
            <w:tcW w:type="dxa" w:w="2000"/>
            <w:tcBorders>
              <w:top w:val="single" w:color="D1D5DB" w:sz="1"/>
              <w:left w:val="single" w:color="D1D5DB" w:sz="1"/>
              <w:bottom w:val="single" w:color="D1D5DB" w:sz="1"/>
              <w:right w:val="single" w:color="D1D5DB" w:sz="1"/>
            </w:tcBorders>
            <w:shd w:fill="FFFFFF" w:val="clear"/>
            <w:tcMar>
              <w:top w:type="dxa" w:w="80"/>
              <w:left w:type="dxa" w:w="120"/>
              <w:bottom w:type="dxa" w:w="80"/>
              <w:right w:type="dxa" w:w="120"/>
            </w:tcMar>
            <w:vAlign w:val="center"/>
          </w:tcPr>
          <w:p>
            <w:pPr>
              <w:jc w:val="left"/>
            </w:pPr>
            <w:r>
              <w:rPr>
                <w:rFonts w:ascii="Arial" w:cs="Arial" w:eastAsia="Arial" w:hAnsi="Arial"/>
                <w:b/>
                <w:bCs/>
                <w:color w:val="374151"/>
                <w:sz w:val="19"/>
                <w:szCs w:val="19"/>
              </w:rPr>
              <w:t xml:space="preserve">5x in 5 years</w:t>
            </w:r>
          </w:p>
        </w:tc>
        <w:tc>
          <w:tcPr>
            <w:tcW w:type="dxa" w:w="2000"/>
            <w:tcBorders>
              <w:top w:val="single" w:color="D1D5DB" w:sz="1"/>
              <w:left w:val="single" w:color="D1D5DB" w:sz="1"/>
              <w:bottom w:val="single" w:color="D1D5DB" w:sz="1"/>
              <w:right w:val="single" w:color="D1D5DB" w:sz="1"/>
            </w:tcBorders>
            <w:shd w:fill="FFFFFF" w:val="clear"/>
            <w:tcMar>
              <w:top w:type="dxa" w:w="80"/>
              <w:left w:type="dxa" w:w="120"/>
              <w:bottom w:type="dxa" w:w="80"/>
              <w:right w:type="dxa" w:w="120"/>
            </w:tcMar>
            <w:vAlign w:val="center"/>
          </w:tcPr>
          <w:p>
            <w:pPr>
              <w:jc w:val="left"/>
            </w:pPr>
            <w:r>
              <w:rPr>
                <w:rFonts w:ascii="Arial" w:cs="Arial" w:eastAsia="Arial" w:hAnsi="Arial"/>
                <w:b w:val="false"/>
                <w:bCs w:val="false"/>
                <w:color w:val="374151"/>
                <w:sz w:val="19"/>
                <w:szCs w:val="19"/>
              </w:rPr>
              <w:t xml:space="preserve">38.0% per year</w:t>
            </w:r>
          </w:p>
        </w:tc>
        <w:tc>
          <w:tcPr>
            <w:tcW w:type="dxa" w:w="3360"/>
            <w:tcBorders>
              <w:top w:val="single" w:color="D1D5DB" w:sz="1"/>
              <w:left w:val="single" w:color="D1D5DB" w:sz="1"/>
              <w:bottom w:val="single" w:color="D1D5DB" w:sz="1"/>
              <w:right w:val="single" w:color="D1D5DB" w:sz="1"/>
            </w:tcBorders>
            <w:shd w:fill="FFFFFF" w:val="clear"/>
            <w:tcMar>
              <w:top w:type="dxa" w:w="80"/>
              <w:left w:type="dxa" w:w="120"/>
              <w:bottom w:type="dxa" w:w="80"/>
              <w:right w:type="dxa" w:w="120"/>
            </w:tcMar>
            <w:vAlign w:val="center"/>
          </w:tcPr>
          <w:p>
            <w:pPr>
              <w:jc w:val="left"/>
            </w:pPr>
            <w:r>
              <w:rPr>
                <w:rFonts w:ascii="Arial" w:cs="Arial" w:eastAsia="Arial" w:hAnsi="Arial"/>
                <w:b w:val="false"/>
                <w:bCs w:val="false"/>
                <w:color w:val="374151"/>
                <w:sz w:val="19"/>
                <w:szCs w:val="19"/>
              </w:rPr>
              <w:t xml:space="preserve">Possible only if 1–2 bets hit 10x+</w:t>
            </w:r>
          </w:p>
        </w:tc>
        <w:tc>
          <w:tcPr>
            <w:tcW w:type="dxa" w:w="2000"/>
            <w:tcBorders>
              <w:top w:val="single" w:color="D1D5DB" w:sz="1"/>
              <w:left w:val="single" w:color="D1D5DB" w:sz="1"/>
              <w:bottom w:val="single" w:color="D1D5DB" w:sz="1"/>
              <w:right w:val="single" w:color="D1D5DB" w:sz="1"/>
            </w:tcBorders>
            <w:shd w:fill="FFFFFF" w:val="clear"/>
            <w:tcMar>
              <w:top w:type="dxa" w:w="80"/>
              <w:left w:type="dxa" w:w="120"/>
              <w:bottom w:type="dxa" w:w="80"/>
              <w:right w:type="dxa" w:w="120"/>
            </w:tcMar>
            <w:vAlign w:val="center"/>
          </w:tcPr>
          <w:p>
            <w:pPr>
              <w:jc w:val="left"/>
            </w:pPr>
            <w:r>
              <w:rPr>
                <w:rFonts w:ascii="Arial" w:cs="Arial" w:eastAsia="Arial" w:hAnsi="Arial"/>
                <w:b w:val="false"/>
                <w:bCs w:val="false"/>
                <w:color w:val="374151"/>
                <w:sz w:val="19"/>
                <w:szCs w:val="19"/>
              </w:rPr>
              <w:t xml:space="preserve">Low (~10–15%)</w:t>
            </w:r>
          </w:p>
        </w:tc>
      </w:tr>
      <w:tr>
        <w:tc>
          <w:tcPr>
            <w:tcW w:type="dxa" w:w="2000"/>
            <w:tcBorders>
              <w:top w:val="single" w:color="D1D5DB" w:sz="1"/>
              <w:left w:val="single" w:color="D1D5DB" w:sz="1"/>
              <w:bottom w:val="single" w:color="D1D5DB" w:sz="1"/>
              <w:right w:val="single" w:color="D1D5DB" w:sz="1"/>
            </w:tcBorders>
            <w:shd w:fill="F8FAFC" w:val="clear"/>
            <w:tcMar>
              <w:top w:type="dxa" w:w="80"/>
              <w:left w:type="dxa" w:w="120"/>
              <w:bottom w:type="dxa" w:w="80"/>
              <w:right w:type="dxa" w:w="120"/>
            </w:tcMar>
            <w:vAlign w:val="center"/>
          </w:tcPr>
          <w:p>
            <w:pPr>
              <w:jc w:val="left"/>
            </w:pPr>
            <w:r>
              <w:rPr>
                <w:rFonts w:ascii="Arial" w:cs="Arial" w:eastAsia="Arial" w:hAnsi="Arial"/>
                <w:b/>
                <w:bCs/>
                <w:color w:val="374151"/>
                <w:sz w:val="19"/>
                <w:szCs w:val="19"/>
              </w:rPr>
              <w:t xml:space="preserve">3x in 5 years</w:t>
            </w:r>
          </w:p>
        </w:tc>
        <w:tc>
          <w:tcPr>
            <w:tcW w:type="dxa" w:w="2000"/>
            <w:tcBorders>
              <w:top w:val="single" w:color="D1D5DB" w:sz="1"/>
              <w:left w:val="single" w:color="D1D5DB" w:sz="1"/>
              <w:bottom w:val="single" w:color="D1D5DB" w:sz="1"/>
              <w:right w:val="single" w:color="D1D5DB" w:sz="1"/>
            </w:tcBorders>
            <w:shd w:fill="F8FAFC" w:val="clear"/>
            <w:tcMar>
              <w:top w:type="dxa" w:w="80"/>
              <w:left w:type="dxa" w:w="120"/>
              <w:bottom w:type="dxa" w:w="80"/>
              <w:right w:type="dxa" w:w="120"/>
            </w:tcMar>
            <w:vAlign w:val="center"/>
          </w:tcPr>
          <w:p>
            <w:pPr>
              <w:jc w:val="left"/>
            </w:pPr>
            <w:r>
              <w:rPr>
                <w:rFonts w:ascii="Arial" w:cs="Arial" w:eastAsia="Arial" w:hAnsi="Arial"/>
                <w:b w:val="false"/>
                <w:bCs w:val="false"/>
                <w:color w:val="374151"/>
                <w:sz w:val="19"/>
                <w:szCs w:val="19"/>
              </w:rPr>
              <w:t xml:space="preserve">24.6% per year</w:t>
            </w:r>
          </w:p>
        </w:tc>
        <w:tc>
          <w:tcPr>
            <w:tcW w:type="dxa" w:w="3360"/>
            <w:tcBorders>
              <w:top w:val="single" w:color="D1D5DB" w:sz="1"/>
              <w:left w:val="single" w:color="D1D5DB" w:sz="1"/>
              <w:bottom w:val="single" w:color="D1D5DB" w:sz="1"/>
              <w:right w:val="single" w:color="D1D5DB" w:sz="1"/>
            </w:tcBorders>
            <w:shd w:fill="F8FAFC" w:val="clear"/>
            <w:tcMar>
              <w:top w:type="dxa" w:w="80"/>
              <w:left w:type="dxa" w:w="120"/>
              <w:bottom w:type="dxa" w:w="80"/>
              <w:right w:type="dxa" w:w="120"/>
            </w:tcMar>
            <w:vAlign w:val="center"/>
          </w:tcPr>
          <w:p>
            <w:pPr>
              <w:jc w:val="left"/>
            </w:pPr>
            <w:r>
              <w:rPr>
                <w:rFonts w:ascii="Arial" w:cs="Arial" w:eastAsia="Arial" w:hAnsi="Arial"/>
                <w:b w:val="false"/>
                <w:bCs w:val="false"/>
                <w:color w:val="374151"/>
                <w:sz w:val="19"/>
                <w:szCs w:val="19"/>
              </w:rPr>
              <w:t xml:space="preserve">Ambitious but achievable with discipline</w:t>
            </w:r>
          </w:p>
        </w:tc>
        <w:tc>
          <w:tcPr>
            <w:tcW w:type="dxa" w:w="2000"/>
            <w:tcBorders>
              <w:top w:val="single" w:color="D1D5DB" w:sz="1"/>
              <w:left w:val="single" w:color="D1D5DB" w:sz="1"/>
              <w:bottom w:val="single" w:color="D1D5DB" w:sz="1"/>
              <w:right w:val="single" w:color="D1D5DB" w:sz="1"/>
            </w:tcBorders>
            <w:shd w:fill="F8FAFC" w:val="clear"/>
            <w:tcMar>
              <w:top w:type="dxa" w:w="80"/>
              <w:left w:type="dxa" w:w="120"/>
              <w:bottom w:type="dxa" w:w="80"/>
              <w:right w:type="dxa" w:w="120"/>
            </w:tcMar>
            <w:vAlign w:val="center"/>
          </w:tcPr>
          <w:p>
            <w:pPr>
              <w:jc w:val="left"/>
            </w:pPr>
            <w:r>
              <w:rPr>
                <w:rFonts w:ascii="Arial" w:cs="Arial" w:eastAsia="Arial" w:hAnsi="Arial"/>
                <w:b w:val="false"/>
                <w:bCs w:val="false"/>
                <w:color w:val="374151"/>
                <w:sz w:val="19"/>
                <w:szCs w:val="19"/>
              </w:rPr>
              <w:t xml:space="preserve">Moderate (~25%)</w:t>
            </w:r>
          </w:p>
        </w:tc>
      </w:tr>
      <w:tr>
        <w:tc>
          <w:tcPr>
            <w:tcW w:type="dxa" w:w="2000"/>
            <w:tcBorders>
              <w:top w:val="single" w:color="D1D5DB" w:sz="1"/>
              <w:left w:val="single" w:color="D1D5DB" w:sz="1"/>
              <w:bottom w:val="single" w:color="D1D5DB" w:sz="1"/>
              <w:right w:val="single" w:color="D1D5DB" w:sz="1"/>
            </w:tcBorders>
            <w:shd w:fill="FFFFFF" w:val="clear"/>
            <w:tcMar>
              <w:top w:type="dxa" w:w="80"/>
              <w:left w:type="dxa" w:w="120"/>
              <w:bottom w:type="dxa" w:w="80"/>
              <w:right w:type="dxa" w:w="120"/>
            </w:tcMar>
            <w:vAlign w:val="center"/>
          </w:tcPr>
          <w:p>
            <w:pPr>
              <w:jc w:val="left"/>
            </w:pPr>
            <w:r>
              <w:rPr>
                <w:rFonts w:ascii="Arial" w:cs="Arial" w:eastAsia="Arial" w:hAnsi="Arial"/>
                <w:b/>
                <w:bCs/>
                <w:color w:val="374151"/>
                <w:sz w:val="19"/>
                <w:szCs w:val="19"/>
              </w:rPr>
              <w:t xml:space="preserve">2x in 5 years</w:t>
            </w:r>
          </w:p>
        </w:tc>
        <w:tc>
          <w:tcPr>
            <w:tcW w:type="dxa" w:w="2000"/>
            <w:tcBorders>
              <w:top w:val="single" w:color="D1D5DB" w:sz="1"/>
              <w:left w:val="single" w:color="D1D5DB" w:sz="1"/>
              <w:bottom w:val="single" w:color="D1D5DB" w:sz="1"/>
              <w:right w:val="single" w:color="D1D5DB" w:sz="1"/>
            </w:tcBorders>
            <w:shd w:fill="FFFFFF" w:val="clear"/>
            <w:tcMar>
              <w:top w:type="dxa" w:w="80"/>
              <w:left w:type="dxa" w:w="120"/>
              <w:bottom w:type="dxa" w:w="80"/>
              <w:right w:type="dxa" w:w="120"/>
            </w:tcMar>
            <w:vAlign w:val="center"/>
          </w:tcPr>
          <w:p>
            <w:pPr>
              <w:jc w:val="left"/>
            </w:pPr>
            <w:r>
              <w:rPr>
                <w:rFonts w:ascii="Arial" w:cs="Arial" w:eastAsia="Arial" w:hAnsi="Arial"/>
                <w:b w:val="false"/>
                <w:bCs w:val="false"/>
                <w:color w:val="374151"/>
                <w:sz w:val="19"/>
                <w:szCs w:val="19"/>
              </w:rPr>
              <w:t xml:space="preserve">14.9% per year</w:t>
            </w:r>
          </w:p>
        </w:tc>
        <w:tc>
          <w:tcPr>
            <w:tcW w:type="dxa" w:w="3360"/>
            <w:tcBorders>
              <w:top w:val="single" w:color="D1D5DB" w:sz="1"/>
              <w:left w:val="single" w:color="D1D5DB" w:sz="1"/>
              <w:bottom w:val="single" w:color="D1D5DB" w:sz="1"/>
              <w:right w:val="single" w:color="D1D5DB" w:sz="1"/>
            </w:tcBorders>
            <w:shd w:fill="FFFFFF" w:val="clear"/>
            <w:tcMar>
              <w:top w:type="dxa" w:w="80"/>
              <w:left w:type="dxa" w:w="120"/>
              <w:bottom w:type="dxa" w:w="80"/>
              <w:right w:type="dxa" w:w="120"/>
            </w:tcMar>
            <w:vAlign w:val="center"/>
          </w:tcPr>
          <w:p>
            <w:pPr>
              <w:jc w:val="left"/>
            </w:pPr>
            <w:r>
              <w:rPr>
                <w:rFonts w:ascii="Arial" w:cs="Arial" w:eastAsia="Arial" w:hAnsi="Arial"/>
                <w:b w:val="false"/>
                <w:bCs w:val="false"/>
                <w:color w:val="374151"/>
                <w:sz w:val="19"/>
                <w:szCs w:val="19"/>
              </w:rPr>
              <w:t xml:space="preserve">Strong outcome — well within reach</w:t>
            </w:r>
          </w:p>
        </w:tc>
        <w:tc>
          <w:tcPr>
            <w:tcW w:type="dxa" w:w="2000"/>
            <w:tcBorders>
              <w:top w:val="single" w:color="D1D5DB" w:sz="1"/>
              <w:left w:val="single" w:color="D1D5DB" w:sz="1"/>
              <w:bottom w:val="single" w:color="D1D5DB" w:sz="1"/>
              <w:right w:val="single" w:color="D1D5DB" w:sz="1"/>
            </w:tcBorders>
            <w:shd w:fill="FFFFFF" w:val="clear"/>
            <w:tcMar>
              <w:top w:type="dxa" w:w="80"/>
              <w:left w:type="dxa" w:w="120"/>
              <w:bottom w:type="dxa" w:w="80"/>
              <w:right w:type="dxa" w:w="120"/>
            </w:tcMar>
            <w:vAlign w:val="center"/>
          </w:tcPr>
          <w:p>
            <w:pPr>
              <w:jc w:val="left"/>
            </w:pPr>
            <w:r>
              <w:rPr>
                <w:rFonts w:ascii="Arial" w:cs="Arial" w:eastAsia="Arial" w:hAnsi="Arial"/>
                <w:b w:val="false"/>
                <w:bCs w:val="false"/>
                <w:color w:val="374151"/>
                <w:sz w:val="19"/>
                <w:szCs w:val="19"/>
              </w:rPr>
              <w:t xml:space="preserve">Good (~45%)</w:t>
            </w:r>
          </w:p>
        </w:tc>
      </w:tr>
      <w:tr>
        <w:tc>
          <w:tcPr>
            <w:tcW w:type="dxa" w:w="2000"/>
            <w:tcBorders>
              <w:top w:val="single" w:color="D1D5DB" w:sz="1"/>
              <w:left w:val="single" w:color="D1D5DB" w:sz="1"/>
              <w:bottom w:val="single" w:color="D1D5DB" w:sz="1"/>
              <w:right w:val="single" w:color="D1D5DB" w:sz="1"/>
            </w:tcBorders>
            <w:shd w:fill="F8FAFC" w:val="clear"/>
            <w:tcMar>
              <w:top w:type="dxa" w:w="80"/>
              <w:left w:type="dxa" w:w="120"/>
              <w:bottom w:type="dxa" w:w="80"/>
              <w:right w:type="dxa" w:w="120"/>
            </w:tcMar>
            <w:vAlign w:val="center"/>
          </w:tcPr>
          <w:p>
            <w:pPr>
              <w:jc w:val="left"/>
            </w:pPr>
            <w:r>
              <w:rPr>
                <w:rFonts w:ascii="Arial" w:cs="Arial" w:eastAsia="Arial" w:hAnsi="Arial"/>
                <w:b/>
                <w:bCs/>
                <w:color w:val="374151"/>
                <w:sz w:val="19"/>
                <w:szCs w:val="19"/>
              </w:rPr>
              <w:t xml:space="preserve">1.5x in 5 years</w:t>
            </w:r>
          </w:p>
        </w:tc>
        <w:tc>
          <w:tcPr>
            <w:tcW w:type="dxa" w:w="2000"/>
            <w:tcBorders>
              <w:top w:val="single" w:color="D1D5DB" w:sz="1"/>
              <w:left w:val="single" w:color="D1D5DB" w:sz="1"/>
              <w:bottom w:val="single" w:color="D1D5DB" w:sz="1"/>
              <w:right w:val="single" w:color="D1D5DB" w:sz="1"/>
            </w:tcBorders>
            <w:shd w:fill="F8FAFC" w:val="clear"/>
            <w:tcMar>
              <w:top w:type="dxa" w:w="80"/>
              <w:left w:type="dxa" w:w="120"/>
              <w:bottom w:type="dxa" w:w="80"/>
              <w:right w:type="dxa" w:w="120"/>
            </w:tcMar>
            <w:vAlign w:val="center"/>
          </w:tcPr>
          <w:p>
            <w:pPr>
              <w:jc w:val="left"/>
            </w:pPr>
            <w:r>
              <w:rPr>
                <w:rFonts w:ascii="Arial" w:cs="Arial" w:eastAsia="Arial" w:hAnsi="Arial"/>
                <w:b w:val="false"/>
                <w:bCs w:val="false"/>
                <w:color w:val="374151"/>
                <w:sz w:val="19"/>
                <w:szCs w:val="19"/>
              </w:rPr>
              <w:t xml:space="preserve">8.4% per year</w:t>
            </w:r>
          </w:p>
        </w:tc>
        <w:tc>
          <w:tcPr>
            <w:tcW w:type="dxa" w:w="3360"/>
            <w:tcBorders>
              <w:top w:val="single" w:color="D1D5DB" w:sz="1"/>
              <w:left w:val="single" w:color="D1D5DB" w:sz="1"/>
              <w:bottom w:val="single" w:color="D1D5DB" w:sz="1"/>
              <w:right w:val="single" w:color="D1D5DB" w:sz="1"/>
            </w:tcBorders>
            <w:shd w:fill="F8FAFC" w:val="clear"/>
            <w:tcMar>
              <w:top w:type="dxa" w:w="80"/>
              <w:left w:type="dxa" w:w="120"/>
              <w:bottom w:type="dxa" w:w="80"/>
              <w:right w:type="dxa" w:w="120"/>
            </w:tcMar>
            <w:vAlign w:val="center"/>
          </w:tcPr>
          <w:p>
            <w:pPr>
              <w:jc w:val="left"/>
            </w:pPr>
            <w:r>
              <w:rPr>
                <w:rFonts w:ascii="Arial" w:cs="Arial" w:eastAsia="Arial" w:hAnsi="Arial"/>
                <w:b w:val="false"/>
                <w:bCs w:val="false"/>
                <w:color w:val="374151"/>
                <w:sz w:val="19"/>
                <w:szCs w:val="19"/>
              </w:rPr>
              <w:t xml:space="preserve">Reliable with core ETF compounding alone</w:t>
            </w:r>
          </w:p>
        </w:tc>
        <w:tc>
          <w:tcPr>
            <w:tcW w:type="dxa" w:w="2000"/>
            <w:tcBorders>
              <w:top w:val="single" w:color="D1D5DB" w:sz="1"/>
              <w:left w:val="single" w:color="D1D5DB" w:sz="1"/>
              <w:bottom w:val="single" w:color="D1D5DB" w:sz="1"/>
              <w:right w:val="single" w:color="D1D5DB" w:sz="1"/>
            </w:tcBorders>
            <w:shd w:fill="F8FAFC" w:val="clear"/>
            <w:tcMar>
              <w:top w:type="dxa" w:w="80"/>
              <w:left w:type="dxa" w:w="120"/>
              <w:bottom w:type="dxa" w:w="80"/>
              <w:right w:type="dxa" w:w="120"/>
            </w:tcMar>
            <w:vAlign w:val="center"/>
          </w:tcPr>
          <w:p>
            <w:pPr>
              <w:jc w:val="left"/>
            </w:pPr>
            <w:r>
              <w:rPr>
                <w:rFonts w:ascii="Arial" w:cs="Arial" w:eastAsia="Arial" w:hAnsi="Arial"/>
                <w:b w:val="false"/>
                <w:bCs w:val="false"/>
                <w:color w:val="374151"/>
                <w:sz w:val="19"/>
                <w:szCs w:val="19"/>
              </w:rPr>
              <w:t xml:space="preserve">High (~65%)</w:t>
            </w:r>
          </w:p>
        </w:tc>
      </w:tr>
    </w:tbl>
    <w:p>
      <w:r>
        <w:t xml:space="preserve"/>
      </w:r>
    </w:p>
    <w:p>
      <w:pPr>
        <w:shd w:fill="EFF6FF" w:val="clear"/>
        <w:spacing w:after="100" w:before="100"/>
        <w:ind w:left="360" w:right="360"/>
      </w:pPr>
      <w:r>
        <w:rPr>
          <w:rFonts w:ascii="Arial" w:cs="Arial" w:eastAsia="Arial" w:hAnsi="Arial"/>
          <w:b/>
          <w:bCs/>
          <w:color w:val="1D4ED8"/>
          <w:sz w:val="22"/>
          <w:szCs w:val="22"/>
        </w:rPr>
        <w:t xml:space="preserve">TARGET  </w:t>
      </w:r>
      <w:r>
        <w:rPr>
          <w:rFonts w:ascii="Arial" w:cs="Arial" w:eastAsia="Arial" w:hAnsi="Arial"/>
          <w:color w:val="1D4ED8"/>
          <w:sz w:val="21"/>
          <w:szCs w:val="21"/>
        </w:rPr>
        <w:t xml:space="preserve">Set your real anchor: 2x–3x (net of NRI taxes) is the honest target. 5x+ is possible if your aggressive bucket hits — but it is a bonus, not a plan.</w:t>
      </w:r>
    </w:p>
    <w:p>
      <w:r>
        <w:t xml:space="preserve"/>
      </w:r>
    </w:p>
    <w:p>
      <w:pPr>
        <w:pStyle w:val="Heading2"/>
        <w:pBdr>
          <w:bottom w:val="single" w:color="0D6E4A" w:sz="4" w:space="4"/>
        </w:pBdr>
        <w:spacing w:after="120" w:before="240"/>
      </w:pPr>
      <w:r>
        <w:rPr>
          <w:rFonts w:ascii="Arial" w:cs="Arial" w:eastAsia="Arial" w:hAnsi="Arial"/>
          <w:b/>
          <w:bCs/>
          <w:color w:val="0D6E4A"/>
          <w:sz w:val="30"/>
          <w:szCs w:val="30"/>
        </w:rPr>
        <w:t xml:space="preserve">1.2 What the Framework Gets Right</w:t>
      </w:r>
    </w:p>
    <w:p>
      <w:pPr>
        <w:pStyle w:val="ListParagraph"/>
        <w:numPr>
          <w:ilvl w:val="0"/>
          <w:numId w:val="2"/>
        </w:numPr>
        <w:spacing w:after="40" w:before="40"/>
      </w:pPr>
      <w:r>
        <w:rPr>
          <w:rFonts w:ascii="Arial" w:cs="Arial" w:eastAsia="Arial" w:hAnsi="Arial"/>
          <w:color w:val="374151"/>
          <w:sz w:val="21"/>
          <w:szCs w:val="21"/>
        </w:rPr>
        <w:t xml:space="preserve">60/40 barbell structure — Exactly how Nassim Taleb's Antifragile framework recommends building portfolios: safe core absorbs crashes, aggressive bucket swings for asymmetric upside.</w:t>
      </w:r>
    </w:p>
    <w:p>
      <w:pPr>
        <w:pStyle w:val="ListParagraph"/>
        <w:numPr>
          <w:ilvl w:val="0"/>
          <w:numId w:val="2"/>
        </w:numPr>
        <w:spacing w:after="40" w:before="40"/>
      </w:pPr>
      <w:r>
        <w:rPr>
          <w:rFonts w:ascii="Arial" w:cs="Arial" w:eastAsia="Arial" w:hAnsi="Arial"/>
          <w:color w:val="374151"/>
          <w:sz w:val="21"/>
          <w:szCs w:val="21"/>
        </w:rPr>
        <w:t xml:space="preserve">US + India = must — Every major global hedge fund overweights these two markets. Deepest earnings growth runway for the next 5 years.</w:t>
      </w:r>
    </w:p>
    <w:p>
      <w:pPr>
        <w:pStyle w:val="ListParagraph"/>
        <w:numPr>
          <w:ilvl w:val="0"/>
          <w:numId w:val="2"/>
        </w:numPr>
        <w:spacing w:after="40" w:before="40"/>
      </w:pPr>
      <w:r>
        <w:rPr>
          <w:rFonts w:ascii="Arial" w:cs="Arial" w:eastAsia="Arial" w:hAnsi="Arial"/>
          <w:color w:val="374151"/>
          <w:sz w:val="21"/>
          <w:szCs w:val="21"/>
        </w:rPr>
        <w:t xml:space="preserve">Gold allocation — Gold hit $3,300+ in April 2026. JPMorgan targets $5,055 by Q4. Ray Dalio publicly recommends 10–15% right now. This is a correct, timely call.</w:t>
      </w:r>
    </w:p>
    <w:p>
      <w:pPr>
        <w:pStyle w:val="ListParagraph"/>
        <w:numPr>
          <w:ilvl w:val="0"/>
          <w:numId w:val="2"/>
        </w:numPr>
        <w:spacing w:after="40" w:before="40"/>
      </w:pPr>
      <w:r>
        <w:rPr>
          <w:rFonts w:ascii="Arial" w:cs="Arial" w:eastAsia="Arial" w:hAnsi="Arial"/>
          <w:color w:val="374151"/>
          <w:sz w:val="21"/>
          <w:szCs w:val="21"/>
        </w:rPr>
        <w:t xml:space="preserve">Malaysia as income anchor — ASEAN dividend index yields 3.57%, beating the USA (1.68%), Europe (3.18%) and EM (2.90%) on income. Smart use of your base country.</w:t>
      </w:r>
    </w:p>
    <w:p>
      <w:pPr>
        <w:pStyle w:val="ListParagraph"/>
        <w:numPr>
          <w:ilvl w:val="0"/>
          <w:numId w:val="2"/>
        </w:numPr>
        <w:spacing w:after="40" w:before="40"/>
      </w:pPr>
      <w:r>
        <w:rPr>
          <w:rFonts w:ascii="Arial" w:cs="Arial" w:eastAsia="Arial" w:hAnsi="Arial"/>
          <w:color w:val="374151"/>
          <w:sz w:val="21"/>
          <w:szCs w:val="21"/>
        </w:rPr>
        <w:t xml:space="preserve">"One winner changes everything" — This is the core insight of Peter Lynch's 10-bagger philosophy. You need 1–2 big winners, not 20 mediocre picks.</w:t>
      </w:r>
    </w:p>
    <w:p>
      <w:r>
        <w:t xml:space="preserve"/>
      </w:r>
    </w:p>
    <w:p>
      <w:pPr>
        <w:pStyle w:val="Heading2"/>
        <w:pBdr>
          <w:bottom w:val="single" w:color="B91C1C" w:sz="4" w:space="4"/>
        </w:pBdr>
        <w:spacing w:after="120" w:before="240"/>
      </w:pPr>
      <w:r>
        <w:rPr>
          <w:rFonts w:ascii="Arial" w:cs="Arial" w:eastAsia="Arial" w:hAnsi="Arial"/>
          <w:b/>
          <w:bCs/>
          <w:color w:val="B91C1C"/>
          <w:sz w:val="30"/>
          <w:szCs w:val="30"/>
        </w:rPr>
        <w:t xml:space="preserve">1.3 What Needs Fixing (Especially as NRI)</w:t>
      </w:r>
    </w:p>
    <w:p>
      <w:pPr>
        <w:pStyle w:val="ListParagraph"/>
        <w:numPr>
          <w:ilvl w:val="0"/>
          <w:numId w:val="2"/>
        </w:numPr>
        <w:spacing w:after="40" w:before="40"/>
      </w:pPr>
      <w:r>
        <w:rPr>
          <w:rFonts w:ascii="Arial" w:cs="Arial" w:eastAsia="Arial" w:hAnsi="Arial"/>
          <w:color w:val="374151"/>
          <w:sz w:val="21"/>
          <w:szCs w:val="21"/>
        </w:rPr>
        <w:t xml:space="preserve">No tax layer: The original plan ignores NRI taxation entirely. India 12.5% LTCG, 30% US dividend withholding, 20% India dividend TDS — these silently erode 8–12% of total returns over 5 years.</w:t>
      </w:r>
    </w:p>
    <w:p>
      <w:pPr>
        <w:pStyle w:val="ListParagraph"/>
        <w:numPr>
          <w:ilvl w:val="0"/>
          <w:numId w:val="2"/>
        </w:numPr>
        <w:spacing w:after="40" w:before="40"/>
      </w:pPr>
      <w:r>
        <w:rPr>
          <w:rFonts w:ascii="Arial" w:cs="Arial" w:eastAsia="Arial" w:hAnsi="Arial"/>
          <w:color w:val="374151"/>
          <w:sz w:val="21"/>
          <w:szCs w:val="21"/>
        </w:rPr>
        <w:t xml:space="preserve">No cash buffer: JPMorgan gives 35% recession odds for 2026. You need 5% dry powder earning 5% in T-bills — ready to deploy on the dip. Cash is a weapon, not a failure.</w:t>
      </w:r>
    </w:p>
    <w:p>
      <w:pPr>
        <w:pStyle w:val="ListParagraph"/>
        <w:numPr>
          <w:ilvl w:val="0"/>
          <w:numId w:val="2"/>
        </w:numPr>
        <w:spacing w:after="40" w:before="40"/>
      </w:pPr>
      <w:r>
        <w:rPr>
          <w:rFonts w:ascii="Arial" w:cs="Arial" w:eastAsia="Arial" w:hAnsi="Arial"/>
          <w:color w:val="374151"/>
          <w:sz w:val="21"/>
          <w:szCs w:val="21"/>
        </w:rPr>
        <w:t xml:space="preserve">QQQ + VOO overlap: Combined 40%+ Mag-7 exposure. Less diversified than the allocation table suggests. Reduce QQQ from 15% to 8%.</w:t>
      </w:r>
    </w:p>
    <w:p>
      <w:pPr>
        <w:pStyle w:val="ListParagraph"/>
        <w:numPr>
          <w:ilvl w:val="0"/>
          <w:numId w:val="2"/>
        </w:numPr>
        <w:spacing w:after="40" w:before="40"/>
      </w:pPr>
      <w:r>
        <w:rPr>
          <w:rFonts w:ascii="Arial" w:cs="Arial" w:eastAsia="Arial" w:hAnsi="Arial"/>
          <w:color w:val="374151"/>
          <w:sz w:val="21"/>
          <w:szCs w:val="21"/>
        </w:rPr>
        <w:t xml:space="preserve">China at 10% is too high: Taiwan Strait is the #1 geopolitical tail risk in 2026. Use VWO (0.08% expense ratio) not EEM (0.68%) — lower cost and less China concentration.</w:t>
      </w:r>
    </w:p>
    <w:p>
      <w:pPr>
        <w:pStyle w:val="ListParagraph"/>
        <w:numPr>
          <w:ilvl w:val="0"/>
          <w:numId w:val="2"/>
        </w:numPr>
        <w:spacing w:after="40" w:before="40"/>
      </w:pPr>
      <w:r>
        <w:rPr>
          <w:rFonts w:ascii="Arial" w:cs="Arial" w:eastAsia="Arial" w:hAnsi="Arial"/>
          <w:color w:val="374151"/>
          <w:sz w:val="21"/>
          <w:szCs w:val="21"/>
        </w:rPr>
        <w:t xml:space="preserve">No NRE/NRO structure defined: Routing Indian equity via NRE Demat makes gains tax-free in India and freely repatriable to Malaysia. This single structural change recovers 1–1.5% annually.</w:t>
      </w:r>
    </w:p>
    <w:p>
      <w:r>
        <w:t xml:space="preserve"/>
      </w:r>
    </w:p>
    <w:p>
      <w:r>
        <w:br w:type="page"/>
      </w:r>
    </w:p>
    <w:p>
      <w:pPr>
        <w:pStyle w:val="Heading1"/>
        <w:spacing w:after="160" w:before="320"/>
      </w:pPr>
      <w:r>
        <w:rPr>
          <w:rFonts w:ascii="Arial" w:cs="Arial" w:eastAsia="Arial" w:hAnsi="Arial"/>
          <w:b/>
          <w:bCs/>
          <w:color w:val="0A0F1E"/>
          <w:sz w:val="40"/>
          <w:szCs w:val="40"/>
        </w:rPr>
        <w:t xml:space="preserve">2. The Top 5 Markets — Final Shortlist</w:t>
      </w:r>
    </w:p>
    <w:p>
      <w:pPr>
        <w:spacing w:after="80" w:before="80"/>
        <w:jc w:val="left"/>
      </w:pPr>
      <w:r>
        <w:rPr>
          <w:rFonts w:ascii="Arial" w:cs="Arial" w:eastAsia="Arial" w:hAnsi="Arial"/>
          <w:b w:val="false"/>
          <w:bCs w:val="false"/>
          <w:i w:val="false"/>
          <w:iCs w:val="false"/>
          <w:color w:val="64748B"/>
          <w:sz w:val="22"/>
          <w:szCs w:val="22"/>
        </w:rPr>
        <w:t xml:space="preserve">Why these five, why not others, and the specific NRI advantage in each.</w:t>
      </w:r>
    </w:p>
    <w:p>
      <w:r>
        <w:t xml:space="preserve"/>
      </w:r>
    </w:p>
    <w:p>
      <w:pPr>
        <w:pStyle w:val="Heading2"/>
        <w:pBdr>
          <w:bottom w:val="single" w:color="0A0F1E" w:sz="4" w:space="4"/>
        </w:pBdr>
        <w:spacing w:after="120" w:before="240"/>
      </w:pPr>
      <w:r>
        <w:rPr>
          <w:rFonts w:ascii="Arial" w:cs="Arial" w:eastAsia="Arial" w:hAnsi="Arial"/>
          <w:b/>
          <w:bCs/>
          <w:color w:val="0A0F1E"/>
          <w:sz w:val="30"/>
          <w:szCs w:val="30"/>
        </w:rPr>
        <w:t xml:space="preserve">Market #1 — United States (VOO + SOXX)</w:t>
      </w:r>
    </w:p>
    <w:p>
      <w:pPr>
        <w:spacing w:after="80" w:before="80"/>
        <w:jc w:val="left"/>
      </w:pPr>
      <w:r>
        <w:rPr>
          <w:rFonts w:ascii="Arial" w:cs="Arial" w:eastAsia="Arial" w:hAnsi="Arial"/>
          <w:b/>
          <w:bCs/>
          <w:i w:val="false"/>
          <w:iCs w:val="false"/>
          <w:color w:val="1D4ED8"/>
          <w:sz w:val="20"/>
          <w:szCs w:val="20"/>
        </w:rPr>
        <w:t xml:space="preserve">Allocation: 30% ($3,000) | Expected CAGR: 12–14% | Role: Compounding core + AI infrastructure</w:t>
      </w:r>
    </w:p>
    <w:p>
      <w:r>
        <w:t xml:space="preserve"/>
      </w:r>
    </w:p>
    <w:p>
      <w:pPr>
        <w:spacing w:after="80" w:before="80"/>
        <w:jc w:val="left"/>
      </w:pPr>
      <w:r>
        <w:rPr>
          <w:rFonts w:ascii="Arial" w:cs="Arial" w:eastAsia="Arial" w:hAnsi="Arial"/>
          <w:b w:val="false"/>
          <w:bCs w:val="false"/>
          <w:i w:val="false"/>
          <w:iCs w:val="false"/>
          <w:color w:val="374151"/>
          <w:sz w:val="22"/>
          <w:szCs w:val="22"/>
        </w:rPr>
        <w:t xml:space="preserve">The S&amp;P 500's 10–12% long-run CAGR is the most reliable compounding engine on earth. 60% of global corporate earnings growth comes from US-listed companies. SOXX (semiconductors) sits on top of the AI megatrend — TSMC, NVIDIA, and ASML form the irreplaceable chokepoint of the next economy's infrastructure.</w:t>
      </w:r>
    </w:p>
    <w:p>
      <w:r>
        <w:t xml:space="preserve"/>
      </w:r>
    </w:p>
    <w:p>
      <w:pPr>
        <w:pStyle w:val="ListParagraph"/>
        <w:numPr>
          <w:ilvl w:val="0"/>
          <w:numId w:val="2"/>
        </w:numPr>
        <w:spacing w:after="40" w:before="40"/>
      </w:pPr>
      <w:r>
        <w:rPr>
          <w:rFonts w:ascii="Arial" w:cs="Arial" w:eastAsia="Arial" w:hAnsi="Arial"/>
          <w:color w:val="374151"/>
          <w:sz w:val="21"/>
          <w:szCs w:val="21"/>
        </w:rPr>
        <w:t xml:space="preserve">Buy via IBKR Singapore — zero US capital gains tax for non-residents</w:t>
      </w:r>
    </w:p>
    <w:p>
      <w:pPr>
        <w:pStyle w:val="ListParagraph"/>
        <w:numPr>
          <w:ilvl w:val="0"/>
          <w:numId w:val="2"/>
        </w:numPr>
        <w:spacing w:after="40" w:before="40"/>
      </w:pPr>
      <w:r>
        <w:rPr>
          <w:rFonts w:ascii="Arial" w:cs="Arial" w:eastAsia="Arial" w:hAnsi="Arial"/>
          <w:color w:val="374151"/>
          <w:sz w:val="21"/>
          <w:szCs w:val="21"/>
        </w:rPr>
        <w:t xml:space="preserve">File W-8BEN to reduce dividend withholding from 30% to 15%</w:t>
      </w:r>
    </w:p>
    <w:p>
      <w:pPr>
        <w:pStyle w:val="ListParagraph"/>
        <w:numPr>
          <w:ilvl w:val="0"/>
          <w:numId w:val="2"/>
        </w:numPr>
        <w:spacing w:after="40" w:before="40"/>
      </w:pPr>
      <w:r>
        <w:rPr>
          <w:rFonts w:ascii="Arial" w:cs="Arial" w:eastAsia="Arial" w:hAnsi="Arial"/>
          <w:color w:val="374151"/>
          <w:sz w:val="21"/>
          <w:szCs w:val="21"/>
        </w:rPr>
        <w:t xml:space="preserve">SOXX YTD performance 2026: +45.7% | Zacks Rank #1 Strong Buy</w:t>
      </w:r>
    </w:p>
    <w:p>
      <w:pPr>
        <w:pStyle w:val="ListParagraph"/>
        <w:numPr>
          <w:ilvl w:val="0"/>
          <w:numId w:val="2"/>
        </w:numPr>
        <w:spacing w:after="40" w:before="40"/>
      </w:pPr>
      <w:r>
        <w:rPr>
          <w:rFonts w:ascii="Arial" w:cs="Arial" w:eastAsia="Arial" w:hAnsi="Arial"/>
          <w:color w:val="374151"/>
          <w:sz w:val="21"/>
          <w:szCs w:val="21"/>
        </w:rPr>
        <w:t xml:space="preserve">Key risk: US recession (35% probability per JPMorgan) + Taiwan escalation</w:t>
      </w:r>
    </w:p>
    <w:p>
      <w:r>
        <w:t xml:space="preserve"/>
      </w:r>
    </w:p>
    <w:p>
      <w:pPr>
        <w:pStyle w:val="Heading2"/>
        <w:pBdr>
          <w:bottom w:val="single" w:color="92400E" w:sz="4" w:space="4"/>
        </w:pBdr>
        <w:spacing w:after="120" w:before="240"/>
      </w:pPr>
      <w:r>
        <w:rPr>
          <w:rFonts w:ascii="Arial" w:cs="Arial" w:eastAsia="Arial" w:hAnsi="Arial"/>
          <w:b/>
          <w:bCs/>
          <w:color w:val="92400E"/>
          <w:sz w:val="30"/>
          <w:szCs w:val="30"/>
        </w:rPr>
        <w:t xml:space="preserve">Market #2 — India (Mid + Largecap via NRE)</w:t>
      </w:r>
    </w:p>
    <w:p>
      <w:pPr>
        <w:spacing w:after="80" w:before="80"/>
        <w:jc w:val="left"/>
      </w:pPr>
      <w:r>
        <w:rPr>
          <w:rFonts w:ascii="Arial" w:cs="Arial" w:eastAsia="Arial" w:hAnsi="Arial"/>
          <w:b/>
          <w:bCs/>
          <w:i w:val="false"/>
          <w:iCs w:val="false"/>
          <w:color w:val="92400E"/>
          <w:sz w:val="20"/>
          <w:szCs w:val="20"/>
        </w:rPr>
        <w:t xml:space="preserve">Allocation: 18% ($1,800) | Expected CAGR: 15–18% | Role: Growth engine with NRI tax edge</w:t>
      </w:r>
    </w:p>
    <w:p>
      <w:r>
        <w:t xml:space="preserve"/>
      </w:r>
    </w:p>
    <w:p>
      <w:pPr>
        <w:spacing w:after="80" w:before="80"/>
        <w:jc w:val="left"/>
      </w:pPr>
      <w:r>
        <w:rPr>
          <w:rFonts w:ascii="Arial" w:cs="Arial" w:eastAsia="Arial" w:hAnsi="Arial"/>
          <w:b w:val="false"/>
          <w:bCs w:val="false"/>
          <w:i w:val="false"/>
          <w:iCs w:val="false"/>
          <w:color w:val="374151"/>
          <w:sz w:val="22"/>
          <w:szCs w:val="22"/>
        </w:rPr>
        <w:t xml:space="preserve">India is the fastest-growing major economy globally at 6.5–7% GDP growth. Domestic institutional investors deployed $77 billion in 2025 even as foreign investors sold $17 billion — demonstrating structural conviction. The RBI rate-cut cycle plus domestic consumption recovery is the classic setup for a mid-cap re-rating.</w:t>
      </w:r>
    </w:p>
    <w:p>
      <w:r>
        <w:t xml:space="preserve"/>
      </w:r>
    </w:p>
    <w:p>
      <w:pPr>
        <w:pStyle w:val="ListParagraph"/>
        <w:numPr>
          <w:ilvl w:val="0"/>
          <w:numId w:val="2"/>
        </w:numPr>
        <w:spacing w:after="40" w:before="40"/>
      </w:pPr>
      <w:r>
        <w:rPr>
          <w:rFonts w:ascii="Arial" w:cs="Arial" w:eastAsia="Arial" w:hAnsi="Arial"/>
          <w:color w:val="374151"/>
          <w:sz w:val="21"/>
          <w:szCs w:val="21"/>
        </w:rPr>
        <w:t xml:space="preserve">NRE Demat account = gains freely repatriable to Malaysia, no TDS at source</w:t>
      </w:r>
    </w:p>
    <w:p>
      <w:pPr>
        <w:pStyle w:val="ListParagraph"/>
        <w:numPr>
          <w:ilvl w:val="0"/>
          <w:numId w:val="2"/>
        </w:numPr>
        <w:spacing w:after="40" w:before="40"/>
      </w:pPr>
      <w:r>
        <w:rPr>
          <w:rFonts w:ascii="Arial" w:cs="Arial" w:eastAsia="Arial" w:hAnsi="Arial"/>
          <w:color w:val="374151"/>
          <w:sz w:val="21"/>
          <w:szCs w:val="21"/>
        </w:rPr>
        <w:t xml:space="preserve">Nifty 50 year-end target: 28,500 (~12% upside from current levels)</w:t>
      </w:r>
    </w:p>
    <w:p>
      <w:pPr>
        <w:pStyle w:val="ListParagraph"/>
        <w:numPr>
          <w:ilvl w:val="0"/>
          <w:numId w:val="2"/>
        </w:numPr>
        <w:spacing w:after="40" w:before="40"/>
      </w:pPr>
      <w:r>
        <w:rPr>
          <w:rFonts w:ascii="Arial" w:cs="Arial" w:eastAsia="Arial" w:hAnsi="Arial"/>
          <w:color w:val="374151"/>
          <w:sz w:val="21"/>
          <w:szCs w:val="21"/>
        </w:rPr>
        <w:t xml:space="preserve">Earnings re-acceleration expected H2 2026 across consumer, financial, IT sectors</w:t>
      </w:r>
    </w:p>
    <w:p>
      <w:pPr>
        <w:pStyle w:val="ListParagraph"/>
        <w:numPr>
          <w:ilvl w:val="0"/>
          <w:numId w:val="2"/>
        </w:numPr>
        <w:spacing w:after="40" w:before="40"/>
      </w:pPr>
      <w:r>
        <w:rPr>
          <w:rFonts w:ascii="Arial" w:cs="Arial" w:eastAsia="Arial" w:hAnsi="Arial"/>
          <w:color w:val="374151"/>
          <w:sz w:val="21"/>
          <w:szCs w:val="21"/>
        </w:rPr>
        <w:t xml:space="preserve">Rakesh Jhunjhunwala: "India is a 20-year story that has only just started"</w:t>
      </w:r>
    </w:p>
    <w:p>
      <w:r>
        <w:t xml:space="preserve"/>
      </w:r>
    </w:p>
    <w:p>
      <w:pPr>
        <w:pStyle w:val="Heading2"/>
        <w:pBdr>
          <w:bottom w:val="single" w:color="C9A84C" w:sz="4" w:space="4"/>
        </w:pBdr>
        <w:spacing w:after="120" w:before="240"/>
      </w:pPr>
      <w:r>
        <w:rPr>
          <w:rFonts w:ascii="Arial" w:cs="Arial" w:eastAsia="Arial" w:hAnsi="Arial"/>
          <w:b/>
          <w:bCs/>
          <w:color w:val="C9A84C"/>
          <w:sz w:val="30"/>
          <w:szCs w:val="30"/>
        </w:rPr>
        <w:t xml:space="preserve">Market #3 — Gold via IAU ETF</w:t>
      </w:r>
    </w:p>
    <w:p>
      <w:pPr>
        <w:spacing w:after="80" w:before="80"/>
        <w:jc w:val="left"/>
      </w:pPr>
      <w:r>
        <w:rPr>
          <w:rFonts w:ascii="Arial" w:cs="Arial" w:eastAsia="Arial" w:hAnsi="Arial"/>
          <w:b/>
          <w:bCs/>
          <w:i w:val="false"/>
          <w:iCs w:val="false"/>
          <w:color w:val="92400E"/>
          <w:sz w:val="20"/>
          <w:szCs w:val="20"/>
        </w:rPr>
        <w:t xml:space="preserve">Allocation: 10% ($1,000) | Near-term expected return: +25–40% | Role: Crisis hedge + active return asset</w:t>
      </w:r>
    </w:p>
    <w:p>
      <w:r>
        <w:t xml:space="preserve"/>
      </w:r>
    </w:p>
    <w:p>
      <w:pPr>
        <w:spacing w:after="80" w:before="80"/>
        <w:jc w:val="left"/>
      </w:pPr>
      <w:r>
        <w:rPr>
          <w:rFonts w:ascii="Arial" w:cs="Arial" w:eastAsia="Arial" w:hAnsi="Arial"/>
          <w:b w:val="false"/>
          <w:bCs w:val="false"/>
          <w:i w:val="false"/>
          <w:iCs w:val="false"/>
          <w:color w:val="374151"/>
          <w:sz w:val="22"/>
          <w:szCs w:val="22"/>
        </w:rPr>
        <w:t xml:space="preserve">Gold in April 2026 is not merely a hedge — it is an outright return asset. JPMorgan targets $5,055/oz by Q4 2026 with a stretch to $6,300. Goldman Sachs concurs at $5,000. The April 2026 inflation spike strengthens the case further. Ray Dalio publicly recommends 10–15% gold allocation right now.</w:t>
      </w:r>
    </w:p>
    <w:p>
      <w:r>
        <w:t xml:space="preserve"/>
      </w:r>
    </w:p>
    <w:p>
      <w:pPr>
        <w:pStyle w:val="ListParagraph"/>
        <w:numPr>
          <w:ilvl w:val="0"/>
          <w:numId w:val="2"/>
        </w:numPr>
        <w:spacing w:after="40" w:before="40"/>
      </w:pPr>
      <w:r>
        <w:rPr>
          <w:rFonts w:ascii="Arial" w:cs="Arial" w:eastAsia="Arial" w:hAnsi="Arial"/>
          <w:color w:val="374151"/>
          <w:sz w:val="21"/>
          <w:szCs w:val="21"/>
        </w:rPr>
        <w:t xml:space="preserve">IAU preferred over GLD: same gold exposure, 0.25% vs 0.40% expense ratio</w:t>
      </w:r>
    </w:p>
    <w:p>
      <w:pPr>
        <w:pStyle w:val="ListParagraph"/>
        <w:numPr>
          <w:ilvl w:val="0"/>
          <w:numId w:val="2"/>
        </w:numPr>
        <w:spacing w:after="40" w:before="40"/>
      </w:pPr>
      <w:r>
        <w:rPr>
          <w:rFonts w:ascii="Arial" w:cs="Arial" w:eastAsia="Arial" w:hAnsi="Arial"/>
          <w:color w:val="374151"/>
          <w:sz w:val="21"/>
          <w:szCs w:val="21"/>
        </w:rPr>
        <w:t xml:space="preserve">On $1,000 over 5 years, IAU saves ~$75 in fees that compound</w:t>
      </w:r>
    </w:p>
    <w:p>
      <w:pPr>
        <w:pStyle w:val="ListParagraph"/>
        <w:numPr>
          <w:ilvl w:val="0"/>
          <w:numId w:val="2"/>
        </w:numPr>
        <w:spacing w:after="40" w:before="40"/>
      </w:pPr>
      <w:r>
        <w:rPr>
          <w:rFonts w:ascii="Arial" w:cs="Arial" w:eastAsia="Arial" w:hAnsi="Arial"/>
          <w:color w:val="374151"/>
          <w:sz w:val="21"/>
          <w:szCs w:val="21"/>
        </w:rPr>
        <w:t xml:space="preserve">For NRI: buy IAU via IBKR Singapore — no India CGT, no Malaysia CGT</w:t>
      </w:r>
    </w:p>
    <w:p>
      <w:pPr>
        <w:pStyle w:val="ListParagraph"/>
        <w:numPr>
          <w:ilvl w:val="0"/>
          <w:numId w:val="2"/>
        </w:numPr>
        <w:spacing w:after="40" w:before="40"/>
      </w:pPr>
      <w:r>
        <w:rPr>
          <w:rFonts w:ascii="Arial" w:cs="Arial" w:eastAsia="Arial" w:hAnsi="Arial"/>
          <w:color w:val="374151"/>
          <w:sz w:val="21"/>
          <w:szCs w:val="21"/>
        </w:rPr>
        <w:t xml:space="preserve">Do NOT buy India gold ETFs — taxed at full income slab rate for NRIs</w:t>
      </w:r>
    </w:p>
    <w:p>
      <w:r>
        <w:t xml:space="preserve"/>
      </w:r>
    </w:p>
    <w:p>
      <w:pPr>
        <w:pStyle w:val="Heading2"/>
        <w:pBdr>
          <w:bottom w:val="single" w:color="0D6E4A" w:sz="4" w:space="4"/>
        </w:pBdr>
        <w:spacing w:after="120" w:before="240"/>
      </w:pPr>
      <w:r>
        <w:rPr>
          <w:rFonts w:ascii="Arial" w:cs="Arial" w:eastAsia="Arial" w:hAnsi="Arial"/>
          <w:b/>
          <w:bCs/>
          <w:color w:val="0D6E4A"/>
          <w:sz w:val="30"/>
          <w:szCs w:val="30"/>
        </w:rPr>
        <w:t xml:space="preserve">Market #4 — Malaysia + Singapore (Dividend Anchor)</w:t>
      </w:r>
    </w:p>
    <w:p>
      <w:pPr>
        <w:spacing w:after="80" w:before="80"/>
        <w:jc w:val="left"/>
      </w:pPr>
      <w:r>
        <w:rPr>
          <w:rFonts w:ascii="Arial" w:cs="Arial" w:eastAsia="Arial" w:hAnsi="Arial"/>
          <w:b/>
          <w:bCs/>
          <w:i w:val="false"/>
          <w:iCs w:val="false"/>
          <w:color w:val="0D6E4A"/>
          <w:sz w:val="20"/>
          <w:szCs w:val="20"/>
        </w:rPr>
        <w:t xml:space="preserve">Allocation: 5% ($500) | Dividend yield: 5–6% + capital growth | Role: Income + tax efficiency</w:t>
      </w:r>
    </w:p>
    <w:p>
      <w:r>
        <w:t xml:space="preserve"/>
      </w:r>
    </w:p>
    <w:p>
      <w:pPr>
        <w:spacing w:after="80" w:before="80"/>
        <w:jc w:val="left"/>
      </w:pPr>
      <w:r>
        <w:rPr>
          <w:rFonts w:ascii="Arial" w:cs="Arial" w:eastAsia="Arial" w:hAnsi="Arial"/>
          <w:b w:val="false"/>
          <w:bCs w:val="false"/>
          <w:i w:val="false"/>
          <w:iCs w:val="false"/>
          <w:color w:val="374151"/>
          <w:sz w:val="22"/>
          <w:szCs w:val="22"/>
        </w:rPr>
        <w:t xml:space="preserve">You live here. You understand these businesses. Maybank and DBS are ASEAN's most consistent dividend payers — 5–6% yield backed by Singapore's 4.8% GDP growth and Malaysia's stable banking sector. Malaysia has zero CGT on shares and zero dividend tax at investor level. This is your most tax-efficient investment.</w:t>
      </w:r>
    </w:p>
    <w:p>
      <w:r>
        <w:t xml:space="preserve"/>
      </w:r>
    </w:p>
    <w:p>
      <w:pPr>
        <w:pStyle w:val="ListParagraph"/>
        <w:numPr>
          <w:ilvl w:val="0"/>
          <w:numId w:val="2"/>
        </w:numPr>
        <w:spacing w:after="40" w:before="40"/>
      </w:pPr>
      <w:r>
        <w:rPr>
          <w:rFonts w:ascii="Arial" w:cs="Arial" w:eastAsia="Arial" w:hAnsi="Arial"/>
          <w:color w:val="374151"/>
          <w:sz w:val="21"/>
          <w:szCs w:val="21"/>
        </w:rPr>
        <w:t xml:space="preserve">FTSE ASEAN dividend yield 3.57% historically — beats USA, Europe, EM</w:t>
      </w:r>
    </w:p>
    <w:p>
      <w:pPr>
        <w:pStyle w:val="ListParagraph"/>
        <w:numPr>
          <w:ilvl w:val="0"/>
          <w:numId w:val="2"/>
        </w:numPr>
        <w:spacing w:after="40" w:before="40"/>
      </w:pPr>
      <w:r>
        <w:rPr>
          <w:rFonts w:ascii="Arial" w:cs="Arial" w:eastAsia="Arial" w:hAnsi="Arial"/>
          <w:color w:val="374151"/>
          <w:sz w:val="21"/>
          <w:szCs w:val="21"/>
        </w:rPr>
        <w:t xml:space="preserve">Malaysia: No CGT on shares. Dividend income tax-free at investor level.</w:t>
      </w:r>
    </w:p>
    <w:p>
      <w:pPr>
        <w:pStyle w:val="ListParagraph"/>
        <w:numPr>
          <w:ilvl w:val="0"/>
          <w:numId w:val="2"/>
        </w:numPr>
        <w:spacing w:after="40" w:before="40"/>
      </w:pPr>
      <w:r>
        <w:rPr>
          <w:rFonts w:ascii="Arial" w:cs="Arial" w:eastAsia="Arial" w:hAnsi="Arial"/>
          <w:color w:val="374151"/>
          <w:sz w:val="21"/>
          <w:szCs w:val="21"/>
        </w:rPr>
        <w:t xml:space="preserve">Singapore: DBS, UOB — blue-chip banks with regional ASEAN growth exposure</w:t>
      </w:r>
    </w:p>
    <w:p>
      <w:pPr>
        <w:pStyle w:val="ListParagraph"/>
        <w:numPr>
          <w:ilvl w:val="0"/>
          <w:numId w:val="2"/>
        </w:numPr>
        <w:spacing w:after="40" w:before="40"/>
      </w:pPr>
      <w:r>
        <w:rPr>
          <w:rFonts w:ascii="Arial" w:cs="Arial" w:eastAsia="Arial" w:hAnsi="Arial"/>
          <w:color w:val="374151"/>
          <w:sz w:val="21"/>
          <w:szCs w:val="21"/>
        </w:rPr>
        <w:t xml:space="preserve">Use your proximity advantage — you understand these businesses better than most</w:t>
      </w:r>
    </w:p>
    <w:p>
      <w:r>
        <w:t xml:space="preserve"/>
      </w:r>
    </w:p>
    <w:p>
      <w:pPr>
        <w:pStyle w:val="Heading2"/>
        <w:pBdr>
          <w:bottom w:val="single" w:color="1D4ED8" w:sz="4" w:space="4"/>
        </w:pBdr>
        <w:spacing w:after="120" w:before="240"/>
      </w:pPr>
      <w:r>
        <w:rPr>
          <w:rFonts w:ascii="Arial" w:cs="Arial" w:eastAsia="Arial" w:hAnsi="Arial"/>
          <w:b/>
          <w:bCs/>
          <w:color w:val="1D4ED8"/>
          <w:sz w:val="30"/>
          <w:szCs w:val="30"/>
        </w:rPr>
        <w:t xml:space="preserve">Market #5 — Emerging Markets via VWO</w:t>
      </w:r>
    </w:p>
    <w:p>
      <w:pPr>
        <w:spacing w:after="80" w:before="80"/>
        <w:jc w:val="left"/>
      </w:pPr>
      <w:r>
        <w:rPr>
          <w:rFonts w:ascii="Arial" w:cs="Arial" w:eastAsia="Arial" w:hAnsi="Arial"/>
          <w:b/>
          <w:bCs/>
          <w:i w:val="false"/>
          <w:iCs w:val="false"/>
          <w:color w:val="1D4ED8"/>
          <w:sz w:val="20"/>
          <w:szCs w:val="20"/>
        </w:rPr>
        <w:t xml:space="preserve">Allocation: 7% ($700) | Expected CAGR: 10–12% | Role: Diversification + optionality</w:t>
      </w:r>
    </w:p>
    <w:p>
      <w:r>
        <w:t xml:space="preserve"/>
      </w:r>
    </w:p>
    <w:p>
      <w:pPr>
        <w:spacing w:after="80" w:before="80"/>
        <w:jc w:val="left"/>
      </w:pPr>
      <w:r>
        <w:rPr>
          <w:rFonts w:ascii="Arial" w:cs="Arial" w:eastAsia="Arial" w:hAnsi="Arial"/>
          <w:b w:val="false"/>
          <w:bCs w:val="false"/>
          <w:i w:val="false"/>
          <w:iCs w:val="false"/>
          <w:color w:val="374151"/>
          <w:sz w:val="22"/>
          <w:szCs w:val="22"/>
        </w:rPr>
        <w:t xml:space="preserve">VWO over EEM: same EM exposure, 0.08% vs 0.68% expense ratio. On $700 over 5 years, the fee saving alone compounds to ~$35. VWO captures China stimulus upside, Brazil recovery, Indonesia and Vietnam as next consumption growth engines. Goldman Sachs forecasts 11% global stock returns over 12 months with meaningful EM contribution.</w:t>
      </w:r>
    </w:p>
    <w:p>
      <w:r>
        <w:t xml:space="preserve"/>
      </w:r>
    </w:p>
    <w:p>
      <w:pPr>
        <w:pStyle w:val="ListParagraph"/>
        <w:numPr>
          <w:ilvl w:val="0"/>
          <w:numId w:val="2"/>
        </w:numPr>
        <w:spacing w:after="40" w:before="40"/>
      </w:pPr>
      <w:r>
        <w:rPr>
          <w:rFonts w:ascii="Arial" w:cs="Arial" w:eastAsia="Arial" w:hAnsi="Arial"/>
          <w:color w:val="374151"/>
          <w:sz w:val="21"/>
          <w:szCs w:val="21"/>
        </w:rPr>
        <w:t xml:space="preserve">VWO expense ratio 0.08% vs EEM 0.68% — same exposure, 8x cheaper</w:t>
      </w:r>
    </w:p>
    <w:p>
      <w:pPr>
        <w:pStyle w:val="ListParagraph"/>
        <w:numPr>
          <w:ilvl w:val="0"/>
          <w:numId w:val="2"/>
        </w:numPr>
        <w:spacing w:after="40" w:before="40"/>
      </w:pPr>
      <w:r>
        <w:rPr>
          <w:rFonts w:ascii="Arial" w:cs="Arial" w:eastAsia="Arial" w:hAnsi="Arial"/>
          <w:color w:val="374151"/>
          <w:sz w:val="21"/>
          <w:szCs w:val="21"/>
        </w:rPr>
        <w:t xml:space="preserve">Keep to 7% max — China policy risk and Taiwan geopolitics require caution</w:t>
      </w:r>
    </w:p>
    <w:p>
      <w:pPr>
        <w:pStyle w:val="ListParagraph"/>
        <w:numPr>
          <w:ilvl w:val="0"/>
          <w:numId w:val="2"/>
        </w:numPr>
        <w:spacing w:after="40" w:before="40"/>
      </w:pPr>
      <w:r>
        <w:rPr>
          <w:rFonts w:ascii="Arial" w:cs="Arial" w:eastAsia="Arial" w:hAnsi="Arial"/>
          <w:color w:val="374151"/>
          <w:sz w:val="21"/>
          <w:szCs w:val="21"/>
        </w:rPr>
        <w:t xml:space="preserve">China stimulus + India weight + Brazil recovery = diversification at low cost</w:t>
      </w:r>
    </w:p>
    <w:p>
      <w:r>
        <w:t xml:space="preserve"/>
      </w:r>
    </w:p>
    <w:p>
      <w:pPr>
        <w:pStyle w:val="Heading2"/>
        <w:pBdr>
          <w:bottom w:val="single" w:color="C9A84C" w:sz="4" w:space="4"/>
        </w:pBdr>
        <w:spacing w:after="120" w:before="240"/>
      </w:pPr>
      <w:r>
        <w:rPr>
          <w:rFonts w:ascii="Arial" w:cs="Arial" w:eastAsia="Arial" w:hAnsi="Arial"/>
          <w:b/>
          <w:bCs/>
          <w:color w:val="0A0F1E"/>
          <w:sz w:val="30"/>
          <w:szCs w:val="30"/>
        </w:rPr>
        <w:t xml:space="preserve">Deliberately Excluded Markets</w:t>
      </w:r>
    </w:p>
    <w:tbl>
      <w:tblPr>
        <w:tblW w:type="dxa" w:w="9360"/>
        <w:tblBorders>
          <w:top w:val="single" w:color="auto" w:sz="4"/>
          <w:left w:val="single" w:color="auto" w:sz="4"/>
          <w:bottom w:val="single" w:color="auto" w:sz="4"/>
          <w:right w:val="single" w:color="auto" w:sz="4"/>
          <w:insideH w:val="single" w:color="auto" w:sz="4"/>
          <w:insideV w:val="single" w:color="auto" w:sz="4"/>
        </w:tblBorders>
      </w:tblPr>
      <w:tblGrid>
        <w:gridCol w:w="2000"/>
        <w:gridCol w:w="4000"/>
        <w:gridCol w:w="3360"/>
      </w:tblGrid>
      <w:tr>
        <w:trPr>
          <w:tblHeader/>
        </w:trPr>
        <w:tc>
          <w:tcPr>
            <w:tcW w:type="dxa" w:w="2000"/>
            <w:tcBorders>
              <w:top w:val="single" w:color="D1D5DB" w:sz="1"/>
              <w:left w:val="single" w:color="D1D5DB" w:sz="1"/>
              <w:bottom w:val="single" w:color="D1D5DB" w:sz="1"/>
              <w:right w:val="single" w:color="D1D5DB" w:sz="1"/>
            </w:tcBorders>
            <w:shd w:fill="1E3A5F" w:val="clear"/>
            <w:tcMar>
              <w:top w:type="dxa" w:w="80"/>
              <w:left w:type="dxa" w:w="120"/>
              <w:bottom w:type="dxa" w:w="80"/>
              <w:right w:type="dxa" w:w="120"/>
            </w:tcMar>
            <w:vAlign w:val="center"/>
          </w:tcPr>
          <w:p>
            <w:pPr>
              <w:jc w:val="left"/>
            </w:pPr>
            <w:r>
              <w:rPr>
                <w:rFonts w:ascii="Arial" w:cs="Arial" w:eastAsia="Arial" w:hAnsi="Arial"/>
                <w:b/>
                <w:bCs/>
                <w:color w:val="FFFFFF"/>
                <w:sz w:val="20"/>
                <w:szCs w:val="20"/>
              </w:rPr>
              <w:t xml:space="preserve">Market</w:t>
            </w:r>
          </w:p>
        </w:tc>
        <w:tc>
          <w:tcPr>
            <w:tcW w:type="dxa" w:w="4000"/>
            <w:tcBorders>
              <w:top w:val="single" w:color="D1D5DB" w:sz="1"/>
              <w:left w:val="single" w:color="D1D5DB" w:sz="1"/>
              <w:bottom w:val="single" w:color="D1D5DB" w:sz="1"/>
              <w:right w:val="single" w:color="D1D5DB" w:sz="1"/>
            </w:tcBorders>
            <w:shd w:fill="1E3A5F" w:val="clear"/>
            <w:tcMar>
              <w:top w:type="dxa" w:w="80"/>
              <w:left w:type="dxa" w:w="120"/>
              <w:bottom w:type="dxa" w:w="80"/>
              <w:right w:type="dxa" w:w="120"/>
            </w:tcMar>
            <w:vAlign w:val="center"/>
          </w:tcPr>
          <w:p>
            <w:pPr>
              <w:jc w:val="left"/>
            </w:pPr>
            <w:r>
              <w:rPr>
                <w:rFonts w:ascii="Arial" w:cs="Arial" w:eastAsia="Arial" w:hAnsi="Arial"/>
                <w:b/>
                <w:bCs/>
                <w:color w:val="FFFFFF"/>
                <w:sz w:val="20"/>
                <w:szCs w:val="20"/>
              </w:rPr>
              <w:t xml:space="preserve">Why Excluded</w:t>
            </w:r>
          </w:p>
        </w:tc>
        <w:tc>
          <w:tcPr>
            <w:tcW w:type="dxa" w:w="3360"/>
            <w:tcBorders>
              <w:top w:val="single" w:color="D1D5DB" w:sz="1"/>
              <w:left w:val="single" w:color="D1D5DB" w:sz="1"/>
              <w:bottom w:val="single" w:color="D1D5DB" w:sz="1"/>
              <w:right w:val="single" w:color="D1D5DB" w:sz="1"/>
            </w:tcBorders>
            <w:shd w:fill="1E3A5F" w:val="clear"/>
            <w:tcMar>
              <w:top w:type="dxa" w:w="80"/>
              <w:left w:type="dxa" w:w="120"/>
              <w:bottom w:type="dxa" w:w="80"/>
              <w:right w:type="dxa" w:w="120"/>
            </w:tcMar>
            <w:vAlign w:val="center"/>
          </w:tcPr>
          <w:p>
            <w:pPr>
              <w:jc w:val="left"/>
            </w:pPr>
            <w:r>
              <w:rPr>
                <w:rFonts w:ascii="Arial" w:cs="Arial" w:eastAsia="Arial" w:hAnsi="Arial"/>
                <w:b/>
                <w:bCs/>
                <w:color w:val="FFFFFF"/>
                <w:sz w:val="20"/>
                <w:szCs w:val="20"/>
              </w:rPr>
              <w:t xml:space="preserve">What Would Change This</w:t>
            </w:r>
          </w:p>
        </w:tc>
      </w:tr>
      <w:tr>
        <w:tc>
          <w:tcPr>
            <w:tcW w:type="dxa" w:w="2000"/>
            <w:tcBorders>
              <w:top w:val="single" w:color="D1D5DB" w:sz="1"/>
              <w:left w:val="single" w:color="D1D5DB" w:sz="1"/>
              <w:bottom w:val="single" w:color="D1D5DB" w:sz="1"/>
              <w:right w:val="single" w:color="D1D5DB" w:sz="1"/>
            </w:tcBorders>
            <w:shd w:fill="F8FAFC" w:val="clear"/>
            <w:tcMar>
              <w:top w:type="dxa" w:w="80"/>
              <w:left w:type="dxa" w:w="120"/>
              <w:bottom w:type="dxa" w:w="80"/>
              <w:right w:type="dxa" w:w="120"/>
            </w:tcMar>
            <w:vAlign w:val="center"/>
          </w:tcPr>
          <w:p>
            <w:pPr>
              <w:jc w:val="left"/>
            </w:pPr>
            <w:r>
              <w:rPr>
                <w:rFonts w:ascii="Arial" w:cs="Arial" w:eastAsia="Arial" w:hAnsi="Arial"/>
                <w:b/>
                <w:bCs/>
                <w:color w:val="374151"/>
                <w:sz w:val="19"/>
                <w:szCs w:val="19"/>
              </w:rPr>
              <w:t xml:space="preserve">China (direct)</w:t>
            </w:r>
          </w:p>
        </w:tc>
        <w:tc>
          <w:tcPr>
            <w:tcW w:type="dxa" w:w="4000"/>
            <w:tcBorders>
              <w:top w:val="single" w:color="D1D5DB" w:sz="1"/>
              <w:left w:val="single" w:color="D1D5DB" w:sz="1"/>
              <w:bottom w:val="single" w:color="D1D5DB" w:sz="1"/>
              <w:right w:val="single" w:color="D1D5DB" w:sz="1"/>
            </w:tcBorders>
            <w:shd w:fill="F8FAFC" w:val="clear"/>
            <w:tcMar>
              <w:top w:type="dxa" w:w="80"/>
              <w:left w:type="dxa" w:w="120"/>
              <w:bottom w:type="dxa" w:w="80"/>
              <w:right w:type="dxa" w:w="120"/>
            </w:tcMar>
            <w:vAlign w:val="center"/>
          </w:tcPr>
          <w:p>
            <w:pPr>
              <w:jc w:val="left"/>
            </w:pPr>
            <w:r>
              <w:rPr>
                <w:rFonts w:ascii="Arial" w:cs="Arial" w:eastAsia="Arial" w:hAnsi="Arial"/>
                <w:b w:val="false"/>
                <w:bCs w:val="false"/>
                <w:color w:val="374151"/>
                <w:sz w:val="19"/>
                <w:szCs w:val="19"/>
              </w:rPr>
              <w:t xml:space="preserve">Taiwan Strait = #1 global tail risk. CCP crackdowns unpredictable.</w:t>
            </w:r>
          </w:p>
        </w:tc>
        <w:tc>
          <w:tcPr>
            <w:tcW w:type="dxa" w:w="3360"/>
            <w:tcBorders>
              <w:top w:val="single" w:color="D1D5DB" w:sz="1"/>
              <w:left w:val="single" w:color="D1D5DB" w:sz="1"/>
              <w:bottom w:val="single" w:color="D1D5DB" w:sz="1"/>
              <w:right w:val="single" w:color="D1D5DB" w:sz="1"/>
            </w:tcBorders>
            <w:shd w:fill="F8FAFC" w:val="clear"/>
            <w:tcMar>
              <w:top w:type="dxa" w:w="80"/>
              <w:left w:type="dxa" w:w="120"/>
              <w:bottom w:type="dxa" w:w="80"/>
              <w:right w:type="dxa" w:w="120"/>
            </w:tcMar>
            <w:vAlign w:val="center"/>
          </w:tcPr>
          <w:p>
            <w:pPr>
              <w:jc w:val="left"/>
            </w:pPr>
            <w:r>
              <w:rPr>
                <w:rFonts w:ascii="Arial" w:cs="Arial" w:eastAsia="Arial" w:hAnsi="Arial"/>
                <w:b w:val="false"/>
                <w:bCs w:val="false"/>
                <w:color w:val="374151"/>
                <w:sz w:val="19"/>
                <w:szCs w:val="19"/>
              </w:rPr>
              <w:t xml:space="preserve">Geopolitical de-escalation — captured via VWO anyway</w:t>
            </w:r>
          </w:p>
        </w:tc>
      </w:tr>
      <w:tr>
        <w:tc>
          <w:tcPr>
            <w:tcW w:type="dxa" w:w="2000"/>
            <w:tcBorders>
              <w:top w:val="single" w:color="D1D5DB" w:sz="1"/>
              <w:left w:val="single" w:color="D1D5DB" w:sz="1"/>
              <w:bottom w:val="single" w:color="D1D5DB" w:sz="1"/>
              <w:right w:val="single" w:color="D1D5DB" w:sz="1"/>
            </w:tcBorders>
            <w:shd w:fill="FFFFFF" w:val="clear"/>
            <w:tcMar>
              <w:top w:type="dxa" w:w="80"/>
              <w:left w:type="dxa" w:w="120"/>
              <w:bottom w:type="dxa" w:w="80"/>
              <w:right w:type="dxa" w:w="120"/>
            </w:tcMar>
            <w:vAlign w:val="center"/>
          </w:tcPr>
          <w:p>
            <w:pPr>
              <w:jc w:val="left"/>
            </w:pPr>
            <w:r>
              <w:rPr>
                <w:rFonts w:ascii="Arial" w:cs="Arial" w:eastAsia="Arial" w:hAnsi="Arial"/>
                <w:b/>
                <w:bCs/>
                <w:color w:val="374151"/>
                <w:sz w:val="19"/>
                <w:szCs w:val="19"/>
              </w:rPr>
              <w:t xml:space="preserve">Crypto</w:t>
            </w:r>
          </w:p>
        </w:tc>
        <w:tc>
          <w:tcPr>
            <w:tcW w:type="dxa" w:w="4000"/>
            <w:tcBorders>
              <w:top w:val="single" w:color="D1D5DB" w:sz="1"/>
              <w:left w:val="single" w:color="D1D5DB" w:sz="1"/>
              <w:bottom w:val="single" w:color="D1D5DB" w:sz="1"/>
              <w:right w:val="single" w:color="D1D5DB" w:sz="1"/>
            </w:tcBorders>
            <w:shd w:fill="FFFFFF" w:val="clear"/>
            <w:tcMar>
              <w:top w:type="dxa" w:w="80"/>
              <w:left w:type="dxa" w:w="120"/>
              <w:bottom w:type="dxa" w:w="80"/>
              <w:right w:type="dxa" w:w="120"/>
            </w:tcMar>
            <w:vAlign w:val="center"/>
          </w:tcPr>
          <w:p>
            <w:pPr>
              <w:jc w:val="left"/>
            </w:pPr>
            <w:r>
              <w:rPr>
                <w:rFonts w:ascii="Arial" w:cs="Arial" w:eastAsia="Arial" w:hAnsi="Arial"/>
                <w:b w:val="false"/>
                <w:bCs w:val="false"/>
                <w:color w:val="374151"/>
                <w:sz w:val="19"/>
                <w:szCs w:val="19"/>
              </w:rPr>
              <w:t xml:space="preserve">No earnings, no cash flow, no intrinsic value. Pension-destroying volatility.</w:t>
            </w:r>
          </w:p>
        </w:tc>
        <w:tc>
          <w:tcPr>
            <w:tcW w:type="dxa" w:w="3360"/>
            <w:tcBorders>
              <w:top w:val="single" w:color="D1D5DB" w:sz="1"/>
              <w:left w:val="single" w:color="D1D5DB" w:sz="1"/>
              <w:bottom w:val="single" w:color="D1D5DB" w:sz="1"/>
              <w:right w:val="single" w:color="D1D5DB" w:sz="1"/>
            </w:tcBorders>
            <w:shd w:fill="FFFFFF" w:val="clear"/>
            <w:tcMar>
              <w:top w:type="dxa" w:w="80"/>
              <w:left w:type="dxa" w:w="120"/>
              <w:bottom w:type="dxa" w:w="80"/>
              <w:right w:type="dxa" w:w="120"/>
            </w:tcMar>
            <w:vAlign w:val="center"/>
          </w:tcPr>
          <w:p>
            <w:pPr>
              <w:jc w:val="left"/>
            </w:pPr>
            <w:r>
              <w:rPr>
                <w:rFonts w:ascii="Arial" w:cs="Arial" w:eastAsia="Arial" w:hAnsi="Arial"/>
                <w:b w:val="false"/>
                <w:bCs w:val="false"/>
                <w:color w:val="374151"/>
                <w:sz w:val="19"/>
                <w:szCs w:val="19"/>
              </w:rPr>
              <w:t xml:space="preserve">Maximum 2% if you feel strongly. Never core.</w:t>
            </w:r>
          </w:p>
        </w:tc>
      </w:tr>
      <w:tr>
        <w:tc>
          <w:tcPr>
            <w:tcW w:type="dxa" w:w="2000"/>
            <w:tcBorders>
              <w:top w:val="single" w:color="D1D5DB" w:sz="1"/>
              <w:left w:val="single" w:color="D1D5DB" w:sz="1"/>
              <w:bottom w:val="single" w:color="D1D5DB" w:sz="1"/>
              <w:right w:val="single" w:color="D1D5DB" w:sz="1"/>
            </w:tcBorders>
            <w:shd w:fill="F8FAFC" w:val="clear"/>
            <w:tcMar>
              <w:top w:type="dxa" w:w="80"/>
              <w:left w:type="dxa" w:w="120"/>
              <w:bottom w:type="dxa" w:w="80"/>
              <w:right w:type="dxa" w:w="120"/>
            </w:tcMar>
            <w:vAlign w:val="center"/>
          </w:tcPr>
          <w:p>
            <w:pPr>
              <w:jc w:val="left"/>
            </w:pPr>
            <w:r>
              <w:rPr>
                <w:rFonts w:ascii="Arial" w:cs="Arial" w:eastAsia="Arial" w:hAnsi="Arial"/>
                <w:b/>
                <w:bCs/>
                <w:color w:val="374151"/>
                <w:sz w:val="19"/>
                <w:szCs w:val="19"/>
              </w:rPr>
              <w:t xml:space="preserve">Europe</w:t>
            </w:r>
          </w:p>
        </w:tc>
        <w:tc>
          <w:tcPr>
            <w:tcW w:type="dxa" w:w="4000"/>
            <w:tcBorders>
              <w:top w:val="single" w:color="D1D5DB" w:sz="1"/>
              <w:left w:val="single" w:color="D1D5DB" w:sz="1"/>
              <w:bottom w:val="single" w:color="D1D5DB" w:sz="1"/>
              <w:right w:val="single" w:color="D1D5DB" w:sz="1"/>
            </w:tcBorders>
            <w:shd w:fill="F8FAFC" w:val="clear"/>
            <w:tcMar>
              <w:top w:type="dxa" w:w="80"/>
              <w:left w:type="dxa" w:w="120"/>
              <w:bottom w:type="dxa" w:w="80"/>
              <w:right w:type="dxa" w:w="120"/>
            </w:tcMar>
            <w:vAlign w:val="center"/>
          </w:tcPr>
          <w:p>
            <w:pPr>
              <w:jc w:val="left"/>
            </w:pPr>
            <w:r>
              <w:rPr>
                <w:rFonts w:ascii="Arial" w:cs="Arial" w:eastAsia="Arial" w:hAnsi="Arial"/>
                <w:b w:val="false"/>
                <w:bCs w:val="false"/>
                <w:color w:val="374151"/>
                <w:sz w:val="19"/>
                <w:szCs w:val="19"/>
              </w:rPr>
              <w:t xml:space="preserve">Structural stagnation, war overhang, poor demographics, ECB behind.</w:t>
            </w:r>
          </w:p>
        </w:tc>
        <w:tc>
          <w:tcPr>
            <w:tcW w:type="dxa" w:w="3360"/>
            <w:tcBorders>
              <w:top w:val="single" w:color="D1D5DB" w:sz="1"/>
              <w:left w:val="single" w:color="D1D5DB" w:sz="1"/>
              <w:bottom w:val="single" w:color="D1D5DB" w:sz="1"/>
              <w:right w:val="single" w:color="D1D5DB" w:sz="1"/>
            </w:tcBorders>
            <w:shd w:fill="F8FAFC" w:val="clear"/>
            <w:tcMar>
              <w:top w:type="dxa" w:w="80"/>
              <w:left w:type="dxa" w:w="120"/>
              <w:bottom w:type="dxa" w:w="80"/>
              <w:right w:type="dxa" w:w="120"/>
            </w:tcMar>
            <w:vAlign w:val="center"/>
          </w:tcPr>
          <w:p>
            <w:pPr>
              <w:jc w:val="left"/>
            </w:pPr>
            <w:r>
              <w:rPr>
                <w:rFonts w:ascii="Arial" w:cs="Arial" w:eastAsia="Arial" w:hAnsi="Arial"/>
                <w:b w:val="false"/>
                <w:bCs w:val="false"/>
                <w:color w:val="374151"/>
                <w:sz w:val="19"/>
                <w:szCs w:val="19"/>
              </w:rPr>
              <w:t xml:space="preserve">German reform breakthrough — years away at best</w:t>
            </w:r>
          </w:p>
        </w:tc>
      </w:tr>
      <w:tr>
        <w:tc>
          <w:tcPr>
            <w:tcW w:type="dxa" w:w="2000"/>
            <w:tcBorders>
              <w:top w:val="single" w:color="D1D5DB" w:sz="1"/>
              <w:left w:val="single" w:color="D1D5DB" w:sz="1"/>
              <w:bottom w:val="single" w:color="D1D5DB" w:sz="1"/>
              <w:right w:val="single" w:color="D1D5DB" w:sz="1"/>
            </w:tcBorders>
            <w:shd w:fill="FFFFFF" w:val="clear"/>
            <w:tcMar>
              <w:top w:type="dxa" w:w="80"/>
              <w:left w:type="dxa" w:w="120"/>
              <w:bottom w:type="dxa" w:w="80"/>
              <w:right w:type="dxa" w:w="120"/>
            </w:tcMar>
            <w:vAlign w:val="center"/>
          </w:tcPr>
          <w:p>
            <w:pPr>
              <w:jc w:val="left"/>
            </w:pPr>
            <w:r>
              <w:rPr>
                <w:rFonts w:ascii="Arial" w:cs="Arial" w:eastAsia="Arial" w:hAnsi="Arial"/>
                <w:b/>
                <w:bCs/>
                <w:color w:val="374151"/>
                <w:sz w:val="19"/>
                <w:szCs w:val="19"/>
              </w:rPr>
              <w:t xml:space="preserve">Japan</w:t>
            </w:r>
          </w:p>
        </w:tc>
        <w:tc>
          <w:tcPr>
            <w:tcW w:type="dxa" w:w="4000"/>
            <w:tcBorders>
              <w:top w:val="single" w:color="D1D5DB" w:sz="1"/>
              <w:left w:val="single" w:color="D1D5DB" w:sz="1"/>
              <w:bottom w:val="single" w:color="D1D5DB" w:sz="1"/>
              <w:right w:val="single" w:color="D1D5DB" w:sz="1"/>
            </w:tcBorders>
            <w:shd w:fill="FFFFFF" w:val="clear"/>
            <w:tcMar>
              <w:top w:type="dxa" w:w="80"/>
              <w:left w:type="dxa" w:w="120"/>
              <w:bottom w:type="dxa" w:w="80"/>
              <w:right w:type="dxa" w:w="120"/>
            </w:tcMar>
            <w:vAlign w:val="center"/>
          </w:tcPr>
          <w:p>
            <w:pPr>
              <w:jc w:val="left"/>
            </w:pPr>
            <w:r>
              <w:rPr>
                <w:rFonts w:ascii="Arial" w:cs="Arial" w:eastAsia="Arial" w:hAnsi="Arial"/>
                <w:b w:val="false"/>
                <w:bCs w:val="false"/>
                <w:color w:val="374151"/>
                <w:sz w:val="19"/>
                <w:szCs w:val="19"/>
              </w:rPr>
              <w:t xml:space="preserve">JPY weakness erodes USD returns. Complex currency dynamics.</w:t>
            </w:r>
          </w:p>
        </w:tc>
        <w:tc>
          <w:tcPr>
            <w:tcW w:type="dxa" w:w="3360"/>
            <w:tcBorders>
              <w:top w:val="single" w:color="D1D5DB" w:sz="1"/>
              <w:left w:val="single" w:color="D1D5DB" w:sz="1"/>
              <w:bottom w:val="single" w:color="D1D5DB" w:sz="1"/>
              <w:right w:val="single" w:color="D1D5DB" w:sz="1"/>
            </w:tcBorders>
            <w:shd w:fill="FFFFFF" w:val="clear"/>
            <w:tcMar>
              <w:top w:type="dxa" w:w="80"/>
              <w:left w:type="dxa" w:w="120"/>
              <w:bottom w:type="dxa" w:w="80"/>
              <w:right w:type="dxa" w:w="120"/>
            </w:tcMar>
            <w:vAlign w:val="center"/>
          </w:tcPr>
          <w:p>
            <w:pPr>
              <w:jc w:val="left"/>
            </w:pPr>
            <w:r>
              <w:rPr>
                <w:rFonts w:ascii="Arial" w:cs="Arial" w:eastAsia="Arial" w:hAnsi="Arial"/>
                <w:b w:val="false"/>
                <w:bCs w:val="false"/>
                <w:color w:val="374151"/>
                <w:sz w:val="19"/>
                <w:szCs w:val="19"/>
              </w:rPr>
              <w:t xml:space="preserve">JPY stabilises and Nikkei consolidates cleanly</w:t>
            </w:r>
          </w:p>
        </w:tc>
      </w:tr>
    </w:tbl>
    <w:p>
      <w:r>
        <w:t xml:space="preserve"/>
      </w:r>
    </w:p>
    <w:p>
      <w:r>
        <w:br w:type="page"/>
      </w:r>
    </w:p>
    <w:p>
      <w:pPr>
        <w:pStyle w:val="Heading1"/>
        <w:spacing w:after="160" w:before="320"/>
      </w:pPr>
      <w:r>
        <w:rPr>
          <w:rFonts w:ascii="Arial" w:cs="Arial" w:eastAsia="Arial" w:hAnsi="Arial"/>
          <w:b/>
          <w:bCs/>
          <w:color w:val="0A0F1E"/>
          <w:sz w:val="40"/>
          <w:szCs w:val="40"/>
        </w:rPr>
        <w:t xml:space="preserve">3. Revised NRI-Optimised $10,000 Allocation</w:t>
      </w:r>
    </w:p>
    <w:p>
      <w:pPr>
        <w:spacing w:after="80" w:before="80"/>
        <w:jc w:val="left"/>
      </w:pPr>
      <w:r>
        <w:rPr>
          <w:rFonts w:ascii="Arial" w:cs="Arial" w:eastAsia="Arial" w:hAnsi="Arial"/>
          <w:b w:val="false"/>
          <w:bCs w:val="false"/>
          <w:i w:val="false"/>
          <w:iCs w:val="false"/>
          <w:color w:val="374151"/>
          <w:sz w:val="22"/>
          <w:szCs w:val="22"/>
        </w:rPr>
        <w:t xml:space="preserve">This allocation incorporates the NRI tax structure, reduces wealth leaks, maintains the barbell framework, and is calibrated for April 2026 market conditions.</w:t>
      </w:r>
    </w:p>
    <w:p>
      <w:r>
        <w:t xml:space="preserve"/>
      </w:r>
    </w:p>
    <w:tbl>
      <w:tblPr>
        <w:tblW w:type="dxa" w:w="9360"/>
        <w:tblBorders>
          <w:top w:val="single" w:color="auto" w:sz="4"/>
          <w:left w:val="single" w:color="auto" w:sz="4"/>
          <w:bottom w:val="single" w:color="auto" w:sz="4"/>
          <w:right w:val="single" w:color="auto" w:sz="4"/>
          <w:insideH w:val="single" w:color="auto" w:sz="4"/>
          <w:insideV w:val="single" w:color="auto" w:sz="4"/>
        </w:tblBorders>
      </w:tblPr>
      <w:tblGrid>
        <w:gridCol w:w="1200"/>
        <w:gridCol w:w="600"/>
        <w:gridCol w:w="800"/>
        <w:gridCol w:w="1700"/>
        <w:gridCol w:w="2260"/>
        <w:gridCol w:w="1800"/>
      </w:tblGrid>
      <w:tr>
        <w:trPr>
          <w:tblHeader/>
        </w:trPr>
        <w:tc>
          <w:tcPr>
            <w:tcW w:type="dxa" w:w="1200"/>
            <w:tcBorders>
              <w:top w:val="single" w:color="D1D5DB" w:sz="1"/>
              <w:left w:val="single" w:color="D1D5DB" w:sz="1"/>
              <w:bottom w:val="single" w:color="D1D5DB" w:sz="1"/>
              <w:right w:val="single" w:color="D1D5DB" w:sz="1"/>
            </w:tcBorders>
            <w:shd w:fill="1E3A5F" w:val="clear"/>
            <w:tcMar>
              <w:top w:type="dxa" w:w="80"/>
              <w:left w:type="dxa" w:w="120"/>
              <w:bottom w:type="dxa" w:w="80"/>
              <w:right w:type="dxa" w:w="120"/>
            </w:tcMar>
            <w:vAlign w:val="center"/>
          </w:tcPr>
          <w:p>
            <w:pPr>
              <w:jc w:val="left"/>
            </w:pPr>
            <w:r>
              <w:rPr>
                <w:rFonts w:ascii="Arial" w:cs="Arial" w:eastAsia="Arial" w:hAnsi="Arial"/>
                <w:b/>
                <w:bCs/>
                <w:color w:val="FFFFFF"/>
                <w:sz w:val="20"/>
                <w:szCs w:val="20"/>
              </w:rPr>
              <w:t xml:space="preserve">Layer</w:t>
            </w:r>
          </w:p>
        </w:tc>
        <w:tc>
          <w:tcPr>
            <w:tcW w:type="dxa" w:w="600"/>
            <w:tcBorders>
              <w:top w:val="single" w:color="D1D5DB" w:sz="1"/>
              <w:left w:val="single" w:color="D1D5DB" w:sz="1"/>
              <w:bottom w:val="single" w:color="D1D5DB" w:sz="1"/>
              <w:right w:val="single" w:color="D1D5DB" w:sz="1"/>
            </w:tcBorders>
            <w:shd w:fill="1E3A5F" w:val="clear"/>
            <w:tcMar>
              <w:top w:type="dxa" w:w="80"/>
              <w:left w:type="dxa" w:w="120"/>
              <w:bottom w:type="dxa" w:w="80"/>
              <w:right w:type="dxa" w:w="120"/>
            </w:tcMar>
            <w:vAlign w:val="center"/>
          </w:tcPr>
          <w:p>
            <w:pPr>
              <w:jc w:val="left"/>
            </w:pPr>
            <w:r>
              <w:rPr>
                <w:rFonts w:ascii="Arial" w:cs="Arial" w:eastAsia="Arial" w:hAnsi="Arial"/>
                <w:b/>
                <w:bCs/>
                <w:color w:val="FFFFFF"/>
                <w:sz w:val="20"/>
                <w:szCs w:val="20"/>
              </w:rPr>
              <w:t xml:space="preserve">%</w:t>
            </w:r>
          </w:p>
        </w:tc>
        <w:tc>
          <w:tcPr>
            <w:tcW w:type="dxa" w:w="800"/>
            <w:tcBorders>
              <w:top w:val="single" w:color="D1D5DB" w:sz="1"/>
              <w:left w:val="single" w:color="D1D5DB" w:sz="1"/>
              <w:bottom w:val="single" w:color="D1D5DB" w:sz="1"/>
              <w:right w:val="single" w:color="D1D5DB" w:sz="1"/>
            </w:tcBorders>
            <w:shd w:fill="1E3A5F" w:val="clear"/>
            <w:tcMar>
              <w:top w:type="dxa" w:w="80"/>
              <w:left w:type="dxa" w:w="120"/>
              <w:bottom w:type="dxa" w:w="80"/>
              <w:right w:type="dxa" w:w="120"/>
            </w:tcMar>
            <w:vAlign w:val="center"/>
          </w:tcPr>
          <w:p>
            <w:pPr>
              <w:jc w:val="left"/>
            </w:pPr>
            <w:r>
              <w:rPr>
                <w:rFonts w:ascii="Arial" w:cs="Arial" w:eastAsia="Arial" w:hAnsi="Arial"/>
                <w:b/>
                <w:bCs/>
                <w:color w:val="FFFFFF"/>
                <w:sz w:val="20"/>
                <w:szCs w:val="20"/>
              </w:rPr>
              <w:t xml:space="preserve">Amount</w:t>
            </w:r>
          </w:p>
        </w:tc>
        <w:tc>
          <w:tcPr>
            <w:tcW w:type="dxa" w:w="1700"/>
            <w:tcBorders>
              <w:top w:val="single" w:color="D1D5DB" w:sz="1"/>
              <w:left w:val="single" w:color="D1D5DB" w:sz="1"/>
              <w:bottom w:val="single" w:color="D1D5DB" w:sz="1"/>
              <w:right w:val="single" w:color="D1D5DB" w:sz="1"/>
            </w:tcBorders>
            <w:shd w:fill="1E3A5F" w:val="clear"/>
            <w:tcMar>
              <w:top w:type="dxa" w:w="80"/>
              <w:left w:type="dxa" w:w="120"/>
              <w:bottom w:type="dxa" w:w="80"/>
              <w:right w:type="dxa" w:w="120"/>
            </w:tcMar>
            <w:vAlign w:val="center"/>
          </w:tcPr>
          <w:p>
            <w:pPr>
              <w:jc w:val="left"/>
            </w:pPr>
            <w:r>
              <w:rPr>
                <w:rFonts w:ascii="Arial" w:cs="Arial" w:eastAsia="Arial" w:hAnsi="Arial"/>
                <w:b/>
                <w:bCs/>
                <w:color w:val="FFFFFF"/>
                <w:sz w:val="20"/>
                <w:szCs w:val="20"/>
              </w:rPr>
              <w:t xml:space="preserve">Vehicle</w:t>
            </w:r>
          </w:p>
        </w:tc>
        <w:tc>
          <w:tcPr>
            <w:tcW w:type="dxa" w:w="2260"/>
            <w:tcBorders>
              <w:top w:val="single" w:color="D1D5DB" w:sz="1"/>
              <w:left w:val="single" w:color="D1D5DB" w:sz="1"/>
              <w:bottom w:val="single" w:color="D1D5DB" w:sz="1"/>
              <w:right w:val="single" w:color="D1D5DB" w:sz="1"/>
            </w:tcBorders>
            <w:shd w:fill="1E3A5F" w:val="clear"/>
            <w:tcMar>
              <w:top w:type="dxa" w:w="80"/>
              <w:left w:type="dxa" w:w="120"/>
              <w:bottom w:type="dxa" w:w="80"/>
              <w:right w:type="dxa" w:w="120"/>
            </w:tcMar>
            <w:vAlign w:val="center"/>
          </w:tcPr>
          <w:p>
            <w:pPr>
              <w:jc w:val="left"/>
            </w:pPr>
            <w:r>
              <w:rPr>
                <w:rFonts w:ascii="Arial" w:cs="Arial" w:eastAsia="Arial" w:hAnsi="Arial"/>
                <w:b/>
                <w:bCs/>
                <w:color w:val="FFFFFF"/>
                <w:sz w:val="20"/>
                <w:szCs w:val="20"/>
              </w:rPr>
              <w:t xml:space="preserve">NRI Angle</w:t>
            </w:r>
          </w:p>
        </w:tc>
        <w:tc>
          <w:tcPr>
            <w:tcW w:type="dxa" w:w="1800"/>
            <w:tcBorders>
              <w:top w:val="single" w:color="D1D5DB" w:sz="1"/>
              <w:left w:val="single" w:color="D1D5DB" w:sz="1"/>
              <w:bottom w:val="single" w:color="D1D5DB" w:sz="1"/>
              <w:right w:val="single" w:color="D1D5DB" w:sz="1"/>
            </w:tcBorders>
            <w:shd w:fill="1E3A5F" w:val="clear"/>
            <w:tcMar>
              <w:top w:type="dxa" w:w="80"/>
              <w:left w:type="dxa" w:w="120"/>
              <w:bottom w:type="dxa" w:w="80"/>
              <w:right w:type="dxa" w:w="120"/>
            </w:tcMar>
            <w:vAlign w:val="center"/>
          </w:tcPr>
          <w:p>
            <w:pPr>
              <w:jc w:val="left"/>
            </w:pPr>
            <w:r>
              <w:rPr>
                <w:rFonts w:ascii="Arial" w:cs="Arial" w:eastAsia="Arial" w:hAnsi="Arial"/>
                <w:b/>
                <w:bCs/>
                <w:color w:val="FFFFFF"/>
                <w:sz w:val="20"/>
                <w:szCs w:val="20"/>
              </w:rPr>
              <w:t xml:space="preserve">5-Yr Target</w:t>
            </w:r>
          </w:p>
        </w:tc>
      </w:tr>
      <w:tr>
        <w:tc>
          <w:tcPr>
            <w:tcW w:type="dxa" w:w="1200"/>
            <w:tcBorders>
              <w:top w:val="single" w:color="D1D5DB" w:sz="1"/>
              <w:left w:val="single" w:color="D1D5DB" w:sz="1"/>
              <w:bottom w:val="single" w:color="D1D5DB" w:sz="1"/>
              <w:right w:val="single" w:color="D1D5DB" w:sz="1"/>
            </w:tcBorders>
            <w:shd w:fill="EFF6FF" w:val="clear"/>
            <w:tcMar>
              <w:top w:type="dxa" w:w="80"/>
              <w:left w:type="dxa" w:w="120"/>
              <w:bottom w:type="dxa" w:w="80"/>
              <w:right w:type="dxa" w:w="120"/>
            </w:tcMar>
            <w:vAlign w:val="center"/>
          </w:tcPr>
          <w:p>
            <w:pPr>
              <w:jc w:val="left"/>
            </w:pPr>
            <w:r>
              <w:rPr>
                <w:rFonts w:ascii="Arial" w:cs="Arial" w:eastAsia="Arial" w:hAnsi="Arial"/>
                <w:b/>
                <w:bCs/>
                <w:color w:val="1D4ED8"/>
                <w:sz w:val="19"/>
                <w:szCs w:val="19"/>
              </w:rPr>
              <w:t xml:space="preserve">FORTRESS</w:t>
            </w:r>
          </w:p>
        </w:tc>
        <w:tc>
          <w:tcPr>
            <w:tcW w:type="dxa" w:w="600"/>
            <w:tcBorders>
              <w:top w:val="single" w:color="D1D5DB" w:sz="1"/>
              <w:left w:val="single" w:color="D1D5DB" w:sz="1"/>
              <w:bottom w:val="single" w:color="D1D5DB" w:sz="1"/>
              <w:right w:val="single" w:color="D1D5DB" w:sz="1"/>
            </w:tcBorders>
            <w:shd w:fill="FFFFFF" w:val="clear"/>
            <w:tcMar>
              <w:top w:type="dxa" w:w="80"/>
              <w:left w:type="dxa" w:w="120"/>
              <w:bottom w:type="dxa" w:w="80"/>
              <w:right w:type="dxa" w:w="120"/>
            </w:tcMar>
            <w:vAlign w:val="center"/>
          </w:tcPr>
          <w:p>
            <w:pPr>
              <w:jc w:val="center"/>
            </w:pPr>
            <w:r>
              <w:rPr>
                <w:rFonts w:ascii="Arial" w:cs="Arial" w:eastAsia="Arial" w:hAnsi="Arial"/>
                <w:b/>
                <w:bCs/>
                <w:color w:val="374151"/>
                <w:sz w:val="20"/>
                <w:szCs w:val="20"/>
              </w:rPr>
              <w:t xml:space="preserve">22%</w:t>
            </w:r>
          </w:p>
        </w:tc>
        <w:tc>
          <w:tcPr>
            <w:tcW w:type="dxa" w:w="800"/>
            <w:tcBorders>
              <w:top w:val="single" w:color="D1D5DB" w:sz="1"/>
              <w:left w:val="single" w:color="D1D5DB" w:sz="1"/>
              <w:bottom w:val="single" w:color="D1D5DB" w:sz="1"/>
              <w:right w:val="single" w:color="D1D5DB" w:sz="1"/>
            </w:tcBorders>
            <w:shd w:fill="FFFFFF" w:val="clear"/>
            <w:tcMar>
              <w:top w:type="dxa" w:w="80"/>
              <w:left w:type="dxa" w:w="120"/>
              <w:bottom w:type="dxa" w:w="80"/>
              <w:right w:type="dxa" w:w="120"/>
            </w:tcMar>
            <w:vAlign w:val="center"/>
          </w:tcPr>
          <w:p>
            <w:pPr>
              <w:jc w:val="center"/>
            </w:pPr>
            <w:r>
              <w:rPr>
                <w:rFonts w:ascii="Arial" w:cs="Arial" w:eastAsia="Arial" w:hAnsi="Arial"/>
                <w:b w:val="false"/>
                <w:bCs w:val="false"/>
                <w:color w:val="374151"/>
                <w:sz w:val="20"/>
                <w:szCs w:val="20"/>
              </w:rPr>
              <w:t xml:space="preserve">$2,200</w:t>
            </w:r>
          </w:p>
        </w:tc>
        <w:tc>
          <w:tcPr>
            <w:tcW w:type="dxa" w:w="1700"/>
            <w:tcBorders>
              <w:top w:val="single" w:color="D1D5DB" w:sz="1"/>
              <w:left w:val="single" w:color="D1D5DB" w:sz="1"/>
              <w:bottom w:val="single" w:color="D1D5DB" w:sz="1"/>
              <w:right w:val="single" w:color="D1D5DB" w:sz="1"/>
            </w:tcBorders>
            <w:shd w:fill="FFFFFF" w:val="clear"/>
            <w:tcMar>
              <w:top w:type="dxa" w:w="80"/>
              <w:left w:type="dxa" w:w="120"/>
              <w:bottom w:type="dxa" w:w="80"/>
              <w:right w:type="dxa" w:w="120"/>
            </w:tcMar>
            <w:vAlign w:val="center"/>
          </w:tcPr>
          <w:p>
            <w:pPr>
              <w:jc w:val="left"/>
            </w:pPr>
            <w:r>
              <w:rPr>
                <w:rFonts w:ascii="Arial" w:cs="Arial" w:eastAsia="Arial" w:hAnsi="Arial"/>
                <w:b/>
                <w:bCs/>
                <w:color w:val="374151"/>
                <w:sz w:val="20"/>
                <w:szCs w:val="20"/>
              </w:rPr>
              <w:t xml:space="preserve">VOO (S&amp;P 500)</w:t>
            </w:r>
          </w:p>
        </w:tc>
        <w:tc>
          <w:tcPr>
            <w:tcW w:type="dxa" w:w="2260"/>
            <w:tcBorders>
              <w:top w:val="single" w:color="D1D5DB" w:sz="1"/>
              <w:left w:val="single" w:color="D1D5DB" w:sz="1"/>
              <w:bottom w:val="single" w:color="D1D5DB" w:sz="1"/>
              <w:right w:val="single" w:color="D1D5DB" w:sz="1"/>
            </w:tcBorders>
            <w:shd w:fill="FFFFFF" w:val="clear"/>
            <w:tcMar>
              <w:top w:type="dxa" w:w="80"/>
              <w:left w:type="dxa" w:w="120"/>
              <w:bottom w:type="dxa" w:w="80"/>
              <w:right w:type="dxa" w:w="120"/>
            </w:tcMar>
            <w:vAlign w:val="center"/>
          </w:tcPr>
          <w:p>
            <w:pPr>
              <w:jc w:val="left"/>
            </w:pPr>
            <w:r>
              <w:rPr>
                <w:rFonts w:ascii="Arial" w:cs="Arial" w:eastAsia="Arial" w:hAnsi="Arial"/>
                <w:b w:val="false"/>
                <w:bCs w:val="false"/>
                <w:color w:val="4B5563"/>
                <w:sz w:val="20"/>
                <w:szCs w:val="20"/>
              </w:rPr>
              <w:t xml:space="preserve">NRE/IBKR SG — no US CGT</w:t>
            </w:r>
          </w:p>
        </w:tc>
        <w:tc>
          <w:tcPr>
            <w:tcW w:type="dxa" w:w="1800"/>
            <w:tcBorders>
              <w:top w:val="single" w:color="D1D5DB" w:sz="1"/>
              <w:left w:val="single" w:color="D1D5DB" w:sz="1"/>
              <w:bottom w:val="single" w:color="D1D5DB" w:sz="1"/>
              <w:right w:val="single" w:color="D1D5DB" w:sz="1"/>
            </w:tcBorders>
            <w:shd w:fill="FFFFFF" w:val="clear"/>
            <w:tcMar>
              <w:top w:type="dxa" w:w="80"/>
              <w:left w:type="dxa" w:w="120"/>
              <w:bottom w:type="dxa" w:w="80"/>
              <w:right w:type="dxa" w:w="120"/>
            </w:tcMar>
            <w:vAlign w:val="center"/>
          </w:tcPr>
          <w:p>
            <w:pPr>
              <w:jc w:val="left"/>
            </w:pPr>
            <w:r>
              <w:rPr>
                <w:rFonts w:ascii="Arial" w:cs="Arial" w:eastAsia="Arial" w:hAnsi="Arial"/>
                <w:b/>
                <w:bCs/>
                <w:color w:val="0D6E4A"/>
                <w:sz w:val="20"/>
                <w:szCs w:val="20"/>
              </w:rPr>
              <w:t xml:space="preserve">~$3,880 (+76%)</w:t>
            </w:r>
          </w:p>
        </w:tc>
      </w:tr>
      <w:tr>
        <w:tc>
          <w:tcPr>
            <w:tcW w:type="dxa" w:w="1200"/>
            <w:tcBorders>
              <w:top w:val="single" w:color="D1D5DB" w:sz="1"/>
              <w:left w:val="single" w:color="D1D5DB" w:sz="1"/>
              <w:bottom w:val="single" w:color="D1D5DB" w:sz="1"/>
              <w:right w:val="single" w:color="D1D5DB" w:sz="1"/>
            </w:tcBorders>
            <w:shd w:fill="EFF6FF" w:val="clear"/>
            <w:tcMar>
              <w:top w:type="dxa" w:w="80"/>
              <w:left w:type="dxa" w:w="120"/>
              <w:bottom w:type="dxa" w:w="80"/>
              <w:right w:type="dxa" w:w="120"/>
            </w:tcMar>
            <w:vAlign w:val="center"/>
          </w:tcPr>
          <w:p>
            <w:pPr>
              <w:jc w:val="left"/>
            </w:pPr>
            <w:r>
              <w:rPr>
                <w:rFonts w:ascii="Arial" w:cs="Arial" w:eastAsia="Arial" w:hAnsi="Arial"/>
                <w:b/>
                <w:bCs/>
                <w:color w:val="1D4ED8"/>
                <w:sz w:val="19"/>
                <w:szCs w:val="19"/>
              </w:rPr>
              <w:t xml:space="preserve">FORTRESS</w:t>
            </w:r>
          </w:p>
        </w:tc>
        <w:tc>
          <w:tcPr>
            <w:tcW w:type="dxa" w:w="600"/>
            <w:tcBorders>
              <w:top w:val="single" w:color="D1D5DB" w:sz="1"/>
              <w:left w:val="single" w:color="D1D5DB" w:sz="1"/>
              <w:bottom w:val="single" w:color="D1D5DB" w:sz="1"/>
              <w:right w:val="single" w:color="D1D5DB" w:sz="1"/>
            </w:tcBorders>
            <w:shd w:fill="FFFFFF" w:val="clear"/>
            <w:tcMar>
              <w:top w:type="dxa" w:w="80"/>
              <w:left w:type="dxa" w:w="120"/>
              <w:bottom w:type="dxa" w:w="80"/>
              <w:right w:type="dxa" w:w="120"/>
            </w:tcMar>
            <w:vAlign w:val="center"/>
          </w:tcPr>
          <w:p>
            <w:pPr>
              <w:jc w:val="center"/>
            </w:pPr>
            <w:r>
              <w:rPr>
                <w:rFonts w:ascii="Arial" w:cs="Arial" w:eastAsia="Arial" w:hAnsi="Arial"/>
                <w:b/>
                <w:bCs/>
                <w:color w:val="374151"/>
                <w:sz w:val="20"/>
                <w:szCs w:val="20"/>
              </w:rPr>
              <w:t xml:space="preserve">8%</w:t>
            </w:r>
          </w:p>
        </w:tc>
        <w:tc>
          <w:tcPr>
            <w:tcW w:type="dxa" w:w="800"/>
            <w:tcBorders>
              <w:top w:val="single" w:color="D1D5DB" w:sz="1"/>
              <w:left w:val="single" w:color="D1D5DB" w:sz="1"/>
              <w:bottom w:val="single" w:color="D1D5DB" w:sz="1"/>
              <w:right w:val="single" w:color="D1D5DB" w:sz="1"/>
            </w:tcBorders>
            <w:shd w:fill="FFFFFF" w:val="clear"/>
            <w:tcMar>
              <w:top w:type="dxa" w:w="80"/>
              <w:left w:type="dxa" w:w="120"/>
              <w:bottom w:type="dxa" w:w="80"/>
              <w:right w:type="dxa" w:w="120"/>
            </w:tcMar>
            <w:vAlign w:val="center"/>
          </w:tcPr>
          <w:p>
            <w:pPr>
              <w:jc w:val="center"/>
            </w:pPr>
            <w:r>
              <w:rPr>
                <w:rFonts w:ascii="Arial" w:cs="Arial" w:eastAsia="Arial" w:hAnsi="Arial"/>
                <w:b w:val="false"/>
                <w:bCs w:val="false"/>
                <w:color w:val="374151"/>
                <w:sz w:val="20"/>
                <w:szCs w:val="20"/>
              </w:rPr>
              <w:t xml:space="preserve">$800</w:t>
            </w:r>
          </w:p>
        </w:tc>
        <w:tc>
          <w:tcPr>
            <w:tcW w:type="dxa" w:w="1700"/>
            <w:tcBorders>
              <w:top w:val="single" w:color="D1D5DB" w:sz="1"/>
              <w:left w:val="single" w:color="D1D5DB" w:sz="1"/>
              <w:bottom w:val="single" w:color="D1D5DB" w:sz="1"/>
              <w:right w:val="single" w:color="D1D5DB" w:sz="1"/>
            </w:tcBorders>
            <w:shd w:fill="FFFFFF" w:val="clear"/>
            <w:tcMar>
              <w:top w:type="dxa" w:w="80"/>
              <w:left w:type="dxa" w:w="120"/>
              <w:bottom w:type="dxa" w:w="80"/>
              <w:right w:type="dxa" w:w="120"/>
            </w:tcMar>
            <w:vAlign w:val="center"/>
          </w:tcPr>
          <w:p>
            <w:pPr>
              <w:jc w:val="left"/>
            </w:pPr>
            <w:r>
              <w:rPr>
                <w:rFonts w:ascii="Arial" w:cs="Arial" w:eastAsia="Arial" w:hAnsi="Arial"/>
                <w:b/>
                <w:bCs/>
                <w:color w:val="374151"/>
                <w:sz w:val="20"/>
                <w:szCs w:val="20"/>
              </w:rPr>
              <w:t xml:space="preserve">QQQ (Nasdaq)</w:t>
            </w:r>
          </w:p>
        </w:tc>
        <w:tc>
          <w:tcPr>
            <w:tcW w:type="dxa" w:w="2260"/>
            <w:tcBorders>
              <w:top w:val="single" w:color="D1D5DB" w:sz="1"/>
              <w:left w:val="single" w:color="D1D5DB" w:sz="1"/>
              <w:bottom w:val="single" w:color="D1D5DB" w:sz="1"/>
              <w:right w:val="single" w:color="D1D5DB" w:sz="1"/>
            </w:tcBorders>
            <w:shd w:fill="FFFFFF" w:val="clear"/>
            <w:tcMar>
              <w:top w:type="dxa" w:w="80"/>
              <w:left w:type="dxa" w:w="120"/>
              <w:bottom w:type="dxa" w:w="80"/>
              <w:right w:type="dxa" w:w="120"/>
            </w:tcMar>
            <w:vAlign w:val="center"/>
          </w:tcPr>
          <w:p>
            <w:pPr>
              <w:jc w:val="left"/>
            </w:pPr>
            <w:r>
              <w:rPr>
                <w:rFonts w:ascii="Arial" w:cs="Arial" w:eastAsia="Arial" w:hAnsi="Arial"/>
                <w:b w:val="false"/>
                <w:bCs w:val="false"/>
                <w:color w:val="4B5563"/>
                <w:sz w:val="20"/>
                <w:szCs w:val="20"/>
              </w:rPr>
              <w:t xml:space="preserve">Reduced to cut Mag-7 overlap</w:t>
            </w:r>
          </w:p>
        </w:tc>
        <w:tc>
          <w:tcPr>
            <w:tcW w:type="dxa" w:w="1800"/>
            <w:tcBorders>
              <w:top w:val="single" w:color="D1D5DB" w:sz="1"/>
              <w:left w:val="single" w:color="D1D5DB" w:sz="1"/>
              <w:bottom w:val="single" w:color="D1D5DB" w:sz="1"/>
              <w:right w:val="single" w:color="D1D5DB" w:sz="1"/>
            </w:tcBorders>
            <w:shd w:fill="FFFFFF" w:val="clear"/>
            <w:tcMar>
              <w:top w:type="dxa" w:w="80"/>
              <w:left w:type="dxa" w:w="120"/>
              <w:bottom w:type="dxa" w:w="80"/>
              <w:right w:type="dxa" w:w="120"/>
            </w:tcMar>
            <w:vAlign w:val="center"/>
          </w:tcPr>
          <w:p>
            <w:pPr>
              <w:jc w:val="left"/>
            </w:pPr>
            <w:r>
              <w:rPr>
                <w:rFonts w:ascii="Arial" w:cs="Arial" w:eastAsia="Arial" w:hAnsi="Arial"/>
                <w:b/>
                <w:bCs/>
                <w:color w:val="0D6E4A"/>
                <w:sz w:val="20"/>
                <w:szCs w:val="20"/>
              </w:rPr>
              <w:t xml:space="preserve">~$1,540 (+93%)</w:t>
            </w:r>
          </w:p>
        </w:tc>
      </w:tr>
      <w:tr>
        <w:tc>
          <w:tcPr>
            <w:tcW w:type="dxa" w:w="1200"/>
            <w:tcBorders>
              <w:top w:val="single" w:color="D1D5DB" w:sz="1"/>
              <w:left w:val="single" w:color="D1D5DB" w:sz="1"/>
              <w:bottom w:val="single" w:color="D1D5DB" w:sz="1"/>
              <w:right w:val="single" w:color="D1D5DB" w:sz="1"/>
            </w:tcBorders>
            <w:shd w:fill="F0FDF4" w:val="clear"/>
            <w:tcMar>
              <w:top w:type="dxa" w:w="80"/>
              <w:left w:type="dxa" w:w="120"/>
              <w:bottom w:type="dxa" w:w="80"/>
              <w:right w:type="dxa" w:w="120"/>
            </w:tcMar>
            <w:vAlign w:val="center"/>
          </w:tcPr>
          <w:p>
            <w:pPr>
              <w:jc w:val="left"/>
            </w:pPr>
            <w:r>
              <w:rPr>
                <w:rFonts w:ascii="Arial" w:cs="Arial" w:eastAsia="Arial" w:hAnsi="Arial"/>
                <w:b/>
                <w:bCs/>
                <w:color w:val="0D6E4A"/>
                <w:sz w:val="19"/>
                <w:szCs w:val="19"/>
              </w:rPr>
              <w:t xml:space="preserve">GROWTH</w:t>
            </w:r>
          </w:p>
        </w:tc>
        <w:tc>
          <w:tcPr>
            <w:tcW w:type="dxa" w:w="600"/>
            <w:tcBorders>
              <w:top w:val="single" w:color="D1D5DB" w:sz="1"/>
              <w:left w:val="single" w:color="D1D5DB" w:sz="1"/>
              <w:bottom w:val="single" w:color="D1D5DB" w:sz="1"/>
              <w:right w:val="single" w:color="D1D5DB" w:sz="1"/>
            </w:tcBorders>
            <w:shd w:fill="FFFFFF" w:val="clear"/>
            <w:tcMar>
              <w:top w:type="dxa" w:w="80"/>
              <w:left w:type="dxa" w:w="120"/>
              <w:bottom w:type="dxa" w:w="80"/>
              <w:right w:type="dxa" w:w="120"/>
            </w:tcMar>
            <w:vAlign w:val="center"/>
          </w:tcPr>
          <w:p>
            <w:pPr>
              <w:jc w:val="center"/>
            </w:pPr>
            <w:r>
              <w:rPr>
                <w:rFonts w:ascii="Arial" w:cs="Arial" w:eastAsia="Arial" w:hAnsi="Arial"/>
                <w:b/>
                <w:bCs/>
                <w:color w:val="374151"/>
                <w:sz w:val="20"/>
                <w:szCs w:val="20"/>
              </w:rPr>
              <w:t xml:space="preserve">18%</w:t>
            </w:r>
          </w:p>
        </w:tc>
        <w:tc>
          <w:tcPr>
            <w:tcW w:type="dxa" w:w="800"/>
            <w:tcBorders>
              <w:top w:val="single" w:color="D1D5DB" w:sz="1"/>
              <w:left w:val="single" w:color="D1D5DB" w:sz="1"/>
              <w:bottom w:val="single" w:color="D1D5DB" w:sz="1"/>
              <w:right w:val="single" w:color="D1D5DB" w:sz="1"/>
            </w:tcBorders>
            <w:shd w:fill="FFFFFF" w:val="clear"/>
            <w:tcMar>
              <w:top w:type="dxa" w:w="80"/>
              <w:left w:type="dxa" w:w="120"/>
              <w:bottom w:type="dxa" w:w="80"/>
              <w:right w:type="dxa" w:w="120"/>
            </w:tcMar>
            <w:vAlign w:val="center"/>
          </w:tcPr>
          <w:p>
            <w:pPr>
              <w:jc w:val="center"/>
            </w:pPr>
            <w:r>
              <w:rPr>
                <w:rFonts w:ascii="Arial" w:cs="Arial" w:eastAsia="Arial" w:hAnsi="Arial"/>
                <w:b w:val="false"/>
                <w:bCs w:val="false"/>
                <w:color w:val="374151"/>
                <w:sz w:val="20"/>
                <w:szCs w:val="20"/>
              </w:rPr>
              <w:t xml:space="preserve">$1,800</w:t>
            </w:r>
          </w:p>
        </w:tc>
        <w:tc>
          <w:tcPr>
            <w:tcW w:type="dxa" w:w="1700"/>
            <w:tcBorders>
              <w:top w:val="single" w:color="D1D5DB" w:sz="1"/>
              <w:left w:val="single" w:color="D1D5DB" w:sz="1"/>
              <w:bottom w:val="single" w:color="D1D5DB" w:sz="1"/>
              <w:right w:val="single" w:color="D1D5DB" w:sz="1"/>
            </w:tcBorders>
            <w:shd w:fill="FFFFFF" w:val="clear"/>
            <w:tcMar>
              <w:top w:type="dxa" w:w="80"/>
              <w:left w:type="dxa" w:w="120"/>
              <w:bottom w:type="dxa" w:w="80"/>
              <w:right w:type="dxa" w:w="120"/>
            </w:tcMar>
            <w:vAlign w:val="center"/>
          </w:tcPr>
          <w:p>
            <w:pPr>
              <w:jc w:val="left"/>
            </w:pPr>
            <w:r>
              <w:rPr>
                <w:rFonts w:ascii="Arial" w:cs="Arial" w:eastAsia="Arial" w:hAnsi="Arial"/>
                <w:b/>
                <w:bCs/>
                <w:color w:val="374151"/>
                <w:sz w:val="20"/>
                <w:szCs w:val="20"/>
              </w:rPr>
              <w:t xml:space="preserve">India Mid+Large via NRE</w:t>
            </w:r>
          </w:p>
        </w:tc>
        <w:tc>
          <w:tcPr>
            <w:tcW w:type="dxa" w:w="2260"/>
            <w:tcBorders>
              <w:top w:val="single" w:color="D1D5DB" w:sz="1"/>
              <w:left w:val="single" w:color="D1D5DB" w:sz="1"/>
              <w:bottom w:val="single" w:color="D1D5DB" w:sz="1"/>
              <w:right w:val="single" w:color="D1D5DB" w:sz="1"/>
            </w:tcBorders>
            <w:shd w:fill="FFFFFF" w:val="clear"/>
            <w:tcMar>
              <w:top w:type="dxa" w:w="80"/>
              <w:left w:type="dxa" w:w="120"/>
              <w:bottom w:type="dxa" w:w="80"/>
              <w:right w:type="dxa" w:w="120"/>
            </w:tcMar>
            <w:vAlign w:val="center"/>
          </w:tcPr>
          <w:p>
            <w:pPr>
              <w:jc w:val="left"/>
            </w:pPr>
            <w:r>
              <w:rPr>
                <w:rFonts w:ascii="Arial" w:cs="Arial" w:eastAsia="Arial" w:hAnsi="Arial"/>
                <w:b w:val="false"/>
                <w:bCs w:val="false"/>
                <w:color w:val="4B5563"/>
                <w:sz w:val="20"/>
                <w:szCs w:val="20"/>
              </w:rPr>
              <w:t xml:space="preserve">NRE = tax-free + repatriable</w:t>
            </w:r>
          </w:p>
        </w:tc>
        <w:tc>
          <w:tcPr>
            <w:tcW w:type="dxa" w:w="1800"/>
            <w:tcBorders>
              <w:top w:val="single" w:color="D1D5DB" w:sz="1"/>
              <w:left w:val="single" w:color="D1D5DB" w:sz="1"/>
              <w:bottom w:val="single" w:color="D1D5DB" w:sz="1"/>
              <w:right w:val="single" w:color="D1D5DB" w:sz="1"/>
            </w:tcBorders>
            <w:shd w:fill="FFFFFF" w:val="clear"/>
            <w:tcMar>
              <w:top w:type="dxa" w:w="80"/>
              <w:left w:type="dxa" w:w="120"/>
              <w:bottom w:type="dxa" w:w="80"/>
              <w:right w:type="dxa" w:w="120"/>
            </w:tcMar>
            <w:vAlign w:val="center"/>
          </w:tcPr>
          <w:p>
            <w:pPr>
              <w:jc w:val="left"/>
            </w:pPr>
            <w:r>
              <w:rPr>
                <w:rFonts w:ascii="Arial" w:cs="Arial" w:eastAsia="Arial" w:hAnsi="Arial"/>
                <w:b/>
                <w:bCs/>
                <w:color w:val="0D6E4A"/>
                <w:sz w:val="20"/>
                <w:szCs w:val="20"/>
              </w:rPr>
              <w:t xml:space="preserve">~$3,600–4,200</w:t>
            </w:r>
          </w:p>
        </w:tc>
      </w:tr>
      <w:tr>
        <w:tc>
          <w:tcPr>
            <w:tcW w:type="dxa" w:w="1200"/>
            <w:tcBorders>
              <w:top w:val="single" w:color="D1D5DB" w:sz="1"/>
              <w:left w:val="single" w:color="D1D5DB" w:sz="1"/>
              <w:bottom w:val="single" w:color="D1D5DB" w:sz="1"/>
              <w:right w:val="single" w:color="D1D5DB" w:sz="1"/>
            </w:tcBorders>
            <w:shd w:fill="F0FDF4" w:val="clear"/>
            <w:tcMar>
              <w:top w:type="dxa" w:w="80"/>
              <w:left w:type="dxa" w:w="120"/>
              <w:bottom w:type="dxa" w:w="80"/>
              <w:right w:type="dxa" w:w="120"/>
            </w:tcMar>
            <w:vAlign w:val="center"/>
          </w:tcPr>
          <w:p>
            <w:pPr>
              <w:jc w:val="left"/>
            </w:pPr>
            <w:r>
              <w:rPr>
                <w:rFonts w:ascii="Arial" w:cs="Arial" w:eastAsia="Arial" w:hAnsi="Arial"/>
                <w:b/>
                <w:bCs/>
                <w:color w:val="0D6E4A"/>
                <w:sz w:val="19"/>
                <w:szCs w:val="19"/>
              </w:rPr>
              <w:t xml:space="preserve">GROWTH</w:t>
            </w:r>
          </w:p>
        </w:tc>
        <w:tc>
          <w:tcPr>
            <w:tcW w:type="dxa" w:w="600"/>
            <w:tcBorders>
              <w:top w:val="single" w:color="D1D5DB" w:sz="1"/>
              <w:left w:val="single" w:color="D1D5DB" w:sz="1"/>
              <w:bottom w:val="single" w:color="D1D5DB" w:sz="1"/>
              <w:right w:val="single" w:color="D1D5DB" w:sz="1"/>
            </w:tcBorders>
            <w:shd w:fill="FFFFFF" w:val="clear"/>
            <w:tcMar>
              <w:top w:type="dxa" w:w="80"/>
              <w:left w:type="dxa" w:w="120"/>
              <w:bottom w:type="dxa" w:w="80"/>
              <w:right w:type="dxa" w:w="120"/>
            </w:tcMar>
            <w:vAlign w:val="center"/>
          </w:tcPr>
          <w:p>
            <w:pPr>
              <w:jc w:val="center"/>
            </w:pPr>
            <w:r>
              <w:rPr>
                <w:rFonts w:ascii="Arial" w:cs="Arial" w:eastAsia="Arial" w:hAnsi="Arial"/>
                <w:b/>
                <w:bCs/>
                <w:color w:val="374151"/>
                <w:sz w:val="20"/>
                <w:szCs w:val="20"/>
              </w:rPr>
              <w:t xml:space="preserve">10%</w:t>
            </w:r>
          </w:p>
        </w:tc>
        <w:tc>
          <w:tcPr>
            <w:tcW w:type="dxa" w:w="800"/>
            <w:tcBorders>
              <w:top w:val="single" w:color="D1D5DB" w:sz="1"/>
              <w:left w:val="single" w:color="D1D5DB" w:sz="1"/>
              <w:bottom w:val="single" w:color="D1D5DB" w:sz="1"/>
              <w:right w:val="single" w:color="D1D5DB" w:sz="1"/>
            </w:tcBorders>
            <w:shd w:fill="FFFFFF" w:val="clear"/>
            <w:tcMar>
              <w:top w:type="dxa" w:w="80"/>
              <w:left w:type="dxa" w:w="120"/>
              <w:bottom w:type="dxa" w:w="80"/>
              <w:right w:type="dxa" w:w="120"/>
            </w:tcMar>
            <w:vAlign w:val="center"/>
          </w:tcPr>
          <w:p>
            <w:pPr>
              <w:jc w:val="center"/>
            </w:pPr>
            <w:r>
              <w:rPr>
                <w:rFonts w:ascii="Arial" w:cs="Arial" w:eastAsia="Arial" w:hAnsi="Arial"/>
                <w:b w:val="false"/>
                <w:bCs w:val="false"/>
                <w:color w:val="374151"/>
                <w:sz w:val="20"/>
                <w:szCs w:val="20"/>
              </w:rPr>
              <w:t xml:space="preserve">$1,000</w:t>
            </w:r>
          </w:p>
        </w:tc>
        <w:tc>
          <w:tcPr>
            <w:tcW w:type="dxa" w:w="1700"/>
            <w:tcBorders>
              <w:top w:val="single" w:color="D1D5DB" w:sz="1"/>
              <w:left w:val="single" w:color="D1D5DB" w:sz="1"/>
              <w:bottom w:val="single" w:color="D1D5DB" w:sz="1"/>
              <w:right w:val="single" w:color="D1D5DB" w:sz="1"/>
            </w:tcBorders>
            <w:shd w:fill="FFFFFF" w:val="clear"/>
            <w:tcMar>
              <w:top w:type="dxa" w:w="80"/>
              <w:left w:type="dxa" w:w="120"/>
              <w:bottom w:type="dxa" w:w="80"/>
              <w:right w:type="dxa" w:w="120"/>
            </w:tcMar>
            <w:vAlign w:val="center"/>
          </w:tcPr>
          <w:p>
            <w:pPr>
              <w:jc w:val="left"/>
            </w:pPr>
            <w:r>
              <w:rPr>
                <w:rFonts w:ascii="Arial" w:cs="Arial" w:eastAsia="Arial" w:hAnsi="Arial"/>
                <w:b/>
                <w:bCs/>
                <w:color w:val="374151"/>
                <w:sz w:val="20"/>
                <w:szCs w:val="20"/>
              </w:rPr>
              <w:t xml:space="preserve">SOXX / AIQ (AI chips)</w:t>
            </w:r>
          </w:p>
        </w:tc>
        <w:tc>
          <w:tcPr>
            <w:tcW w:type="dxa" w:w="2260"/>
            <w:tcBorders>
              <w:top w:val="single" w:color="D1D5DB" w:sz="1"/>
              <w:left w:val="single" w:color="D1D5DB" w:sz="1"/>
              <w:bottom w:val="single" w:color="D1D5DB" w:sz="1"/>
              <w:right w:val="single" w:color="D1D5DB" w:sz="1"/>
            </w:tcBorders>
            <w:shd w:fill="FFFFFF" w:val="clear"/>
            <w:tcMar>
              <w:top w:type="dxa" w:w="80"/>
              <w:left w:type="dxa" w:w="120"/>
              <w:bottom w:type="dxa" w:w="80"/>
              <w:right w:type="dxa" w:w="120"/>
            </w:tcMar>
            <w:vAlign w:val="center"/>
          </w:tcPr>
          <w:p>
            <w:pPr>
              <w:jc w:val="left"/>
            </w:pPr>
            <w:r>
              <w:rPr>
                <w:rFonts w:ascii="Arial" w:cs="Arial" w:eastAsia="Arial" w:hAnsi="Arial"/>
                <w:b w:val="false"/>
                <w:bCs w:val="false"/>
                <w:color w:val="4B5563"/>
                <w:sz w:val="20"/>
                <w:szCs w:val="20"/>
              </w:rPr>
              <w:t xml:space="preserve">AI capex super-cycle, hold 5yr</w:t>
            </w:r>
          </w:p>
        </w:tc>
        <w:tc>
          <w:tcPr>
            <w:tcW w:type="dxa" w:w="1800"/>
            <w:tcBorders>
              <w:top w:val="single" w:color="D1D5DB" w:sz="1"/>
              <w:left w:val="single" w:color="D1D5DB" w:sz="1"/>
              <w:bottom w:val="single" w:color="D1D5DB" w:sz="1"/>
              <w:right w:val="single" w:color="D1D5DB" w:sz="1"/>
            </w:tcBorders>
            <w:shd w:fill="FFFFFF" w:val="clear"/>
            <w:tcMar>
              <w:top w:type="dxa" w:w="80"/>
              <w:left w:type="dxa" w:w="120"/>
              <w:bottom w:type="dxa" w:w="80"/>
              <w:right w:type="dxa" w:w="120"/>
            </w:tcMar>
            <w:vAlign w:val="center"/>
          </w:tcPr>
          <w:p>
            <w:pPr>
              <w:jc w:val="left"/>
            </w:pPr>
            <w:r>
              <w:rPr>
                <w:rFonts w:ascii="Arial" w:cs="Arial" w:eastAsia="Arial" w:hAnsi="Arial"/>
                <w:b/>
                <w:bCs/>
                <w:color w:val="0D6E4A"/>
                <w:sz w:val="20"/>
                <w:szCs w:val="20"/>
              </w:rPr>
              <w:t xml:space="preserve">~$2,490 (+149%)</w:t>
            </w:r>
          </w:p>
        </w:tc>
      </w:tr>
      <w:tr>
        <w:tc>
          <w:tcPr>
            <w:tcW w:type="dxa" w:w="1200"/>
            <w:tcBorders>
              <w:top w:val="single" w:color="D1D5DB" w:sz="1"/>
              <w:left w:val="single" w:color="D1D5DB" w:sz="1"/>
              <w:bottom w:val="single" w:color="D1D5DB" w:sz="1"/>
              <w:right w:val="single" w:color="D1D5DB" w:sz="1"/>
            </w:tcBorders>
            <w:shd w:fill="FFFBEB" w:val="clear"/>
            <w:tcMar>
              <w:top w:type="dxa" w:w="80"/>
              <w:left w:type="dxa" w:w="120"/>
              <w:bottom w:type="dxa" w:w="80"/>
              <w:right w:type="dxa" w:w="120"/>
            </w:tcMar>
            <w:vAlign w:val="center"/>
          </w:tcPr>
          <w:p>
            <w:pPr>
              <w:jc w:val="left"/>
            </w:pPr>
            <w:r>
              <w:rPr>
                <w:rFonts w:ascii="Arial" w:cs="Arial" w:eastAsia="Arial" w:hAnsi="Arial"/>
                <w:b/>
                <w:bCs/>
                <w:color w:val="92400E"/>
                <w:sz w:val="19"/>
                <w:szCs w:val="19"/>
              </w:rPr>
              <w:t xml:space="preserve">UPSIDE</w:t>
            </w:r>
          </w:p>
        </w:tc>
        <w:tc>
          <w:tcPr>
            <w:tcW w:type="dxa" w:w="600"/>
            <w:tcBorders>
              <w:top w:val="single" w:color="D1D5DB" w:sz="1"/>
              <w:left w:val="single" w:color="D1D5DB" w:sz="1"/>
              <w:bottom w:val="single" w:color="D1D5DB" w:sz="1"/>
              <w:right w:val="single" w:color="D1D5DB" w:sz="1"/>
            </w:tcBorders>
            <w:shd w:fill="FFFFFF" w:val="clear"/>
            <w:tcMar>
              <w:top w:type="dxa" w:w="80"/>
              <w:left w:type="dxa" w:w="120"/>
              <w:bottom w:type="dxa" w:w="80"/>
              <w:right w:type="dxa" w:w="120"/>
            </w:tcMar>
            <w:vAlign w:val="center"/>
          </w:tcPr>
          <w:p>
            <w:pPr>
              <w:jc w:val="center"/>
            </w:pPr>
            <w:r>
              <w:rPr>
                <w:rFonts w:ascii="Arial" w:cs="Arial" w:eastAsia="Arial" w:hAnsi="Arial"/>
                <w:b/>
                <w:bCs/>
                <w:color w:val="374151"/>
                <w:sz w:val="20"/>
                <w:szCs w:val="20"/>
              </w:rPr>
              <w:t xml:space="preserve">7%</w:t>
            </w:r>
          </w:p>
        </w:tc>
        <w:tc>
          <w:tcPr>
            <w:tcW w:type="dxa" w:w="800"/>
            <w:tcBorders>
              <w:top w:val="single" w:color="D1D5DB" w:sz="1"/>
              <w:left w:val="single" w:color="D1D5DB" w:sz="1"/>
              <w:bottom w:val="single" w:color="D1D5DB" w:sz="1"/>
              <w:right w:val="single" w:color="D1D5DB" w:sz="1"/>
            </w:tcBorders>
            <w:shd w:fill="FFFFFF" w:val="clear"/>
            <w:tcMar>
              <w:top w:type="dxa" w:w="80"/>
              <w:left w:type="dxa" w:w="120"/>
              <w:bottom w:type="dxa" w:w="80"/>
              <w:right w:type="dxa" w:w="120"/>
            </w:tcMar>
            <w:vAlign w:val="center"/>
          </w:tcPr>
          <w:p>
            <w:pPr>
              <w:jc w:val="center"/>
            </w:pPr>
            <w:r>
              <w:rPr>
                <w:rFonts w:ascii="Arial" w:cs="Arial" w:eastAsia="Arial" w:hAnsi="Arial"/>
                <w:b w:val="false"/>
                <w:bCs w:val="false"/>
                <w:color w:val="374151"/>
                <w:sz w:val="20"/>
                <w:szCs w:val="20"/>
              </w:rPr>
              <w:t xml:space="preserve">$700</w:t>
            </w:r>
          </w:p>
        </w:tc>
        <w:tc>
          <w:tcPr>
            <w:tcW w:type="dxa" w:w="1700"/>
            <w:tcBorders>
              <w:top w:val="single" w:color="D1D5DB" w:sz="1"/>
              <w:left w:val="single" w:color="D1D5DB" w:sz="1"/>
              <w:bottom w:val="single" w:color="D1D5DB" w:sz="1"/>
              <w:right w:val="single" w:color="D1D5DB" w:sz="1"/>
            </w:tcBorders>
            <w:shd w:fill="FFFFFF" w:val="clear"/>
            <w:tcMar>
              <w:top w:type="dxa" w:w="80"/>
              <w:left w:type="dxa" w:w="120"/>
              <w:bottom w:type="dxa" w:w="80"/>
              <w:right w:type="dxa" w:w="120"/>
            </w:tcMar>
            <w:vAlign w:val="center"/>
          </w:tcPr>
          <w:p>
            <w:pPr>
              <w:jc w:val="left"/>
            </w:pPr>
            <w:r>
              <w:rPr>
                <w:rFonts w:ascii="Arial" w:cs="Arial" w:eastAsia="Arial" w:hAnsi="Arial"/>
                <w:b/>
                <w:bCs/>
                <w:color w:val="374151"/>
                <w:sz w:val="20"/>
                <w:szCs w:val="20"/>
              </w:rPr>
              <w:t xml:space="preserve">VWO (EM, not EEM)</w:t>
            </w:r>
          </w:p>
        </w:tc>
        <w:tc>
          <w:tcPr>
            <w:tcW w:type="dxa" w:w="2260"/>
            <w:tcBorders>
              <w:top w:val="single" w:color="D1D5DB" w:sz="1"/>
              <w:left w:val="single" w:color="D1D5DB" w:sz="1"/>
              <w:bottom w:val="single" w:color="D1D5DB" w:sz="1"/>
              <w:right w:val="single" w:color="D1D5DB" w:sz="1"/>
            </w:tcBorders>
            <w:shd w:fill="FFFFFF" w:val="clear"/>
            <w:tcMar>
              <w:top w:type="dxa" w:w="80"/>
              <w:left w:type="dxa" w:w="120"/>
              <w:bottom w:type="dxa" w:w="80"/>
              <w:right w:type="dxa" w:w="120"/>
            </w:tcMar>
            <w:vAlign w:val="center"/>
          </w:tcPr>
          <w:p>
            <w:pPr>
              <w:jc w:val="left"/>
            </w:pPr>
            <w:r>
              <w:rPr>
                <w:rFonts w:ascii="Arial" w:cs="Arial" w:eastAsia="Arial" w:hAnsi="Arial"/>
                <w:b w:val="false"/>
                <w:bCs w:val="false"/>
                <w:color w:val="4B5563"/>
                <w:sz w:val="20"/>
                <w:szCs w:val="20"/>
              </w:rPr>
              <w:t xml:space="preserve">0.08% vs EEM 0.68% — huge saving</w:t>
            </w:r>
          </w:p>
        </w:tc>
        <w:tc>
          <w:tcPr>
            <w:tcW w:type="dxa" w:w="1800"/>
            <w:tcBorders>
              <w:top w:val="single" w:color="D1D5DB" w:sz="1"/>
              <w:left w:val="single" w:color="D1D5DB" w:sz="1"/>
              <w:bottom w:val="single" w:color="D1D5DB" w:sz="1"/>
              <w:right w:val="single" w:color="D1D5DB" w:sz="1"/>
            </w:tcBorders>
            <w:shd w:fill="FFFFFF" w:val="clear"/>
            <w:tcMar>
              <w:top w:type="dxa" w:w="80"/>
              <w:left w:type="dxa" w:w="120"/>
              <w:bottom w:type="dxa" w:w="80"/>
              <w:right w:type="dxa" w:w="120"/>
            </w:tcMar>
            <w:vAlign w:val="center"/>
          </w:tcPr>
          <w:p>
            <w:pPr>
              <w:jc w:val="left"/>
            </w:pPr>
            <w:r>
              <w:rPr>
                <w:rFonts w:ascii="Arial" w:cs="Arial" w:eastAsia="Arial" w:hAnsi="Arial"/>
                <w:b/>
                <w:bCs/>
                <w:color w:val="0D6E4A"/>
                <w:sz w:val="20"/>
                <w:szCs w:val="20"/>
              </w:rPr>
              <w:t xml:space="preserve">~$1,235</w:t>
            </w:r>
          </w:p>
        </w:tc>
      </w:tr>
      <w:tr>
        <w:tc>
          <w:tcPr>
            <w:tcW w:type="dxa" w:w="1200"/>
            <w:tcBorders>
              <w:top w:val="single" w:color="D1D5DB" w:sz="1"/>
              <w:left w:val="single" w:color="D1D5DB" w:sz="1"/>
              <w:bottom w:val="single" w:color="D1D5DB" w:sz="1"/>
              <w:right w:val="single" w:color="D1D5DB" w:sz="1"/>
            </w:tcBorders>
            <w:shd w:fill="FEF9EC" w:val="clear"/>
            <w:tcMar>
              <w:top w:type="dxa" w:w="80"/>
              <w:left w:type="dxa" w:w="120"/>
              <w:bottom w:type="dxa" w:w="80"/>
              <w:right w:type="dxa" w:w="120"/>
            </w:tcMar>
            <w:vAlign w:val="center"/>
          </w:tcPr>
          <w:p>
            <w:pPr>
              <w:jc w:val="left"/>
            </w:pPr>
            <w:r>
              <w:rPr>
                <w:rFonts w:ascii="Arial" w:cs="Arial" w:eastAsia="Arial" w:hAnsi="Arial"/>
                <w:b/>
                <w:bCs/>
                <w:color w:val="C9A84C"/>
                <w:sz w:val="19"/>
                <w:szCs w:val="19"/>
              </w:rPr>
              <w:t xml:space="preserve">HEDGE</w:t>
            </w:r>
          </w:p>
        </w:tc>
        <w:tc>
          <w:tcPr>
            <w:tcW w:type="dxa" w:w="600"/>
            <w:tcBorders>
              <w:top w:val="single" w:color="D1D5DB" w:sz="1"/>
              <w:left w:val="single" w:color="D1D5DB" w:sz="1"/>
              <w:bottom w:val="single" w:color="D1D5DB" w:sz="1"/>
              <w:right w:val="single" w:color="D1D5DB" w:sz="1"/>
            </w:tcBorders>
            <w:shd w:fill="FFFFFF" w:val="clear"/>
            <w:tcMar>
              <w:top w:type="dxa" w:w="80"/>
              <w:left w:type="dxa" w:w="120"/>
              <w:bottom w:type="dxa" w:w="80"/>
              <w:right w:type="dxa" w:w="120"/>
            </w:tcMar>
            <w:vAlign w:val="center"/>
          </w:tcPr>
          <w:p>
            <w:pPr>
              <w:jc w:val="center"/>
            </w:pPr>
            <w:r>
              <w:rPr>
                <w:rFonts w:ascii="Arial" w:cs="Arial" w:eastAsia="Arial" w:hAnsi="Arial"/>
                <w:b/>
                <w:bCs/>
                <w:color w:val="374151"/>
                <w:sz w:val="20"/>
                <w:szCs w:val="20"/>
              </w:rPr>
              <w:t xml:space="preserve">10%</w:t>
            </w:r>
          </w:p>
        </w:tc>
        <w:tc>
          <w:tcPr>
            <w:tcW w:type="dxa" w:w="800"/>
            <w:tcBorders>
              <w:top w:val="single" w:color="D1D5DB" w:sz="1"/>
              <w:left w:val="single" w:color="D1D5DB" w:sz="1"/>
              <w:bottom w:val="single" w:color="D1D5DB" w:sz="1"/>
              <w:right w:val="single" w:color="D1D5DB" w:sz="1"/>
            </w:tcBorders>
            <w:shd w:fill="FFFFFF" w:val="clear"/>
            <w:tcMar>
              <w:top w:type="dxa" w:w="80"/>
              <w:left w:type="dxa" w:w="120"/>
              <w:bottom w:type="dxa" w:w="80"/>
              <w:right w:type="dxa" w:w="120"/>
            </w:tcMar>
            <w:vAlign w:val="center"/>
          </w:tcPr>
          <w:p>
            <w:pPr>
              <w:jc w:val="center"/>
            </w:pPr>
            <w:r>
              <w:rPr>
                <w:rFonts w:ascii="Arial" w:cs="Arial" w:eastAsia="Arial" w:hAnsi="Arial"/>
                <w:b w:val="false"/>
                <w:bCs w:val="false"/>
                <w:color w:val="374151"/>
                <w:sz w:val="20"/>
                <w:szCs w:val="20"/>
              </w:rPr>
              <w:t xml:space="preserve">$1,000</w:t>
            </w:r>
          </w:p>
        </w:tc>
        <w:tc>
          <w:tcPr>
            <w:tcW w:type="dxa" w:w="1700"/>
            <w:tcBorders>
              <w:top w:val="single" w:color="D1D5DB" w:sz="1"/>
              <w:left w:val="single" w:color="D1D5DB" w:sz="1"/>
              <w:bottom w:val="single" w:color="D1D5DB" w:sz="1"/>
              <w:right w:val="single" w:color="D1D5DB" w:sz="1"/>
            </w:tcBorders>
            <w:shd w:fill="FFFFFF" w:val="clear"/>
            <w:tcMar>
              <w:top w:type="dxa" w:w="80"/>
              <w:left w:type="dxa" w:w="120"/>
              <w:bottom w:type="dxa" w:w="80"/>
              <w:right w:type="dxa" w:w="120"/>
            </w:tcMar>
            <w:vAlign w:val="center"/>
          </w:tcPr>
          <w:p>
            <w:pPr>
              <w:jc w:val="left"/>
            </w:pPr>
            <w:r>
              <w:rPr>
                <w:rFonts w:ascii="Arial" w:cs="Arial" w:eastAsia="Arial" w:hAnsi="Arial"/>
                <w:b/>
                <w:bCs/>
                <w:color w:val="374151"/>
                <w:sz w:val="20"/>
                <w:szCs w:val="20"/>
              </w:rPr>
              <w:t xml:space="preserve">IAU (Gold ETF)</w:t>
            </w:r>
          </w:p>
        </w:tc>
        <w:tc>
          <w:tcPr>
            <w:tcW w:type="dxa" w:w="2260"/>
            <w:tcBorders>
              <w:top w:val="single" w:color="D1D5DB" w:sz="1"/>
              <w:left w:val="single" w:color="D1D5DB" w:sz="1"/>
              <w:bottom w:val="single" w:color="D1D5DB" w:sz="1"/>
              <w:right w:val="single" w:color="D1D5DB" w:sz="1"/>
            </w:tcBorders>
            <w:shd w:fill="FFFFFF" w:val="clear"/>
            <w:tcMar>
              <w:top w:type="dxa" w:w="80"/>
              <w:left w:type="dxa" w:w="120"/>
              <w:bottom w:type="dxa" w:w="80"/>
              <w:right w:type="dxa" w:w="120"/>
            </w:tcMar>
            <w:vAlign w:val="center"/>
          </w:tcPr>
          <w:p>
            <w:pPr>
              <w:jc w:val="left"/>
            </w:pPr>
            <w:r>
              <w:rPr>
                <w:rFonts w:ascii="Arial" w:cs="Arial" w:eastAsia="Arial" w:hAnsi="Arial"/>
                <w:b w:val="false"/>
                <w:bCs w:val="false"/>
                <w:color w:val="4B5563"/>
                <w:sz w:val="20"/>
                <w:szCs w:val="20"/>
              </w:rPr>
              <w:t xml:space="preserve">0.25% — cheaper than GLD 0.40%</w:t>
            </w:r>
          </w:p>
        </w:tc>
        <w:tc>
          <w:tcPr>
            <w:tcW w:type="dxa" w:w="1800"/>
            <w:tcBorders>
              <w:top w:val="single" w:color="D1D5DB" w:sz="1"/>
              <w:left w:val="single" w:color="D1D5DB" w:sz="1"/>
              <w:bottom w:val="single" w:color="D1D5DB" w:sz="1"/>
              <w:right w:val="single" w:color="D1D5DB" w:sz="1"/>
            </w:tcBorders>
            <w:shd w:fill="FFFFFF" w:val="clear"/>
            <w:tcMar>
              <w:top w:type="dxa" w:w="80"/>
              <w:left w:type="dxa" w:w="120"/>
              <w:bottom w:type="dxa" w:w="80"/>
              <w:right w:type="dxa" w:w="120"/>
            </w:tcMar>
            <w:vAlign w:val="center"/>
          </w:tcPr>
          <w:p>
            <w:pPr>
              <w:jc w:val="left"/>
            </w:pPr>
            <w:r>
              <w:rPr>
                <w:rFonts w:ascii="Arial" w:cs="Arial" w:eastAsia="Arial" w:hAnsi="Arial"/>
                <w:b/>
                <w:bCs/>
                <w:color w:val="0D6E4A"/>
                <w:sz w:val="20"/>
                <w:szCs w:val="20"/>
              </w:rPr>
              <w:t xml:space="preserve">~$1,760–2,490</w:t>
            </w:r>
          </w:p>
        </w:tc>
      </w:tr>
      <w:tr>
        <w:tc>
          <w:tcPr>
            <w:tcW w:type="dxa" w:w="1200"/>
            <w:tcBorders>
              <w:top w:val="single" w:color="D1D5DB" w:sz="1"/>
              <w:left w:val="single" w:color="D1D5DB" w:sz="1"/>
              <w:bottom w:val="single" w:color="D1D5DB" w:sz="1"/>
              <w:right w:val="single" w:color="D1D5DB" w:sz="1"/>
            </w:tcBorders>
            <w:shd w:fill="F5F3FF" w:val="clear"/>
            <w:tcMar>
              <w:top w:type="dxa" w:w="80"/>
              <w:left w:type="dxa" w:w="120"/>
              <w:bottom w:type="dxa" w:w="80"/>
              <w:right w:type="dxa" w:w="120"/>
            </w:tcMar>
            <w:vAlign w:val="center"/>
          </w:tcPr>
          <w:p>
            <w:pPr>
              <w:jc w:val="left"/>
            </w:pPr>
            <w:r>
              <w:rPr>
                <w:rFonts w:ascii="Arial" w:cs="Arial" w:eastAsia="Arial" w:hAnsi="Arial"/>
                <w:b/>
                <w:bCs/>
                <w:color w:val="6D28D9"/>
                <w:sz w:val="19"/>
                <w:szCs w:val="19"/>
              </w:rPr>
              <w:t xml:space="preserve">INCOME</w:t>
            </w:r>
          </w:p>
        </w:tc>
        <w:tc>
          <w:tcPr>
            <w:tcW w:type="dxa" w:w="600"/>
            <w:tcBorders>
              <w:top w:val="single" w:color="D1D5DB" w:sz="1"/>
              <w:left w:val="single" w:color="D1D5DB" w:sz="1"/>
              <w:bottom w:val="single" w:color="D1D5DB" w:sz="1"/>
              <w:right w:val="single" w:color="D1D5DB" w:sz="1"/>
            </w:tcBorders>
            <w:shd w:fill="FFFFFF" w:val="clear"/>
            <w:tcMar>
              <w:top w:type="dxa" w:w="80"/>
              <w:left w:type="dxa" w:w="120"/>
              <w:bottom w:type="dxa" w:w="80"/>
              <w:right w:type="dxa" w:w="120"/>
            </w:tcMar>
            <w:vAlign w:val="center"/>
          </w:tcPr>
          <w:p>
            <w:pPr>
              <w:jc w:val="center"/>
            </w:pPr>
            <w:r>
              <w:rPr>
                <w:rFonts w:ascii="Arial" w:cs="Arial" w:eastAsia="Arial" w:hAnsi="Arial"/>
                <w:b/>
                <w:bCs/>
                <w:color w:val="374151"/>
                <w:sz w:val="20"/>
                <w:szCs w:val="20"/>
              </w:rPr>
              <w:t xml:space="preserve">5%</w:t>
            </w:r>
          </w:p>
        </w:tc>
        <w:tc>
          <w:tcPr>
            <w:tcW w:type="dxa" w:w="800"/>
            <w:tcBorders>
              <w:top w:val="single" w:color="D1D5DB" w:sz="1"/>
              <w:left w:val="single" w:color="D1D5DB" w:sz="1"/>
              <w:bottom w:val="single" w:color="D1D5DB" w:sz="1"/>
              <w:right w:val="single" w:color="D1D5DB" w:sz="1"/>
            </w:tcBorders>
            <w:shd w:fill="FFFFFF" w:val="clear"/>
            <w:tcMar>
              <w:top w:type="dxa" w:w="80"/>
              <w:left w:type="dxa" w:w="120"/>
              <w:bottom w:type="dxa" w:w="80"/>
              <w:right w:type="dxa" w:w="120"/>
            </w:tcMar>
            <w:vAlign w:val="center"/>
          </w:tcPr>
          <w:p>
            <w:pPr>
              <w:jc w:val="center"/>
            </w:pPr>
            <w:r>
              <w:rPr>
                <w:rFonts w:ascii="Arial" w:cs="Arial" w:eastAsia="Arial" w:hAnsi="Arial"/>
                <w:b w:val="false"/>
                <w:bCs w:val="false"/>
                <w:color w:val="374151"/>
                <w:sz w:val="20"/>
                <w:szCs w:val="20"/>
              </w:rPr>
              <w:t xml:space="preserve">$500</w:t>
            </w:r>
          </w:p>
        </w:tc>
        <w:tc>
          <w:tcPr>
            <w:tcW w:type="dxa" w:w="1700"/>
            <w:tcBorders>
              <w:top w:val="single" w:color="D1D5DB" w:sz="1"/>
              <w:left w:val="single" w:color="D1D5DB" w:sz="1"/>
              <w:bottom w:val="single" w:color="D1D5DB" w:sz="1"/>
              <w:right w:val="single" w:color="D1D5DB" w:sz="1"/>
            </w:tcBorders>
            <w:shd w:fill="FFFFFF" w:val="clear"/>
            <w:tcMar>
              <w:top w:type="dxa" w:w="80"/>
              <w:left w:type="dxa" w:w="120"/>
              <w:bottom w:type="dxa" w:w="80"/>
              <w:right w:type="dxa" w:w="120"/>
            </w:tcMar>
            <w:vAlign w:val="center"/>
          </w:tcPr>
          <w:p>
            <w:pPr>
              <w:jc w:val="left"/>
            </w:pPr>
            <w:r>
              <w:rPr>
                <w:rFonts w:ascii="Arial" w:cs="Arial" w:eastAsia="Arial" w:hAnsi="Arial"/>
                <w:b/>
                <w:bCs/>
                <w:color w:val="374151"/>
                <w:sz w:val="20"/>
                <w:szCs w:val="20"/>
              </w:rPr>
              <w:t xml:space="preserve">Maybank / DBS.SI</w:t>
            </w:r>
          </w:p>
        </w:tc>
        <w:tc>
          <w:tcPr>
            <w:tcW w:type="dxa" w:w="2260"/>
            <w:tcBorders>
              <w:top w:val="single" w:color="D1D5DB" w:sz="1"/>
              <w:left w:val="single" w:color="D1D5DB" w:sz="1"/>
              <w:bottom w:val="single" w:color="D1D5DB" w:sz="1"/>
              <w:right w:val="single" w:color="D1D5DB" w:sz="1"/>
            </w:tcBorders>
            <w:shd w:fill="FFFFFF" w:val="clear"/>
            <w:tcMar>
              <w:top w:type="dxa" w:w="80"/>
              <w:left w:type="dxa" w:w="120"/>
              <w:bottom w:type="dxa" w:w="80"/>
              <w:right w:type="dxa" w:w="120"/>
            </w:tcMar>
            <w:vAlign w:val="center"/>
          </w:tcPr>
          <w:p>
            <w:pPr>
              <w:jc w:val="left"/>
            </w:pPr>
            <w:r>
              <w:rPr>
                <w:rFonts w:ascii="Arial" w:cs="Arial" w:eastAsia="Arial" w:hAnsi="Arial"/>
                <w:b w:val="false"/>
                <w:bCs w:val="false"/>
                <w:color w:val="4B5563"/>
                <w:sz w:val="20"/>
                <w:szCs w:val="20"/>
              </w:rPr>
              <w:t xml:space="preserve">MY: 0% CGT. SG: 5%+ dividend</w:t>
            </w:r>
          </w:p>
        </w:tc>
        <w:tc>
          <w:tcPr>
            <w:tcW w:type="dxa" w:w="1800"/>
            <w:tcBorders>
              <w:top w:val="single" w:color="D1D5DB" w:sz="1"/>
              <w:left w:val="single" w:color="D1D5DB" w:sz="1"/>
              <w:bottom w:val="single" w:color="D1D5DB" w:sz="1"/>
              <w:right w:val="single" w:color="D1D5DB" w:sz="1"/>
            </w:tcBorders>
            <w:shd w:fill="FFFFFF" w:val="clear"/>
            <w:tcMar>
              <w:top w:type="dxa" w:w="80"/>
              <w:left w:type="dxa" w:w="120"/>
              <w:bottom w:type="dxa" w:w="80"/>
              <w:right w:type="dxa" w:w="120"/>
            </w:tcMar>
            <w:vAlign w:val="center"/>
          </w:tcPr>
          <w:p>
            <w:pPr>
              <w:jc w:val="left"/>
            </w:pPr>
            <w:r>
              <w:rPr>
                <w:rFonts w:ascii="Arial" w:cs="Arial" w:eastAsia="Arial" w:hAnsi="Arial"/>
                <w:b/>
                <w:bCs/>
                <w:color w:val="0D6E4A"/>
                <w:sz w:val="20"/>
                <w:szCs w:val="20"/>
              </w:rPr>
              <w:t xml:space="preserve">~$735</w:t>
            </w:r>
          </w:p>
        </w:tc>
      </w:tr>
      <w:tr>
        <w:tc>
          <w:tcPr>
            <w:tcW w:type="dxa" w:w="1200"/>
            <w:tcBorders>
              <w:top w:val="single" w:color="D1D5DB" w:sz="1"/>
              <w:left w:val="single" w:color="D1D5DB" w:sz="1"/>
              <w:bottom w:val="single" w:color="D1D5DB" w:sz="1"/>
              <w:right w:val="single" w:color="D1D5DB" w:sz="1"/>
            </w:tcBorders>
            <w:shd w:fill="FFF1F2" w:val="clear"/>
            <w:tcMar>
              <w:top w:type="dxa" w:w="80"/>
              <w:left w:type="dxa" w:w="120"/>
              <w:bottom w:type="dxa" w:w="80"/>
              <w:right w:type="dxa" w:w="120"/>
            </w:tcMar>
            <w:vAlign w:val="center"/>
          </w:tcPr>
          <w:p>
            <w:pPr>
              <w:jc w:val="left"/>
            </w:pPr>
            <w:r>
              <w:rPr>
                <w:rFonts w:ascii="Arial" w:cs="Arial" w:eastAsia="Arial" w:hAnsi="Arial"/>
                <w:b/>
                <w:bCs/>
                <w:color w:val="B91C1C"/>
                <w:sz w:val="19"/>
                <w:szCs w:val="19"/>
              </w:rPr>
              <w:t xml:space="preserve">SWING</w:t>
            </w:r>
          </w:p>
        </w:tc>
        <w:tc>
          <w:tcPr>
            <w:tcW w:type="dxa" w:w="600"/>
            <w:tcBorders>
              <w:top w:val="single" w:color="D1D5DB" w:sz="1"/>
              <w:left w:val="single" w:color="D1D5DB" w:sz="1"/>
              <w:bottom w:val="single" w:color="D1D5DB" w:sz="1"/>
              <w:right w:val="single" w:color="D1D5DB" w:sz="1"/>
            </w:tcBorders>
            <w:shd w:fill="FFFFFF" w:val="clear"/>
            <w:tcMar>
              <w:top w:type="dxa" w:w="80"/>
              <w:left w:type="dxa" w:w="120"/>
              <w:bottom w:type="dxa" w:w="80"/>
              <w:right w:type="dxa" w:w="120"/>
            </w:tcMar>
            <w:vAlign w:val="center"/>
          </w:tcPr>
          <w:p>
            <w:pPr>
              <w:jc w:val="center"/>
            </w:pPr>
            <w:r>
              <w:rPr>
                <w:rFonts w:ascii="Arial" w:cs="Arial" w:eastAsia="Arial" w:hAnsi="Arial"/>
                <w:b/>
                <w:bCs/>
                <w:color w:val="374151"/>
                <w:sz w:val="20"/>
                <w:szCs w:val="20"/>
              </w:rPr>
              <w:t xml:space="preserve">5%</w:t>
            </w:r>
          </w:p>
        </w:tc>
        <w:tc>
          <w:tcPr>
            <w:tcW w:type="dxa" w:w="800"/>
            <w:tcBorders>
              <w:top w:val="single" w:color="D1D5DB" w:sz="1"/>
              <w:left w:val="single" w:color="D1D5DB" w:sz="1"/>
              <w:bottom w:val="single" w:color="D1D5DB" w:sz="1"/>
              <w:right w:val="single" w:color="D1D5DB" w:sz="1"/>
            </w:tcBorders>
            <w:shd w:fill="FFFFFF" w:val="clear"/>
            <w:tcMar>
              <w:top w:type="dxa" w:w="80"/>
              <w:left w:type="dxa" w:w="120"/>
              <w:bottom w:type="dxa" w:w="80"/>
              <w:right w:type="dxa" w:w="120"/>
            </w:tcMar>
            <w:vAlign w:val="center"/>
          </w:tcPr>
          <w:p>
            <w:pPr>
              <w:jc w:val="center"/>
            </w:pPr>
            <w:r>
              <w:rPr>
                <w:rFonts w:ascii="Arial" w:cs="Arial" w:eastAsia="Arial" w:hAnsi="Arial"/>
                <w:b w:val="false"/>
                <w:bCs w:val="false"/>
                <w:color w:val="374151"/>
                <w:sz w:val="20"/>
                <w:szCs w:val="20"/>
              </w:rPr>
              <w:t xml:space="preserve">$500</w:t>
            </w:r>
          </w:p>
        </w:tc>
        <w:tc>
          <w:tcPr>
            <w:tcW w:type="dxa" w:w="1700"/>
            <w:tcBorders>
              <w:top w:val="single" w:color="D1D5DB" w:sz="1"/>
              <w:left w:val="single" w:color="D1D5DB" w:sz="1"/>
              <w:bottom w:val="single" w:color="D1D5DB" w:sz="1"/>
              <w:right w:val="single" w:color="D1D5DB" w:sz="1"/>
            </w:tcBorders>
            <w:shd w:fill="FFFFFF" w:val="clear"/>
            <w:tcMar>
              <w:top w:type="dxa" w:w="80"/>
              <w:left w:type="dxa" w:w="120"/>
              <w:bottom w:type="dxa" w:w="80"/>
              <w:right w:type="dxa" w:w="120"/>
            </w:tcMar>
            <w:vAlign w:val="center"/>
          </w:tcPr>
          <w:p>
            <w:pPr>
              <w:jc w:val="left"/>
            </w:pPr>
            <w:r>
              <w:rPr>
                <w:rFonts w:ascii="Arial" w:cs="Arial" w:eastAsia="Arial" w:hAnsi="Arial"/>
                <w:b/>
                <w:bCs/>
                <w:color w:val="374151"/>
                <w:sz w:val="20"/>
                <w:szCs w:val="20"/>
              </w:rPr>
              <w:t xml:space="preserve">High-conviction pick</w:t>
            </w:r>
          </w:p>
        </w:tc>
        <w:tc>
          <w:tcPr>
            <w:tcW w:type="dxa" w:w="2260"/>
            <w:tcBorders>
              <w:top w:val="single" w:color="D1D5DB" w:sz="1"/>
              <w:left w:val="single" w:color="D1D5DB" w:sz="1"/>
              <w:bottom w:val="single" w:color="D1D5DB" w:sz="1"/>
              <w:right w:val="single" w:color="D1D5DB" w:sz="1"/>
            </w:tcBorders>
            <w:shd w:fill="FFFFFF" w:val="clear"/>
            <w:tcMar>
              <w:top w:type="dxa" w:w="80"/>
              <w:left w:type="dxa" w:w="120"/>
              <w:bottom w:type="dxa" w:w="80"/>
              <w:right w:type="dxa" w:w="120"/>
            </w:tcMar>
            <w:vAlign w:val="center"/>
          </w:tcPr>
          <w:p>
            <w:pPr>
              <w:jc w:val="left"/>
            </w:pPr>
            <w:r>
              <w:rPr>
                <w:rFonts w:ascii="Arial" w:cs="Arial" w:eastAsia="Arial" w:hAnsi="Arial"/>
                <w:b w:val="false"/>
                <w:bCs w:val="false"/>
                <w:color w:val="4B5563"/>
                <w:sz w:val="20"/>
                <w:szCs w:val="20"/>
              </w:rPr>
              <w:t xml:space="preserve">Sector you understand deeply</w:t>
            </w:r>
          </w:p>
        </w:tc>
        <w:tc>
          <w:tcPr>
            <w:tcW w:type="dxa" w:w="1800"/>
            <w:tcBorders>
              <w:top w:val="single" w:color="D1D5DB" w:sz="1"/>
              <w:left w:val="single" w:color="D1D5DB" w:sz="1"/>
              <w:bottom w:val="single" w:color="D1D5DB" w:sz="1"/>
              <w:right w:val="single" w:color="D1D5DB" w:sz="1"/>
            </w:tcBorders>
            <w:shd w:fill="FFFFFF" w:val="clear"/>
            <w:tcMar>
              <w:top w:type="dxa" w:w="80"/>
              <w:left w:type="dxa" w:w="120"/>
              <w:bottom w:type="dxa" w:w="80"/>
              <w:right w:type="dxa" w:w="120"/>
            </w:tcMar>
            <w:vAlign w:val="center"/>
          </w:tcPr>
          <w:p>
            <w:pPr>
              <w:jc w:val="left"/>
            </w:pPr>
            <w:r>
              <w:rPr>
                <w:rFonts w:ascii="Arial" w:cs="Arial" w:eastAsia="Arial" w:hAnsi="Arial"/>
                <w:b/>
                <w:bCs/>
                <w:color w:val="0D6E4A"/>
                <w:sz w:val="20"/>
                <w:szCs w:val="20"/>
              </w:rPr>
              <w:t xml:space="preserve">0x–$7,500+</w:t>
            </w:r>
          </w:p>
        </w:tc>
      </w:tr>
      <w:tr>
        <w:tc>
          <w:tcPr>
            <w:tcW w:type="dxa" w:w="1200"/>
            <w:tcBorders>
              <w:top w:val="single" w:color="D1D5DB" w:sz="1"/>
              <w:left w:val="single" w:color="D1D5DB" w:sz="1"/>
              <w:bottom w:val="single" w:color="D1D5DB" w:sz="1"/>
              <w:right w:val="single" w:color="D1D5DB" w:sz="1"/>
            </w:tcBorders>
            <w:shd w:fill="F8FAFC" w:val="clear"/>
            <w:tcMar>
              <w:top w:type="dxa" w:w="80"/>
              <w:left w:type="dxa" w:w="120"/>
              <w:bottom w:type="dxa" w:w="80"/>
              <w:right w:type="dxa" w:w="120"/>
            </w:tcMar>
            <w:vAlign w:val="center"/>
          </w:tcPr>
          <w:p>
            <w:pPr>
              <w:jc w:val="left"/>
            </w:pPr>
            <w:r>
              <w:rPr>
                <w:rFonts w:ascii="Arial" w:cs="Arial" w:eastAsia="Arial" w:hAnsi="Arial"/>
                <w:b/>
                <w:bCs/>
                <w:color w:val="64748B"/>
                <w:sz w:val="19"/>
                <w:szCs w:val="19"/>
              </w:rPr>
              <w:t xml:space="preserve">CASH</w:t>
            </w:r>
          </w:p>
        </w:tc>
        <w:tc>
          <w:tcPr>
            <w:tcW w:type="dxa" w:w="600"/>
            <w:tcBorders>
              <w:top w:val="single" w:color="D1D5DB" w:sz="1"/>
              <w:left w:val="single" w:color="D1D5DB" w:sz="1"/>
              <w:bottom w:val="single" w:color="D1D5DB" w:sz="1"/>
              <w:right w:val="single" w:color="D1D5DB" w:sz="1"/>
            </w:tcBorders>
            <w:shd w:fill="FFFFFF" w:val="clear"/>
            <w:tcMar>
              <w:top w:type="dxa" w:w="80"/>
              <w:left w:type="dxa" w:w="120"/>
              <w:bottom w:type="dxa" w:w="80"/>
              <w:right w:type="dxa" w:w="120"/>
            </w:tcMar>
            <w:vAlign w:val="center"/>
          </w:tcPr>
          <w:p>
            <w:pPr>
              <w:jc w:val="center"/>
            </w:pPr>
            <w:r>
              <w:rPr>
                <w:rFonts w:ascii="Arial" w:cs="Arial" w:eastAsia="Arial" w:hAnsi="Arial"/>
                <w:b/>
                <w:bCs/>
                <w:color w:val="374151"/>
                <w:sz w:val="20"/>
                <w:szCs w:val="20"/>
              </w:rPr>
              <w:t xml:space="preserve">5%</w:t>
            </w:r>
          </w:p>
        </w:tc>
        <w:tc>
          <w:tcPr>
            <w:tcW w:type="dxa" w:w="800"/>
            <w:tcBorders>
              <w:top w:val="single" w:color="D1D5DB" w:sz="1"/>
              <w:left w:val="single" w:color="D1D5DB" w:sz="1"/>
              <w:bottom w:val="single" w:color="D1D5DB" w:sz="1"/>
              <w:right w:val="single" w:color="D1D5DB" w:sz="1"/>
            </w:tcBorders>
            <w:shd w:fill="FFFFFF" w:val="clear"/>
            <w:tcMar>
              <w:top w:type="dxa" w:w="80"/>
              <w:left w:type="dxa" w:w="120"/>
              <w:bottom w:type="dxa" w:w="80"/>
              <w:right w:type="dxa" w:w="120"/>
            </w:tcMar>
            <w:vAlign w:val="center"/>
          </w:tcPr>
          <w:p>
            <w:pPr>
              <w:jc w:val="center"/>
            </w:pPr>
            <w:r>
              <w:rPr>
                <w:rFonts w:ascii="Arial" w:cs="Arial" w:eastAsia="Arial" w:hAnsi="Arial"/>
                <w:b w:val="false"/>
                <w:bCs w:val="false"/>
                <w:color w:val="374151"/>
                <w:sz w:val="20"/>
                <w:szCs w:val="20"/>
              </w:rPr>
              <w:t xml:space="preserve">$500</w:t>
            </w:r>
          </w:p>
        </w:tc>
        <w:tc>
          <w:tcPr>
            <w:tcW w:type="dxa" w:w="1700"/>
            <w:tcBorders>
              <w:top w:val="single" w:color="D1D5DB" w:sz="1"/>
              <w:left w:val="single" w:color="D1D5DB" w:sz="1"/>
              <w:bottom w:val="single" w:color="D1D5DB" w:sz="1"/>
              <w:right w:val="single" w:color="D1D5DB" w:sz="1"/>
            </w:tcBorders>
            <w:shd w:fill="FFFFFF" w:val="clear"/>
            <w:tcMar>
              <w:top w:type="dxa" w:w="80"/>
              <w:left w:type="dxa" w:w="120"/>
              <w:bottom w:type="dxa" w:w="80"/>
              <w:right w:type="dxa" w:w="120"/>
            </w:tcMar>
            <w:vAlign w:val="center"/>
          </w:tcPr>
          <w:p>
            <w:pPr>
              <w:jc w:val="left"/>
            </w:pPr>
            <w:r>
              <w:rPr>
                <w:rFonts w:ascii="Arial" w:cs="Arial" w:eastAsia="Arial" w:hAnsi="Arial"/>
                <w:b/>
                <w:bCs/>
                <w:color w:val="374151"/>
                <w:sz w:val="20"/>
                <w:szCs w:val="20"/>
              </w:rPr>
              <w:t xml:space="preserve">T-bills (SGOV)</w:t>
            </w:r>
          </w:p>
        </w:tc>
        <w:tc>
          <w:tcPr>
            <w:tcW w:type="dxa" w:w="2260"/>
            <w:tcBorders>
              <w:top w:val="single" w:color="D1D5DB" w:sz="1"/>
              <w:left w:val="single" w:color="D1D5DB" w:sz="1"/>
              <w:bottom w:val="single" w:color="D1D5DB" w:sz="1"/>
              <w:right w:val="single" w:color="D1D5DB" w:sz="1"/>
            </w:tcBorders>
            <w:shd w:fill="FFFFFF" w:val="clear"/>
            <w:tcMar>
              <w:top w:type="dxa" w:w="80"/>
              <w:left w:type="dxa" w:w="120"/>
              <w:bottom w:type="dxa" w:w="80"/>
              <w:right w:type="dxa" w:w="120"/>
            </w:tcMar>
            <w:vAlign w:val="center"/>
          </w:tcPr>
          <w:p>
            <w:pPr>
              <w:jc w:val="left"/>
            </w:pPr>
            <w:r>
              <w:rPr>
                <w:rFonts w:ascii="Arial" w:cs="Arial" w:eastAsia="Arial" w:hAnsi="Arial"/>
                <w:b w:val="false"/>
                <w:bCs w:val="false"/>
                <w:color w:val="4B5563"/>
                <w:sz w:val="20"/>
                <w:szCs w:val="20"/>
              </w:rPr>
              <w:t xml:space="preserve">~5% yield + dry powder for dips</w:t>
            </w:r>
          </w:p>
        </w:tc>
        <w:tc>
          <w:tcPr>
            <w:tcW w:type="dxa" w:w="1800"/>
            <w:tcBorders>
              <w:top w:val="single" w:color="D1D5DB" w:sz="1"/>
              <w:left w:val="single" w:color="D1D5DB" w:sz="1"/>
              <w:bottom w:val="single" w:color="D1D5DB" w:sz="1"/>
              <w:right w:val="single" w:color="D1D5DB" w:sz="1"/>
            </w:tcBorders>
            <w:shd w:fill="FFFFFF" w:val="clear"/>
            <w:tcMar>
              <w:top w:type="dxa" w:w="80"/>
              <w:left w:type="dxa" w:w="120"/>
              <w:bottom w:type="dxa" w:w="80"/>
              <w:right w:type="dxa" w:w="120"/>
            </w:tcMar>
            <w:vAlign w:val="center"/>
          </w:tcPr>
          <w:p>
            <w:pPr>
              <w:jc w:val="left"/>
            </w:pPr>
            <w:r>
              <w:rPr>
                <w:rFonts w:ascii="Arial" w:cs="Arial" w:eastAsia="Arial" w:hAnsi="Arial"/>
                <w:b/>
                <w:bCs/>
                <w:color w:val="0D6E4A"/>
                <w:sz w:val="20"/>
                <w:szCs w:val="20"/>
              </w:rPr>
              <w:t xml:space="preserve">~$640</w:t>
            </w:r>
          </w:p>
        </w:tc>
      </w:tr>
    </w:tbl>
    <w:p>
      <w:r>
        <w:t xml:space="preserve"/>
      </w:r>
    </w:p>
    <w:p>
      <w:pPr>
        <w:shd w:fill="F0FDF4" w:val="clear"/>
        <w:spacing w:after="100" w:before="100"/>
        <w:ind w:left="360" w:right="360"/>
      </w:pPr>
      <w:r>
        <w:rPr>
          <w:rFonts w:ascii="Arial" w:cs="Arial" w:eastAsia="Arial" w:hAnsi="Arial"/>
          <w:b/>
          <w:bCs/>
          <w:color w:val="0D6E4A"/>
          <w:sz w:val="22"/>
          <w:szCs w:val="22"/>
        </w:rPr>
        <w:t xml:space="preserve">NET RETURN  </w:t>
      </w:r>
      <w:r>
        <w:rPr>
          <w:rFonts w:ascii="Arial" w:cs="Arial" w:eastAsia="Arial" w:hAnsi="Arial"/>
          <w:color w:val="0D6E4A"/>
          <w:sz w:val="21"/>
          <w:szCs w:val="21"/>
        </w:rPr>
        <w:t xml:space="preserve">After NRI tax adjustments (India LTCG, US WHT, fee optimisation) — realistic net outcome: $19,500–$24,000 base case | $38,000–$58,000 bull case</w:t>
      </w:r>
    </w:p>
    <w:p>
      <w:r>
        <w:t xml:space="preserve"/>
      </w:r>
    </w:p>
    <w:p>
      <w:pPr>
        <w:pStyle w:val="Heading2"/>
        <w:pBdr>
          <w:bottom w:val="single" w:color="C9A84C" w:sz="4" w:space="4"/>
        </w:pBdr>
        <w:spacing w:after="120" w:before="240"/>
      </w:pPr>
      <w:r>
        <w:rPr>
          <w:rFonts w:ascii="Arial" w:cs="Arial" w:eastAsia="Arial" w:hAnsi="Arial"/>
          <w:b/>
          <w:bCs/>
          <w:color w:val="0A0F1E"/>
          <w:sz w:val="30"/>
          <w:szCs w:val="30"/>
        </w:rPr>
        <w:t xml:space="preserve">5-Year Scenario Analysis</w:t>
      </w:r>
    </w:p>
    <w:tbl>
      <w:tblPr>
        <w:tblW w:type="dxa" w:w="9360"/>
        <w:tblBorders>
          <w:top w:val="single" w:color="auto" w:sz="4"/>
          <w:left w:val="single" w:color="auto" w:sz="4"/>
          <w:bottom w:val="single" w:color="auto" w:sz="4"/>
          <w:right w:val="single" w:color="auto" w:sz="4"/>
          <w:insideH w:val="single" w:color="auto" w:sz="4"/>
          <w:insideV w:val="single" w:color="auto" w:sz="4"/>
        </w:tblBorders>
      </w:tblPr>
      <w:tblGrid>
        <w:gridCol w:w="1100"/>
        <w:gridCol w:w="1000"/>
        <w:gridCol w:w="1700"/>
        <w:gridCol w:w="1360"/>
        <w:gridCol w:w="2500"/>
        <w:gridCol w:w="1700"/>
      </w:tblGrid>
      <w:tr>
        <w:trPr>
          <w:tblHeader/>
        </w:trPr>
        <w:tc>
          <w:tcPr>
            <w:tcW w:type="dxa" w:w="1100"/>
            <w:tcBorders>
              <w:top w:val="single" w:color="D1D5DB" w:sz="1"/>
              <w:left w:val="single" w:color="D1D5DB" w:sz="1"/>
              <w:bottom w:val="single" w:color="D1D5DB" w:sz="1"/>
              <w:right w:val="single" w:color="D1D5DB" w:sz="1"/>
            </w:tcBorders>
            <w:shd w:fill="1E3A5F" w:val="clear"/>
            <w:tcMar>
              <w:top w:type="dxa" w:w="80"/>
              <w:left w:type="dxa" w:w="120"/>
              <w:bottom w:type="dxa" w:w="80"/>
              <w:right w:type="dxa" w:w="120"/>
            </w:tcMar>
            <w:vAlign w:val="center"/>
          </w:tcPr>
          <w:p>
            <w:pPr>
              <w:jc w:val="left"/>
            </w:pPr>
            <w:r>
              <w:rPr>
                <w:rFonts w:ascii="Arial" w:cs="Arial" w:eastAsia="Arial" w:hAnsi="Arial"/>
                <w:b/>
                <w:bCs/>
                <w:color w:val="FFFFFF"/>
                <w:sz w:val="20"/>
                <w:szCs w:val="20"/>
              </w:rPr>
              <w:t xml:space="preserve">Scenario</w:t>
            </w:r>
          </w:p>
        </w:tc>
        <w:tc>
          <w:tcPr>
            <w:tcW w:type="dxa" w:w="1000"/>
            <w:tcBorders>
              <w:top w:val="single" w:color="D1D5DB" w:sz="1"/>
              <w:left w:val="single" w:color="D1D5DB" w:sz="1"/>
              <w:bottom w:val="single" w:color="D1D5DB" w:sz="1"/>
              <w:right w:val="single" w:color="D1D5DB" w:sz="1"/>
            </w:tcBorders>
            <w:shd w:fill="1E3A5F" w:val="clear"/>
            <w:tcMar>
              <w:top w:type="dxa" w:w="80"/>
              <w:left w:type="dxa" w:w="120"/>
              <w:bottom w:type="dxa" w:w="80"/>
              <w:right w:type="dxa" w:w="120"/>
            </w:tcMar>
            <w:vAlign w:val="center"/>
          </w:tcPr>
          <w:p>
            <w:pPr>
              <w:jc w:val="left"/>
            </w:pPr>
            <w:r>
              <w:rPr>
                <w:rFonts w:ascii="Arial" w:cs="Arial" w:eastAsia="Arial" w:hAnsi="Arial"/>
                <w:b/>
                <w:bCs/>
                <w:color w:val="FFFFFF"/>
                <w:sz w:val="20"/>
                <w:szCs w:val="20"/>
              </w:rPr>
              <w:t xml:space="preserve">Probability</w:t>
            </w:r>
          </w:p>
        </w:tc>
        <w:tc>
          <w:tcPr>
            <w:tcW w:type="dxa" w:w="1700"/>
            <w:tcBorders>
              <w:top w:val="single" w:color="D1D5DB" w:sz="1"/>
              <w:left w:val="single" w:color="D1D5DB" w:sz="1"/>
              <w:bottom w:val="single" w:color="D1D5DB" w:sz="1"/>
              <w:right w:val="single" w:color="D1D5DB" w:sz="1"/>
            </w:tcBorders>
            <w:shd w:fill="1E3A5F" w:val="clear"/>
            <w:tcMar>
              <w:top w:type="dxa" w:w="80"/>
              <w:left w:type="dxa" w:w="120"/>
              <w:bottom w:type="dxa" w:w="80"/>
              <w:right w:type="dxa" w:w="120"/>
            </w:tcMar>
            <w:vAlign w:val="center"/>
          </w:tcPr>
          <w:p>
            <w:pPr>
              <w:jc w:val="left"/>
            </w:pPr>
            <w:r>
              <w:rPr>
                <w:rFonts w:ascii="Arial" w:cs="Arial" w:eastAsia="Arial" w:hAnsi="Arial"/>
                <w:b/>
                <w:bCs/>
                <w:color w:val="FFFFFF"/>
                <w:sz w:val="20"/>
                <w:szCs w:val="20"/>
              </w:rPr>
              <w:t xml:space="preserve">5-Yr Portfolio Value</w:t>
            </w:r>
          </w:p>
        </w:tc>
        <w:tc>
          <w:tcPr>
            <w:tcW w:type="dxa" w:w="1360"/>
            <w:tcBorders>
              <w:top w:val="single" w:color="D1D5DB" w:sz="1"/>
              <w:left w:val="single" w:color="D1D5DB" w:sz="1"/>
              <w:bottom w:val="single" w:color="D1D5DB" w:sz="1"/>
              <w:right w:val="single" w:color="D1D5DB" w:sz="1"/>
            </w:tcBorders>
            <w:shd w:fill="1E3A5F" w:val="clear"/>
            <w:tcMar>
              <w:top w:type="dxa" w:w="80"/>
              <w:left w:type="dxa" w:w="120"/>
              <w:bottom w:type="dxa" w:w="80"/>
              <w:right w:type="dxa" w:w="120"/>
            </w:tcMar>
            <w:vAlign w:val="center"/>
          </w:tcPr>
          <w:p>
            <w:pPr>
              <w:jc w:val="left"/>
            </w:pPr>
            <w:r>
              <w:rPr>
                <w:rFonts w:ascii="Arial" w:cs="Arial" w:eastAsia="Arial" w:hAnsi="Arial"/>
                <w:b/>
                <w:bCs/>
                <w:color w:val="FFFFFF"/>
                <w:sz w:val="20"/>
                <w:szCs w:val="20"/>
              </w:rPr>
              <w:t xml:space="preserve">Total Return</w:t>
            </w:r>
          </w:p>
        </w:tc>
        <w:tc>
          <w:tcPr>
            <w:tcW w:type="dxa" w:w="2500"/>
            <w:tcBorders>
              <w:top w:val="single" w:color="D1D5DB" w:sz="1"/>
              <w:left w:val="single" w:color="D1D5DB" w:sz="1"/>
              <w:bottom w:val="single" w:color="D1D5DB" w:sz="1"/>
              <w:right w:val="single" w:color="D1D5DB" w:sz="1"/>
            </w:tcBorders>
            <w:shd w:fill="1E3A5F" w:val="clear"/>
            <w:tcMar>
              <w:top w:type="dxa" w:w="80"/>
              <w:left w:type="dxa" w:w="120"/>
              <w:bottom w:type="dxa" w:w="80"/>
              <w:right w:type="dxa" w:w="120"/>
            </w:tcMar>
            <w:vAlign w:val="center"/>
          </w:tcPr>
          <w:p>
            <w:pPr>
              <w:jc w:val="left"/>
            </w:pPr>
            <w:r>
              <w:rPr>
                <w:rFonts w:ascii="Arial" w:cs="Arial" w:eastAsia="Arial" w:hAnsi="Arial"/>
                <w:b/>
                <w:bCs/>
                <w:color w:val="FFFFFF"/>
                <w:sz w:val="20"/>
                <w:szCs w:val="20"/>
              </w:rPr>
              <w:t xml:space="preserve">Key Driver</w:t>
            </w:r>
          </w:p>
        </w:tc>
        <w:tc>
          <w:tcPr>
            <w:tcW w:type="dxa" w:w="1700"/>
            <w:tcBorders>
              <w:top w:val="single" w:color="D1D5DB" w:sz="1"/>
              <w:left w:val="single" w:color="D1D5DB" w:sz="1"/>
              <w:bottom w:val="single" w:color="D1D5DB" w:sz="1"/>
              <w:right w:val="single" w:color="D1D5DB" w:sz="1"/>
            </w:tcBorders>
            <w:shd w:fill="1E3A5F" w:val="clear"/>
            <w:tcMar>
              <w:top w:type="dxa" w:w="80"/>
              <w:left w:type="dxa" w:w="120"/>
              <w:bottom w:type="dxa" w:w="80"/>
              <w:right w:type="dxa" w:w="120"/>
            </w:tcMar>
            <w:vAlign w:val="center"/>
          </w:tcPr>
          <w:p>
            <w:pPr>
              <w:jc w:val="left"/>
            </w:pPr>
            <w:r>
              <w:rPr>
                <w:rFonts w:ascii="Arial" w:cs="Arial" w:eastAsia="Arial" w:hAnsi="Arial"/>
                <w:b/>
                <w:bCs/>
                <w:color w:val="FFFFFF"/>
                <w:sz w:val="20"/>
                <w:szCs w:val="20"/>
              </w:rPr>
              <w:t xml:space="preserve">After Tax (NRI)</w:t>
            </w:r>
          </w:p>
        </w:tc>
      </w:tr>
      <w:tr>
        <w:tc>
          <w:tcPr>
            <w:tcW w:type="dxa" w:w="1100"/>
            <w:tcBorders>
              <w:top w:val="single" w:color="D1D5DB" w:sz="1"/>
              <w:left w:val="single" w:color="D1D5DB" w:sz="1"/>
              <w:bottom w:val="single" w:color="D1D5DB" w:sz="1"/>
              <w:right w:val="single" w:color="D1D5DB" w:sz="1"/>
            </w:tcBorders>
            <w:shd w:fill="FFF1F2" w:val="clear"/>
            <w:tcMar>
              <w:top w:type="dxa" w:w="80"/>
              <w:left w:type="dxa" w:w="120"/>
              <w:bottom w:type="dxa" w:w="80"/>
              <w:right w:type="dxa" w:w="120"/>
            </w:tcMar>
            <w:vAlign w:val="center"/>
          </w:tcPr>
          <w:p>
            <w:pPr>
              <w:jc w:val="left"/>
            </w:pPr>
            <w:r>
              <w:rPr>
                <w:rFonts w:ascii="Arial" w:cs="Arial" w:eastAsia="Arial" w:hAnsi="Arial"/>
                <w:b/>
                <w:bCs/>
                <w:color w:val="B91C1C"/>
                <w:sz w:val="19"/>
                <w:szCs w:val="19"/>
              </w:rPr>
              <w:t xml:space="preserve">BEAR</w:t>
            </w:r>
          </w:p>
        </w:tc>
        <w:tc>
          <w:tcPr>
            <w:tcW w:type="dxa" w:w="1000"/>
            <w:tcBorders>
              <w:top w:val="single" w:color="D1D5DB" w:sz="1"/>
              <w:left w:val="single" w:color="D1D5DB" w:sz="1"/>
              <w:bottom w:val="single" w:color="D1D5DB" w:sz="1"/>
              <w:right w:val="single" w:color="D1D5DB" w:sz="1"/>
            </w:tcBorders>
            <w:shd w:fill="FFFFFF" w:val="clear"/>
            <w:tcMar>
              <w:top w:type="dxa" w:w="80"/>
              <w:left w:type="dxa" w:w="120"/>
              <w:bottom w:type="dxa" w:w="80"/>
              <w:right w:type="dxa" w:w="120"/>
            </w:tcMar>
            <w:vAlign w:val="center"/>
          </w:tcPr>
          <w:p>
            <w:pPr>
              <w:jc w:val="left"/>
            </w:pPr>
            <w:r>
              <w:rPr>
                <w:rFonts w:ascii="Arial" w:cs="Arial" w:eastAsia="Arial" w:hAnsi="Arial"/>
                <w:b w:val="false"/>
                <w:bCs w:val="false"/>
                <w:color w:val="374151"/>
                <w:sz w:val="19"/>
                <w:szCs w:val="19"/>
              </w:rPr>
              <w:t xml:space="preserve">25–35%</w:t>
            </w:r>
          </w:p>
        </w:tc>
        <w:tc>
          <w:tcPr>
            <w:tcW w:type="dxa" w:w="1700"/>
            <w:tcBorders>
              <w:top w:val="single" w:color="D1D5DB" w:sz="1"/>
              <w:left w:val="single" w:color="D1D5DB" w:sz="1"/>
              <w:bottom w:val="single" w:color="D1D5DB" w:sz="1"/>
              <w:right w:val="single" w:color="D1D5DB" w:sz="1"/>
            </w:tcBorders>
            <w:shd w:fill="FFFFFF" w:val="clear"/>
            <w:tcMar>
              <w:top w:type="dxa" w:w="80"/>
              <w:left w:type="dxa" w:w="120"/>
              <w:bottom w:type="dxa" w:w="80"/>
              <w:right w:type="dxa" w:w="120"/>
            </w:tcMar>
            <w:vAlign w:val="center"/>
          </w:tcPr>
          <w:p>
            <w:pPr>
              <w:jc w:val="left"/>
            </w:pPr>
            <w:r>
              <w:rPr>
                <w:rFonts w:ascii="Arial" w:cs="Arial" w:eastAsia="Arial" w:hAnsi="Arial"/>
                <w:b/>
                <w:bCs/>
                <w:color w:val="B91C1C"/>
                <w:sz w:val="19"/>
                <w:szCs w:val="19"/>
              </w:rPr>
              <w:t xml:space="preserve">$7,200–8,500</w:t>
            </w:r>
          </w:p>
        </w:tc>
        <w:tc>
          <w:tcPr>
            <w:tcW w:type="dxa" w:w="1360"/>
            <w:tcBorders>
              <w:top w:val="single" w:color="D1D5DB" w:sz="1"/>
              <w:left w:val="single" w:color="D1D5DB" w:sz="1"/>
              <w:bottom w:val="single" w:color="D1D5DB" w:sz="1"/>
              <w:right w:val="single" w:color="D1D5DB" w:sz="1"/>
            </w:tcBorders>
            <w:shd w:fill="FFFFFF" w:val="clear"/>
            <w:tcMar>
              <w:top w:type="dxa" w:w="80"/>
              <w:left w:type="dxa" w:w="120"/>
              <w:bottom w:type="dxa" w:w="80"/>
              <w:right w:type="dxa" w:w="120"/>
            </w:tcMar>
            <w:vAlign w:val="center"/>
          </w:tcPr>
          <w:p>
            <w:pPr>
              <w:jc w:val="left"/>
            </w:pPr>
            <w:r>
              <w:rPr>
                <w:rFonts w:ascii="Arial" w:cs="Arial" w:eastAsia="Arial" w:hAnsi="Arial"/>
                <w:b w:val="false"/>
                <w:bCs w:val="false"/>
                <w:color w:val="374151"/>
                <w:sz w:val="19"/>
                <w:szCs w:val="19"/>
              </w:rPr>
              <w:t xml:space="preserve">-15% to -28%</w:t>
            </w:r>
          </w:p>
        </w:tc>
        <w:tc>
          <w:tcPr>
            <w:tcW w:type="dxa" w:w="2500"/>
            <w:tcBorders>
              <w:top w:val="single" w:color="D1D5DB" w:sz="1"/>
              <w:left w:val="single" w:color="D1D5DB" w:sz="1"/>
              <w:bottom w:val="single" w:color="D1D5DB" w:sz="1"/>
              <w:right w:val="single" w:color="D1D5DB" w:sz="1"/>
            </w:tcBorders>
            <w:shd w:fill="FFFFFF" w:val="clear"/>
            <w:tcMar>
              <w:top w:type="dxa" w:w="80"/>
              <w:left w:type="dxa" w:w="120"/>
              <w:bottom w:type="dxa" w:w="80"/>
              <w:right w:type="dxa" w:w="120"/>
            </w:tcMar>
            <w:vAlign w:val="center"/>
          </w:tcPr>
          <w:p>
            <w:pPr>
              <w:jc w:val="left"/>
            </w:pPr>
            <w:r>
              <w:rPr>
                <w:rFonts w:ascii="Arial" w:cs="Arial" w:eastAsia="Arial" w:hAnsi="Arial"/>
                <w:b w:val="false"/>
                <w:bCs w:val="false"/>
                <w:color w:val="374151"/>
                <w:sz w:val="19"/>
                <w:szCs w:val="19"/>
              </w:rPr>
              <w:t xml:space="preserve">US recession + India selloff</w:t>
            </w:r>
          </w:p>
        </w:tc>
        <w:tc>
          <w:tcPr>
            <w:tcW w:type="dxa" w:w="1700"/>
            <w:tcBorders>
              <w:top w:val="single" w:color="D1D5DB" w:sz="1"/>
              <w:left w:val="single" w:color="D1D5DB" w:sz="1"/>
              <w:bottom w:val="single" w:color="D1D5DB" w:sz="1"/>
              <w:right w:val="single" w:color="D1D5DB" w:sz="1"/>
            </w:tcBorders>
            <w:shd w:fill="FFFFFF" w:val="clear"/>
            <w:tcMar>
              <w:top w:type="dxa" w:w="80"/>
              <w:left w:type="dxa" w:w="120"/>
              <w:bottom w:type="dxa" w:w="80"/>
              <w:right w:type="dxa" w:w="120"/>
            </w:tcMar>
            <w:vAlign w:val="center"/>
          </w:tcPr>
          <w:p>
            <w:pPr>
              <w:jc w:val="left"/>
            </w:pPr>
            <w:r>
              <w:rPr>
                <w:rFonts w:ascii="Arial" w:cs="Arial" w:eastAsia="Arial" w:hAnsi="Arial"/>
                <w:b w:val="false"/>
                <w:bCs w:val="false"/>
                <w:color w:val="374151"/>
                <w:sz w:val="19"/>
                <w:szCs w:val="19"/>
              </w:rPr>
              <w:t xml:space="preserve">$6,500–7,600</w:t>
            </w:r>
          </w:p>
        </w:tc>
      </w:tr>
      <w:tr>
        <w:tc>
          <w:tcPr>
            <w:tcW w:type="dxa" w:w="1100"/>
            <w:tcBorders>
              <w:top w:val="single" w:color="D1D5DB" w:sz="1"/>
              <w:left w:val="single" w:color="D1D5DB" w:sz="1"/>
              <w:bottom w:val="single" w:color="D1D5DB" w:sz="1"/>
              <w:right w:val="single" w:color="D1D5DB" w:sz="1"/>
            </w:tcBorders>
            <w:shd w:fill="FFFBEB" w:val="clear"/>
            <w:tcMar>
              <w:top w:type="dxa" w:w="80"/>
              <w:left w:type="dxa" w:w="120"/>
              <w:bottom w:type="dxa" w:w="80"/>
              <w:right w:type="dxa" w:w="120"/>
            </w:tcMar>
            <w:vAlign w:val="center"/>
          </w:tcPr>
          <w:p>
            <w:pPr>
              <w:jc w:val="left"/>
            </w:pPr>
            <w:r>
              <w:rPr>
                <w:rFonts w:ascii="Arial" w:cs="Arial" w:eastAsia="Arial" w:hAnsi="Arial"/>
                <w:b/>
                <w:bCs/>
                <w:color w:val="92400E"/>
                <w:sz w:val="19"/>
                <w:szCs w:val="19"/>
              </w:rPr>
              <w:t xml:space="preserve">BASE</w:t>
            </w:r>
          </w:p>
        </w:tc>
        <w:tc>
          <w:tcPr>
            <w:tcW w:type="dxa" w:w="1000"/>
            <w:tcBorders>
              <w:top w:val="single" w:color="D1D5DB" w:sz="1"/>
              <w:left w:val="single" w:color="D1D5DB" w:sz="1"/>
              <w:bottom w:val="single" w:color="D1D5DB" w:sz="1"/>
              <w:right w:val="single" w:color="D1D5DB" w:sz="1"/>
            </w:tcBorders>
            <w:shd w:fill="FFFFFF" w:val="clear"/>
            <w:tcMar>
              <w:top w:type="dxa" w:w="80"/>
              <w:left w:type="dxa" w:w="120"/>
              <w:bottom w:type="dxa" w:w="80"/>
              <w:right w:type="dxa" w:w="120"/>
            </w:tcMar>
            <w:vAlign w:val="center"/>
          </w:tcPr>
          <w:p>
            <w:pPr>
              <w:jc w:val="left"/>
            </w:pPr>
            <w:r>
              <w:rPr>
                <w:rFonts w:ascii="Arial" w:cs="Arial" w:eastAsia="Arial" w:hAnsi="Arial"/>
                <w:b w:val="false"/>
                <w:bCs w:val="false"/>
                <w:color w:val="374151"/>
                <w:sz w:val="19"/>
                <w:szCs w:val="19"/>
              </w:rPr>
              <w:t xml:space="preserve">45–55%</w:t>
            </w:r>
          </w:p>
        </w:tc>
        <w:tc>
          <w:tcPr>
            <w:tcW w:type="dxa" w:w="1700"/>
            <w:tcBorders>
              <w:top w:val="single" w:color="D1D5DB" w:sz="1"/>
              <w:left w:val="single" w:color="D1D5DB" w:sz="1"/>
              <w:bottom w:val="single" w:color="D1D5DB" w:sz="1"/>
              <w:right w:val="single" w:color="D1D5DB" w:sz="1"/>
            </w:tcBorders>
            <w:shd w:fill="FFFFFF" w:val="clear"/>
            <w:tcMar>
              <w:top w:type="dxa" w:w="80"/>
              <w:left w:type="dxa" w:w="120"/>
              <w:bottom w:type="dxa" w:w="80"/>
              <w:right w:type="dxa" w:w="120"/>
            </w:tcMar>
            <w:vAlign w:val="center"/>
          </w:tcPr>
          <w:p>
            <w:pPr>
              <w:jc w:val="left"/>
            </w:pPr>
            <w:r>
              <w:rPr>
                <w:rFonts w:ascii="Arial" w:cs="Arial" w:eastAsia="Arial" w:hAnsi="Arial"/>
                <w:b/>
                <w:bCs/>
                <w:color w:val="92400E"/>
                <w:sz w:val="19"/>
                <w:szCs w:val="19"/>
              </w:rPr>
              <w:t xml:space="preserve">$22,000–27,000</w:t>
            </w:r>
          </w:p>
        </w:tc>
        <w:tc>
          <w:tcPr>
            <w:tcW w:type="dxa" w:w="1360"/>
            <w:tcBorders>
              <w:top w:val="single" w:color="D1D5DB" w:sz="1"/>
              <w:left w:val="single" w:color="D1D5DB" w:sz="1"/>
              <w:bottom w:val="single" w:color="D1D5DB" w:sz="1"/>
              <w:right w:val="single" w:color="D1D5DB" w:sz="1"/>
            </w:tcBorders>
            <w:shd w:fill="FFFFFF" w:val="clear"/>
            <w:tcMar>
              <w:top w:type="dxa" w:w="80"/>
              <w:left w:type="dxa" w:w="120"/>
              <w:bottom w:type="dxa" w:w="80"/>
              <w:right w:type="dxa" w:w="120"/>
            </w:tcMar>
            <w:vAlign w:val="center"/>
          </w:tcPr>
          <w:p>
            <w:pPr>
              <w:jc w:val="left"/>
            </w:pPr>
            <w:r>
              <w:rPr>
                <w:rFonts w:ascii="Arial" w:cs="Arial" w:eastAsia="Arial" w:hAnsi="Arial"/>
                <w:b w:val="false"/>
                <w:bCs w:val="false"/>
                <w:color w:val="374151"/>
                <w:sz w:val="19"/>
                <w:szCs w:val="19"/>
              </w:rPr>
              <w:t xml:space="preserve">+120% to +170%</w:t>
            </w:r>
          </w:p>
        </w:tc>
        <w:tc>
          <w:tcPr>
            <w:tcW w:type="dxa" w:w="2500"/>
            <w:tcBorders>
              <w:top w:val="single" w:color="D1D5DB" w:sz="1"/>
              <w:left w:val="single" w:color="D1D5DB" w:sz="1"/>
              <w:bottom w:val="single" w:color="D1D5DB" w:sz="1"/>
              <w:right w:val="single" w:color="D1D5DB" w:sz="1"/>
            </w:tcBorders>
            <w:shd w:fill="FFFFFF" w:val="clear"/>
            <w:tcMar>
              <w:top w:type="dxa" w:w="80"/>
              <w:left w:type="dxa" w:w="120"/>
              <w:bottom w:type="dxa" w:w="80"/>
              <w:right w:type="dxa" w:w="120"/>
            </w:tcMar>
            <w:vAlign w:val="center"/>
          </w:tcPr>
          <w:p>
            <w:pPr>
              <w:jc w:val="left"/>
            </w:pPr>
            <w:r>
              <w:rPr>
                <w:rFonts w:ascii="Arial" w:cs="Arial" w:eastAsia="Arial" w:hAnsi="Arial"/>
                <w:b w:val="false"/>
                <w:bCs w:val="false"/>
                <w:color w:val="374151"/>
                <w:sz w:val="19"/>
                <w:szCs w:val="19"/>
              </w:rPr>
              <w:t xml:space="preserve">Soft landing + India growth</w:t>
            </w:r>
          </w:p>
        </w:tc>
        <w:tc>
          <w:tcPr>
            <w:tcW w:type="dxa" w:w="1700"/>
            <w:tcBorders>
              <w:top w:val="single" w:color="D1D5DB" w:sz="1"/>
              <w:left w:val="single" w:color="D1D5DB" w:sz="1"/>
              <w:bottom w:val="single" w:color="D1D5DB" w:sz="1"/>
              <w:right w:val="single" w:color="D1D5DB" w:sz="1"/>
            </w:tcBorders>
            <w:shd w:fill="FFFFFF" w:val="clear"/>
            <w:tcMar>
              <w:top w:type="dxa" w:w="80"/>
              <w:left w:type="dxa" w:w="120"/>
              <w:bottom w:type="dxa" w:w="80"/>
              <w:right w:type="dxa" w:w="120"/>
            </w:tcMar>
            <w:vAlign w:val="center"/>
          </w:tcPr>
          <w:p>
            <w:pPr>
              <w:jc w:val="left"/>
            </w:pPr>
            <w:r>
              <w:rPr>
                <w:rFonts w:ascii="Arial" w:cs="Arial" w:eastAsia="Arial" w:hAnsi="Arial"/>
                <w:b w:val="false"/>
                <w:bCs w:val="false"/>
                <w:color w:val="374151"/>
                <w:sz w:val="19"/>
                <w:szCs w:val="19"/>
              </w:rPr>
              <w:t xml:space="preserve">$19,500–24,000</w:t>
            </w:r>
          </w:p>
        </w:tc>
      </w:tr>
      <w:tr>
        <w:tc>
          <w:tcPr>
            <w:tcW w:type="dxa" w:w="1100"/>
            <w:tcBorders>
              <w:top w:val="single" w:color="D1D5DB" w:sz="1"/>
              <w:left w:val="single" w:color="D1D5DB" w:sz="1"/>
              <w:bottom w:val="single" w:color="D1D5DB" w:sz="1"/>
              <w:right w:val="single" w:color="D1D5DB" w:sz="1"/>
            </w:tcBorders>
            <w:shd w:fill="F0FDF4" w:val="clear"/>
            <w:tcMar>
              <w:top w:type="dxa" w:w="80"/>
              <w:left w:type="dxa" w:w="120"/>
              <w:bottom w:type="dxa" w:w="80"/>
              <w:right w:type="dxa" w:w="120"/>
            </w:tcMar>
            <w:vAlign w:val="center"/>
          </w:tcPr>
          <w:p>
            <w:pPr>
              <w:jc w:val="left"/>
            </w:pPr>
            <w:r>
              <w:rPr>
                <w:rFonts w:ascii="Arial" w:cs="Arial" w:eastAsia="Arial" w:hAnsi="Arial"/>
                <w:b/>
                <w:bCs/>
                <w:color w:val="0D6E4A"/>
                <w:sz w:val="19"/>
                <w:szCs w:val="19"/>
              </w:rPr>
              <w:t xml:space="preserve">BULL</w:t>
            </w:r>
          </w:p>
        </w:tc>
        <w:tc>
          <w:tcPr>
            <w:tcW w:type="dxa" w:w="1000"/>
            <w:tcBorders>
              <w:top w:val="single" w:color="D1D5DB" w:sz="1"/>
              <w:left w:val="single" w:color="D1D5DB" w:sz="1"/>
              <w:bottom w:val="single" w:color="D1D5DB" w:sz="1"/>
              <w:right w:val="single" w:color="D1D5DB" w:sz="1"/>
            </w:tcBorders>
            <w:shd w:fill="FFFFFF" w:val="clear"/>
            <w:tcMar>
              <w:top w:type="dxa" w:w="80"/>
              <w:left w:type="dxa" w:w="120"/>
              <w:bottom w:type="dxa" w:w="80"/>
              <w:right w:type="dxa" w:w="120"/>
            </w:tcMar>
            <w:vAlign w:val="center"/>
          </w:tcPr>
          <w:p>
            <w:pPr>
              <w:jc w:val="left"/>
            </w:pPr>
            <w:r>
              <w:rPr>
                <w:rFonts w:ascii="Arial" w:cs="Arial" w:eastAsia="Arial" w:hAnsi="Arial"/>
                <w:b w:val="false"/>
                <w:bCs w:val="false"/>
                <w:color w:val="374151"/>
                <w:sz w:val="19"/>
                <w:szCs w:val="19"/>
              </w:rPr>
              <w:t xml:space="preserve">20–25%</w:t>
            </w:r>
          </w:p>
        </w:tc>
        <w:tc>
          <w:tcPr>
            <w:tcW w:type="dxa" w:w="1700"/>
            <w:tcBorders>
              <w:top w:val="single" w:color="D1D5DB" w:sz="1"/>
              <w:left w:val="single" w:color="D1D5DB" w:sz="1"/>
              <w:bottom w:val="single" w:color="D1D5DB" w:sz="1"/>
              <w:right w:val="single" w:color="D1D5DB" w:sz="1"/>
            </w:tcBorders>
            <w:shd w:fill="FFFFFF" w:val="clear"/>
            <w:tcMar>
              <w:top w:type="dxa" w:w="80"/>
              <w:left w:type="dxa" w:w="120"/>
              <w:bottom w:type="dxa" w:w="80"/>
              <w:right w:type="dxa" w:w="120"/>
            </w:tcMar>
            <w:vAlign w:val="center"/>
          </w:tcPr>
          <w:p>
            <w:pPr>
              <w:jc w:val="left"/>
            </w:pPr>
            <w:r>
              <w:rPr>
                <w:rFonts w:ascii="Arial" w:cs="Arial" w:eastAsia="Arial" w:hAnsi="Arial"/>
                <w:b/>
                <w:bCs/>
                <w:color w:val="0D6E4A"/>
                <w:sz w:val="19"/>
                <w:szCs w:val="19"/>
              </w:rPr>
              <w:t xml:space="preserve">$42,000–65,000</w:t>
            </w:r>
          </w:p>
        </w:tc>
        <w:tc>
          <w:tcPr>
            <w:tcW w:type="dxa" w:w="1360"/>
            <w:tcBorders>
              <w:top w:val="single" w:color="D1D5DB" w:sz="1"/>
              <w:left w:val="single" w:color="D1D5DB" w:sz="1"/>
              <w:bottom w:val="single" w:color="D1D5DB" w:sz="1"/>
              <w:right w:val="single" w:color="D1D5DB" w:sz="1"/>
            </w:tcBorders>
            <w:shd w:fill="FFFFFF" w:val="clear"/>
            <w:tcMar>
              <w:top w:type="dxa" w:w="80"/>
              <w:left w:type="dxa" w:w="120"/>
              <w:bottom w:type="dxa" w:w="80"/>
              <w:right w:type="dxa" w:w="120"/>
            </w:tcMar>
            <w:vAlign w:val="center"/>
          </w:tcPr>
          <w:p>
            <w:pPr>
              <w:jc w:val="left"/>
            </w:pPr>
            <w:r>
              <w:rPr>
                <w:rFonts w:ascii="Arial" w:cs="Arial" w:eastAsia="Arial" w:hAnsi="Arial"/>
                <w:b w:val="false"/>
                <w:bCs w:val="false"/>
                <w:color w:val="374151"/>
                <w:sz w:val="19"/>
                <w:szCs w:val="19"/>
              </w:rPr>
              <w:t xml:space="preserve">+320% to +550%</w:t>
            </w:r>
          </w:p>
        </w:tc>
        <w:tc>
          <w:tcPr>
            <w:tcW w:type="dxa" w:w="2500"/>
            <w:tcBorders>
              <w:top w:val="single" w:color="D1D5DB" w:sz="1"/>
              <w:left w:val="single" w:color="D1D5DB" w:sz="1"/>
              <w:bottom w:val="single" w:color="D1D5DB" w:sz="1"/>
              <w:right w:val="single" w:color="D1D5DB" w:sz="1"/>
            </w:tcBorders>
            <w:shd w:fill="FFFFFF" w:val="clear"/>
            <w:tcMar>
              <w:top w:type="dxa" w:w="80"/>
              <w:left w:type="dxa" w:w="120"/>
              <w:bottom w:type="dxa" w:w="80"/>
              <w:right w:type="dxa" w:w="120"/>
            </w:tcMar>
            <w:vAlign w:val="center"/>
          </w:tcPr>
          <w:p>
            <w:pPr>
              <w:jc w:val="left"/>
            </w:pPr>
            <w:r>
              <w:rPr>
                <w:rFonts w:ascii="Arial" w:cs="Arial" w:eastAsia="Arial" w:hAnsi="Arial"/>
                <w:b w:val="false"/>
                <w:bCs w:val="false"/>
                <w:color w:val="374151"/>
                <w:sz w:val="19"/>
                <w:szCs w:val="19"/>
              </w:rPr>
              <w:t xml:space="preserve">AI boom + India re-rating + gold</w:t>
            </w:r>
          </w:p>
        </w:tc>
        <w:tc>
          <w:tcPr>
            <w:tcW w:type="dxa" w:w="1700"/>
            <w:tcBorders>
              <w:top w:val="single" w:color="D1D5DB" w:sz="1"/>
              <w:left w:val="single" w:color="D1D5DB" w:sz="1"/>
              <w:bottom w:val="single" w:color="D1D5DB" w:sz="1"/>
              <w:right w:val="single" w:color="D1D5DB" w:sz="1"/>
            </w:tcBorders>
            <w:shd w:fill="FFFFFF" w:val="clear"/>
            <w:tcMar>
              <w:top w:type="dxa" w:w="80"/>
              <w:left w:type="dxa" w:w="120"/>
              <w:bottom w:type="dxa" w:w="80"/>
              <w:right w:type="dxa" w:w="120"/>
            </w:tcMar>
            <w:vAlign w:val="center"/>
          </w:tcPr>
          <w:p>
            <w:pPr>
              <w:jc w:val="left"/>
            </w:pPr>
            <w:r>
              <w:rPr>
                <w:rFonts w:ascii="Arial" w:cs="Arial" w:eastAsia="Arial" w:hAnsi="Arial"/>
                <w:b w:val="false"/>
                <w:bCs w:val="false"/>
                <w:color w:val="374151"/>
                <w:sz w:val="19"/>
                <w:szCs w:val="19"/>
              </w:rPr>
              <w:t xml:space="preserve">$38,000–58,000</w:t>
            </w:r>
          </w:p>
        </w:tc>
      </w:tr>
    </w:tbl>
    <w:p>
      <w:r>
        <w:t xml:space="preserve"/>
      </w:r>
    </w:p>
    <w:p>
      <w:r>
        <w:br w:type="page"/>
      </w:r>
    </w:p>
    <w:p>
      <w:pPr>
        <w:pStyle w:val="Heading1"/>
        <w:spacing w:after="160" w:before="320"/>
      </w:pPr>
      <w:r>
        <w:rPr>
          <w:rFonts w:ascii="Arial" w:cs="Arial" w:eastAsia="Arial" w:hAnsi="Arial"/>
          <w:b/>
          <w:bCs/>
          <w:color w:val="0A0F1E"/>
          <w:sz w:val="40"/>
          <w:szCs w:val="40"/>
        </w:rPr>
        <w:t xml:space="preserve">4. NRI Tax Guide — Every Wealth Leak Mapped</w:t>
      </w:r>
    </w:p>
    <w:p>
      <w:pPr>
        <w:spacing w:after="80" w:before="80"/>
        <w:jc w:val="left"/>
      </w:pPr>
      <w:r>
        <w:rPr>
          <w:rFonts w:ascii="Arial" w:cs="Arial" w:eastAsia="Arial" w:hAnsi="Arial"/>
          <w:b w:val="false"/>
          <w:bCs w:val="false"/>
          <w:i w:val="false"/>
          <w:iCs w:val="false"/>
          <w:color w:val="374151"/>
          <w:sz w:val="22"/>
          <w:szCs w:val="22"/>
        </w:rPr>
        <w:t xml:space="preserve">As an Indian expat in Malaysia, you sit at the intersection of three tax regimes. Understanding each is the difference between 2x and 2.4x — effectively 3 extra years of compounding for free.</w:t>
      </w:r>
    </w:p>
    <w:p>
      <w:r>
        <w:t xml:space="preserve"/>
      </w:r>
    </w:p>
    <w:p>
      <w:pPr>
        <w:pStyle w:val="Heading2"/>
        <w:pBdr>
          <w:bottom w:val="single" w:color="1D4ED8" w:sz="4" w:space="4"/>
        </w:pBdr>
        <w:spacing w:after="120" w:before="240"/>
      </w:pPr>
      <w:r>
        <w:rPr>
          <w:rFonts w:ascii="Arial" w:cs="Arial" w:eastAsia="Arial" w:hAnsi="Arial"/>
          <w:b/>
          <w:bCs/>
          <w:color w:val="1D4ED8"/>
          <w:sz w:val="30"/>
          <w:szCs w:val="30"/>
        </w:rPr>
        <w:t xml:space="preserve">4.1 India — NRI Tax Rules 2026</w:t>
      </w:r>
    </w:p>
    <w:tbl>
      <w:tblPr>
        <w:tblW w:type="dxa" w:w="9360"/>
        <w:tblBorders>
          <w:top w:val="single" w:color="auto" w:sz="4"/>
          <w:left w:val="single" w:color="auto" w:sz="4"/>
          <w:bottom w:val="single" w:color="auto" w:sz="4"/>
          <w:right w:val="single" w:color="auto" w:sz="4"/>
          <w:insideH w:val="single" w:color="auto" w:sz="4"/>
          <w:insideV w:val="single" w:color="auto" w:sz="4"/>
        </w:tblBorders>
      </w:tblPr>
      <w:tblGrid>
        <w:gridCol w:w="2500"/>
        <w:gridCol w:w="1100"/>
        <w:gridCol w:w="2760"/>
        <w:gridCol w:w="2000"/>
      </w:tblGrid>
      <w:tr>
        <w:trPr>
          <w:tblHeader/>
        </w:trPr>
        <w:tc>
          <w:tcPr>
            <w:tcW w:type="dxa" w:w="2500"/>
            <w:tcBorders>
              <w:top w:val="single" w:color="D1D5DB" w:sz="1"/>
              <w:left w:val="single" w:color="D1D5DB" w:sz="1"/>
              <w:bottom w:val="single" w:color="D1D5DB" w:sz="1"/>
              <w:right w:val="single" w:color="D1D5DB" w:sz="1"/>
            </w:tcBorders>
            <w:shd w:fill="1E3A5F" w:val="clear"/>
            <w:tcMar>
              <w:top w:type="dxa" w:w="80"/>
              <w:left w:type="dxa" w:w="120"/>
              <w:bottom w:type="dxa" w:w="80"/>
              <w:right w:type="dxa" w:w="120"/>
            </w:tcMar>
            <w:vAlign w:val="center"/>
          </w:tcPr>
          <w:p>
            <w:pPr>
              <w:jc w:val="left"/>
            </w:pPr>
            <w:r>
              <w:rPr>
                <w:rFonts w:ascii="Arial" w:cs="Arial" w:eastAsia="Arial" w:hAnsi="Arial"/>
                <w:b/>
                <w:bCs/>
                <w:color w:val="FFFFFF"/>
                <w:sz w:val="20"/>
                <w:szCs w:val="20"/>
              </w:rPr>
              <w:t xml:space="preserve">Tax Event</w:t>
            </w:r>
          </w:p>
        </w:tc>
        <w:tc>
          <w:tcPr>
            <w:tcW w:type="dxa" w:w="1100"/>
            <w:tcBorders>
              <w:top w:val="single" w:color="D1D5DB" w:sz="1"/>
              <w:left w:val="single" w:color="D1D5DB" w:sz="1"/>
              <w:bottom w:val="single" w:color="D1D5DB" w:sz="1"/>
              <w:right w:val="single" w:color="D1D5DB" w:sz="1"/>
            </w:tcBorders>
            <w:shd w:fill="1E3A5F" w:val="clear"/>
            <w:tcMar>
              <w:top w:type="dxa" w:w="80"/>
              <w:left w:type="dxa" w:w="120"/>
              <w:bottom w:type="dxa" w:w="80"/>
              <w:right w:type="dxa" w:w="120"/>
            </w:tcMar>
            <w:vAlign w:val="center"/>
          </w:tcPr>
          <w:p>
            <w:pPr>
              <w:jc w:val="left"/>
            </w:pPr>
            <w:r>
              <w:rPr>
                <w:rFonts w:ascii="Arial" w:cs="Arial" w:eastAsia="Arial" w:hAnsi="Arial"/>
                <w:b/>
                <w:bCs/>
                <w:color w:val="FFFFFF"/>
                <w:sz w:val="20"/>
                <w:szCs w:val="20"/>
              </w:rPr>
              <w:t xml:space="preserve">Rate</w:t>
            </w:r>
          </w:p>
        </w:tc>
        <w:tc>
          <w:tcPr>
            <w:tcW w:type="dxa" w:w="2760"/>
            <w:tcBorders>
              <w:top w:val="single" w:color="D1D5DB" w:sz="1"/>
              <w:left w:val="single" w:color="D1D5DB" w:sz="1"/>
              <w:bottom w:val="single" w:color="D1D5DB" w:sz="1"/>
              <w:right w:val="single" w:color="D1D5DB" w:sz="1"/>
            </w:tcBorders>
            <w:shd w:fill="1E3A5F" w:val="clear"/>
            <w:tcMar>
              <w:top w:type="dxa" w:w="80"/>
              <w:left w:type="dxa" w:w="120"/>
              <w:bottom w:type="dxa" w:w="80"/>
              <w:right w:type="dxa" w:w="120"/>
            </w:tcMar>
            <w:vAlign w:val="center"/>
          </w:tcPr>
          <w:p>
            <w:pPr>
              <w:jc w:val="left"/>
            </w:pPr>
            <w:r>
              <w:rPr>
                <w:rFonts w:ascii="Arial" w:cs="Arial" w:eastAsia="Arial" w:hAnsi="Arial"/>
                <w:b/>
                <w:bCs/>
                <w:color w:val="FFFFFF"/>
                <w:sz w:val="20"/>
                <w:szCs w:val="20"/>
              </w:rPr>
              <w:t xml:space="preserve">Notes</w:t>
            </w:r>
          </w:p>
        </w:tc>
        <w:tc>
          <w:tcPr>
            <w:tcW w:type="dxa" w:w="2000"/>
            <w:tcBorders>
              <w:top w:val="single" w:color="D1D5DB" w:sz="1"/>
              <w:left w:val="single" w:color="D1D5DB" w:sz="1"/>
              <w:bottom w:val="single" w:color="D1D5DB" w:sz="1"/>
              <w:right w:val="single" w:color="D1D5DB" w:sz="1"/>
            </w:tcBorders>
            <w:shd w:fill="1E3A5F" w:val="clear"/>
            <w:tcMar>
              <w:top w:type="dxa" w:w="80"/>
              <w:left w:type="dxa" w:w="120"/>
              <w:bottom w:type="dxa" w:w="80"/>
              <w:right w:type="dxa" w:w="120"/>
            </w:tcMar>
            <w:vAlign w:val="center"/>
          </w:tcPr>
          <w:p>
            <w:pPr>
              <w:jc w:val="left"/>
            </w:pPr>
            <w:r>
              <w:rPr>
                <w:rFonts w:ascii="Arial" w:cs="Arial" w:eastAsia="Arial" w:hAnsi="Arial"/>
                <w:b/>
                <w:bCs/>
                <w:color w:val="FFFFFF"/>
                <w:sz w:val="20"/>
                <w:szCs w:val="20"/>
              </w:rPr>
              <w:t xml:space="preserve">NRI Action</w:t>
            </w:r>
          </w:p>
        </w:tc>
      </w:tr>
      <w:tr>
        <w:tc>
          <w:tcPr>
            <w:tcW w:type="dxa" w:w="2500"/>
            <w:tcBorders>
              <w:top w:val="single" w:color="D1D5DB" w:sz="1"/>
              <w:left w:val="single" w:color="D1D5DB" w:sz="1"/>
              <w:bottom w:val="single" w:color="D1D5DB" w:sz="1"/>
              <w:right w:val="single" w:color="D1D5DB" w:sz="1"/>
            </w:tcBorders>
            <w:shd w:fill="F8FAFC" w:val="clear"/>
            <w:tcMar>
              <w:top w:type="dxa" w:w="80"/>
              <w:left w:type="dxa" w:w="120"/>
              <w:bottom w:type="dxa" w:w="80"/>
              <w:right w:type="dxa" w:w="120"/>
            </w:tcMar>
            <w:vAlign w:val="center"/>
          </w:tcPr>
          <w:p>
            <w:pPr>
              <w:jc w:val="left"/>
            </w:pPr>
            <w:r>
              <w:rPr>
                <w:rFonts w:ascii="Arial" w:cs="Arial" w:eastAsia="Arial" w:hAnsi="Arial"/>
                <w:b/>
                <w:bCs/>
                <w:color w:val="374151"/>
                <w:sz w:val="19"/>
                <w:szCs w:val="19"/>
              </w:rPr>
              <w:t xml:space="preserve">LTCG on listed equity (held &gt;12m)</w:t>
            </w:r>
          </w:p>
        </w:tc>
        <w:tc>
          <w:tcPr>
            <w:tcW w:type="dxa" w:w="1100"/>
            <w:tcBorders>
              <w:top w:val="single" w:color="D1D5DB" w:sz="1"/>
              <w:left w:val="single" w:color="D1D5DB" w:sz="1"/>
              <w:bottom w:val="single" w:color="D1D5DB" w:sz="1"/>
              <w:right w:val="single" w:color="D1D5DB" w:sz="1"/>
            </w:tcBorders>
            <w:shd w:fill="F8FAFC" w:val="clear"/>
            <w:tcMar>
              <w:top w:type="dxa" w:w="80"/>
              <w:left w:type="dxa" w:w="120"/>
              <w:bottom w:type="dxa" w:w="80"/>
              <w:right w:type="dxa" w:w="120"/>
            </w:tcMar>
            <w:vAlign w:val="center"/>
          </w:tcPr>
          <w:p>
            <w:pPr>
              <w:jc w:val="left"/>
            </w:pPr>
            <w:r>
              <w:rPr>
                <w:rFonts w:ascii="Arial" w:cs="Arial" w:eastAsia="Arial" w:hAnsi="Arial"/>
                <w:b w:val="false"/>
                <w:bCs w:val="false"/>
                <w:color w:val="374151"/>
                <w:sz w:val="19"/>
                <w:szCs w:val="19"/>
              </w:rPr>
              <w:t xml:space="preserve">12.5%</w:t>
            </w:r>
          </w:p>
        </w:tc>
        <w:tc>
          <w:tcPr>
            <w:tcW w:type="dxa" w:w="2760"/>
            <w:tcBorders>
              <w:top w:val="single" w:color="D1D5DB" w:sz="1"/>
              <w:left w:val="single" w:color="D1D5DB" w:sz="1"/>
              <w:bottom w:val="single" w:color="D1D5DB" w:sz="1"/>
              <w:right w:val="single" w:color="D1D5DB" w:sz="1"/>
            </w:tcBorders>
            <w:shd w:fill="F8FAFC" w:val="clear"/>
            <w:tcMar>
              <w:top w:type="dxa" w:w="80"/>
              <w:left w:type="dxa" w:w="120"/>
              <w:bottom w:type="dxa" w:w="80"/>
              <w:right w:type="dxa" w:w="120"/>
            </w:tcMar>
            <w:vAlign w:val="center"/>
          </w:tcPr>
          <w:p>
            <w:pPr>
              <w:jc w:val="left"/>
            </w:pPr>
            <w:r>
              <w:rPr>
                <w:rFonts w:ascii="Arial" w:cs="Arial" w:eastAsia="Arial" w:hAnsi="Arial"/>
                <w:b w:val="false"/>
                <w:bCs w:val="false"/>
                <w:color w:val="374151"/>
                <w:sz w:val="19"/>
                <w:szCs w:val="19"/>
              </w:rPr>
              <w:t xml:space="preserve">Above Rs 1.25L threshold. No indexation.</w:t>
            </w:r>
          </w:p>
        </w:tc>
        <w:tc>
          <w:tcPr>
            <w:tcW w:type="dxa" w:w="2000"/>
            <w:tcBorders>
              <w:top w:val="single" w:color="D1D5DB" w:sz="1"/>
              <w:left w:val="single" w:color="D1D5DB" w:sz="1"/>
              <w:bottom w:val="single" w:color="D1D5DB" w:sz="1"/>
              <w:right w:val="single" w:color="D1D5DB" w:sz="1"/>
            </w:tcBorders>
            <w:shd w:fill="F8FAFC" w:val="clear"/>
            <w:tcMar>
              <w:top w:type="dxa" w:w="80"/>
              <w:left w:type="dxa" w:w="120"/>
              <w:bottom w:type="dxa" w:w="80"/>
              <w:right w:type="dxa" w:w="120"/>
            </w:tcMar>
            <w:vAlign w:val="center"/>
          </w:tcPr>
          <w:p>
            <w:pPr>
              <w:jc w:val="left"/>
            </w:pPr>
            <w:r>
              <w:rPr>
                <w:rFonts w:ascii="Arial" w:cs="Arial" w:eastAsia="Arial" w:hAnsi="Arial"/>
                <w:b w:val="false"/>
                <w:bCs w:val="false"/>
                <w:color w:val="374151"/>
                <w:sz w:val="19"/>
                <w:szCs w:val="19"/>
              </w:rPr>
              <w:t xml:space="preserve">Hold &gt;12m always. Use NRE Demat.</w:t>
            </w:r>
          </w:p>
        </w:tc>
      </w:tr>
      <w:tr>
        <w:tc>
          <w:tcPr>
            <w:tcW w:type="dxa" w:w="2500"/>
            <w:tcBorders>
              <w:top w:val="single" w:color="D1D5DB" w:sz="1"/>
              <w:left w:val="single" w:color="D1D5DB" w:sz="1"/>
              <w:bottom w:val="single" w:color="D1D5DB" w:sz="1"/>
              <w:right w:val="single" w:color="D1D5DB" w:sz="1"/>
            </w:tcBorders>
            <w:shd w:fill="FFFFFF" w:val="clear"/>
            <w:tcMar>
              <w:top w:type="dxa" w:w="80"/>
              <w:left w:type="dxa" w:w="120"/>
              <w:bottom w:type="dxa" w:w="80"/>
              <w:right w:type="dxa" w:w="120"/>
            </w:tcMar>
            <w:vAlign w:val="center"/>
          </w:tcPr>
          <w:p>
            <w:pPr>
              <w:jc w:val="left"/>
            </w:pPr>
            <w:r>
              <w:rPr>
                <w:rFonts w:ascii="Arial" w:cs="Arial" w:eastAsia="Arial" w:hAnsi="Arial"/>
                <w:b/>
                <w:bCs/>
                <w:color w:val="374151"/>
                <w:sz w:val="19"/>
                <w:szCs w:val="19"/>
              </w:rPr>
              <w:t xml:space="preserve">STCG on listed equity (held &lt;12m)</w:t>
            </w:r>
          </w:p>
        </w:tc>
        <w:tc>
          <w:tcPr>
            <w:tcW w:type="dxa" w:w="1100"/>
            <w:tcBorders>
              <w:top w:val="single" w:color="D1D5DB" w:sz="1"/>
              <w:left w:val="single" w:color="D1D5DB" w:sz="1"/>
              <w:bottom w:val="single" w:color="D1D5DB" w:sz="1"/>
              <w:right w:val="single" w:color="D1D5DB" w:sz="1"/>
            </w:tcBorders>
            <w:shd w:fill="FFFFFF" w:val="clear"/>
            <w:tcMar>
              <w:top w:type="dxa" w:w="80"/>
              <w:left w:type="dxa" w:w="120"/>
              <w:bottom w:type="dxa" w:w="80"/>
              <w:right w:type="dxa" w:w="120"/>
            </w:tcMar>
            <w:vAlign w:val="center"/>
          </w:tcPr>
          <w:p>
            <w:pPr>
              <w:jc w:val="left"/>
            </w:pPr>
            <w:r>
              <w:rPr>
                <w:rFonts w:ascii="Arial" w:cs="Arial" w:eastAsia="Arial" w:hAnsi="Arial"/>
                <w:b w:val="false"/>
                <w:bCs w:val="false"/>
                <w:color w:val="374151"/>
                <w:sz w:val="19"/>
                <w:szCs w:val="19"/>
              </w:rPr>
              <w:t xml:space="preserve">20%</w:t>
            </w:r>
          </w:p>
        </w:tc>
        <w:tc>
          <w:tcPr>
            <w:tcW w:type="dxa" w:w="2760"/>
            <w:tcBorders>
              <w:top w:val="single" w:color="D1D5DB" w:sz="1"/>
              <w:left w:val="single" w:color="D1D5DB" w:sz="1"/>
              <w:bottom w:val="single" w:color="D1D5DB" w:sz="1"/>
              <w:right w:val="single" w:color="D1D5DB" w:sz="1"/>
            </w:tcBorders>
            <w:shd w:fill="FFFFFF" w:val="clear"/>
            <w:tcMar>
              <w:top w:type="dxa" w:w="80"/>
              <w:left w:type="dxa" w:w="120"/>
              <w:bottom w:type="dxa" w:w="80"/>
              <w:right w:type="dxa" w:w="120"/>
            </w:tcMar>
            <w:vAlign w:val="center"/>
          </w:tcPr>
          <w:p>
            <w:pPr>
              <w:jc w:val="left"/>
            </w:pPr>
            <w:r>
              <w:rPr>
                <w:rFonts w:ascii="Arial" w:cs="Arial" w:eastAsia="Arial" w:hAnsi="Arial"/>
                <w:b w:val="false"/>
                <w:bCs w:val="false"/>
                <w:color w:val="374151"/>
                <w:sz w:val="19"/>
                <w:szCs w:val="19"/>
              </w:rPr>
              <w:t xml:space="preserve">Applies regardless of amount</w:t>
            </w:r>
          </w:p>
        </w:tc>
        <w:tc>
          <w:tcPr>
            <w:tcW w:type="dxa" w:w="2000"/>
            <w:tcBorders>
              <w:top w:val="single" w:color="D1D5DB" w:sz="1"/>
              <w:left w:val="single" w:color="D1D5DB" w:sz="1"/>
              <w:bottom w:val="single" w:color="D1D5DB" w:sz="1"/>
              <w:right w:val="single" w:color="D1D5DB" w:sz="1"/>
            </w:tcBorders>
            <w:shd w:fill="FFFFFF" w:val="clear"/>
            <w:tcMar>
              <w:top w:type="dxa" w:w="80"/>
              <w:left w:type="dxa" w:w="120"/>
              <w:bottom w:type="dxa" w:w="80"/>
              <w:right w:type="dxa" w:w="120"/>
            </w:tcMar>
            <w:vAlign w:val="center"/>
          </w:tcPr>
          <w:p>
            <w:pPr>
              <w:jc w:val="left"/>
            </w:pPr>
            <w:r>
              <w:rPr>
                <w:rFonts w:ascii="Arial" w:cs="Arial" w:eastAsia="Arial" w:hAnsi="Arial"/>
                <w:b w:val="false"/>
                <w:bCs w:val="false"/>
                <w:color w:val="374151"/>
                <w:sz w:val="19"/>
                <w:szCs w:val="19"/>
              </w:rPr>
              <w:t xml:space="preserve">Never sell before 12 months</w:t>
            </w:r>
          </w:p>
        </w:tc>
      </w:tr>
      <w:tr>
        <w:tc>
          <w:tcPr>
            <w:tcW w:type="dxa" w:w="2500"/>
            <w:tcBorders>
              <w:top w:val="single" w:color="D1D5DB" w:sz="1"/>
              <w:left w:val="single" w:color="D1D5DB" w:sz="1"/>
              <w:bottom w:val="single" w:color="D1D5DB" w:sz="1"/>
              <w:right w:val="single" w:color="D1D5DB" w:sz="1"/>
            </w:tcBorders>
            <w:shd w:fill="F8FAFC" w:val="clear"/>
            <w:tcMar>
              <w:top w:type="dxa" w:w="80"/>
              <w:left w:type="dxa" w:w="120"/>
              <w:bottom w:type="dxa" w:w="80"/>
              <w:right w:type="dxa" w:w="120"/>
            </w:tcMar>
            <w:vAlign w:val="center"/>
          </w:tcPr>
          <w:p>
            <w:pPr>
              <w:jc w:val="left"/>
            </w:pPr>
            <w:r>
              <w:rPr>
                <w:rFonts w:ascii="Arial" w:cs="Arial" w:eastAsia="Arial" w:hAnsi="Arial"/>
                <w:b/>
                <w:bCs/>
                <w:color w:val="374151"/>
                <w:sz w:val="19"/>
                <w:szCs w:val="19"/>
              </w:rPr>
              <w:t xml:space="preserve">Dividend from Indian stocks/MFs</w:t>
            </w:r>
          </w:p>
        </w:tc>
        <w:tc>
          <w:tcPr>
            <w:tcW w:type="dxa" w:w="1100"/>
            <w:tcBorders>
              <w:top w:val="single" w:color="D1D5DB" w:sz="1"/>
              <w:left w:val="single" w:color="D1D5DB" w:sz="1"/>
              <w:bottom w:val="single" w:color="D1D5DB" w:sz="1"/>
              <w:right w:val="single" w:color="D1D5DB" w:sz="1"/>
            </w:tcBorders>
            <w:shd w:fill="F8FAFC" w:val="clear"/>
            <w:tcMar>
              <w:top w:type="dxa" w:w="80"/>
              <w:left w:type="dxa" w:w="120"/>
              <w:bottom w:type="dxa" w:w="80"/>
              <w:right w:type="dxa" w:w="120"/>
            </w:tcMar>
            <w:vAlign w:val="center"/>
          </w:tcPr>
          <w:p>
            <w:pPr>
              <w:jc w:val="left"/>
            </w:pPr>
            <w:r>
              <w:rPr>
                <w:rFonts w:ascii="Arial" w:cs="Arial" w:eastAsia="Arial" w:hAnsi="Arial"/>
                <w:b w:val="false"/>
                <w:bCs w:val="false"/>
                <w:color w:val="374151"/>
                <w:sz w:val="19"/>
                <w:szCs w:val="19"/>
              </w:rPr>
              <w:t xml:space="preserve">20% TDS</w:t>
            </w:r>
          </w:p>
        </w:tc>
        <w:tc>
          <w:tcPr>
            <w:tcW w:type="dxa" w:w="2760"/>
            <w:tcBorders>
              <w:top w:val="single" w:color="D1D5DB" w:sz="1"/>
              <w:left w:val="single" w:color="D1D5DB" w:sz="1"/>
              <w:bottom w:val="single" w:color="D1D5DB" w:sz="1"/>
              <w:right w:val="single" w:color="D1D5DB" w:sz="1"/>
            </w:tcBorders>
            <w:shd w:fill="F8FAFC" w:val="clear"/>
            <w:tcMar>
              <w:top w:type="dxa" w:w="80"/>
              <w:left w:type="dxa" w:w="120"/>
              <w:bottom w:type="dxa" w:w="80"/>
              <w:right w:type="dxa" w:w="120"/>
            </w:tcMar>
            <w:vAlign w:val="center"/>
          </w:tcPr>
          <w:p>
            <w:pPr>
              <w:jc w:val="left"/>
            </w:pPr>
            <w:r>
              <w:rPr>
                <w:rFonts w:ascii="Arial" w:cs="Arial" w:eastAsia="Arial" w:hAnsi="Arial"/>
                <w:b w:val="false"/>
                <w:bCs w:val="false"/>
                <w:color w:val="374151"/>
                <w:sz w:val="19"/>
                <w:szCs w:val="19"/>
              </w:rPr>
              <w:t xml:space="preserve">Deducted at source by company</w:t>
            </w:r>
          </w:p>
        </w:tc>
        <w:tc>
          <w:tcPr>
            <w:tcW w:type="dxa" w:w="2000"/>
            <w:tcBorders>
              <w:top w:val="single" w:color="D1D5DB" w:sz="1"/>
              <w:left w:val="single" w:color="D1D5DB" w:sz="1"/>
              <w:bottom w:val="single" w:color="D1D5DB" w:sz="1"/>
              <w:right w:val="single" w:color="D1D5DB" w:sz="1"/>
            </w:tcBorders>
            <w:shd w:fill="F8FAFC" w:val="clear"/>
            <w:tcMar>
              <w:top w:type="dxa" w:w="80"/>
              <w:left w:type="dxa" w:w="120"/>
              <w:bottom w:type="dxa" w:w="80"/>
              <w:right w:type="dxa" w:w="120"/>
            </w:tcMar>
            <w:vAlign w:val="center"/>
          </w:tcPr>
          <w:p>
            <w:pPr>
              <w:jc w:val="left"/>
            </w:pPr>
            <w:r>
              <w:rPr>
                <w:rFonts w:ascii="Arial" w:cs="Arial" w:eastAsia="Arial" w:hAnsi="Arial"/>
                <w:b w:val="false"/>
                <w:bCs w:val="false"/>
                <w:color w:val="374151"/>
                <w:sz w:val="19"/>
                <w:szCs w:val="19"/>
              </w:rPr>
              <w:t xml:space="preserve">Choose growth MFs, not dividend payout</w:t>
            </w:r>
          </w:p>
        </w:tc>
      </w:tr>
      <w:tr>
        <w:tc>
          <w:tcPr>
            <w:tcW w:type="dxa" w:w="2500"/>
            <w:tcBorders>
              <w:top w:val="single" w:color="D1D5DB" w:sz="1"/>
              <w:left w:val="single" w:color="D1D5DB" w:sz="1"/>
              <w:bottom w:val="single" w:color="D1D5DB" w:sz="1"/>
              <w:right w:val="single" w:color="D1D5DB" w:sz="1"/>
            </w:tcBorders>
            <w:shd w:fill="FFFFFF" w:val="clear"/>
            <w:tcMar>
              <w:top w:type="dxa" w:w="80"/>
              <w:left w:type="dxa" w:w="120"/>
              <w:bottom w:type="dxa" w:w="80"/>
              <w:right w:type="dxa" w:w="120"/>
            </w:tcMar>
            <w:vAlign w:val="center"/>
          </w:tcPr>
          <w:p>
            <w:pPr>
              <w:jc w:val="left"/>
            </w:pPr>
            <w:r>
              <w:rPr>
                <w:rFonts w:ascii="Arial" w:cs="Arial" w:eastAsia="Arial" w:hAnsi="Arial"/>
                <w:b/>
                <w:bCs/>
                <w:color w:val="374151"/>
                <w:sz w:val="19"/>
                <w:szCs w:val="19"/>
              </w:rPr>
              <w:t xml:space="preserve">Debt MF / India Gold ETF</w:t>
            </w:r>
          </w:p>
        </w:tc>
        <w:tc>
          <w:tcPr>
            <w:tcW w:type="dxa" w:w="1100"/>
            <w:tcBorders>
              <w:top w:val="single" w:color="D1D5DB" w:sz="1"/>
              <w:left w:val="single" w:color="D1D5DB" w:sz="1"/>
              <w:bottom w:val="single" w:color="D1D5DB" w:sz="1"/>
              <w:right w:val="single" w:color="D1D5DB" w:sz="1"/>
            </w:tcBorders>
            <w:shd w:fill="FFFFFF" w:val="clear"/>
            <w:tcMar>
              <w:top w:type="dxa" w:w="80"/>
              <w:left w:type="dxa" w:w="120"/>
              <w:bottom w:type="dxa" w:w="80"/>
              <w:right w:type="dxa" w:w="120"/>
            </w:tcMar>
            <w:vAlign w:val="center"/>
          </w:tcPr>
          <w:p>
            <w:pPr>
              <w:jc w:val="left"/>
            </w:pPr>
            <w:r>
              <w:rPr>
                <w:rFonts w:ascii="Arial" w:cs="Arial" w:eastAsia="Arial" w:hAnsi="Arial"/>
                <w:b w:val="false"/>
                <w:bCs w:val="false"/>
                <w:color w:val="374151"/>
                <w:sz w:val="19"/>
                <w:szCs w:val="19"/>
              </w:rPr>
              <w:t xml:space="preserve">Slab rate</w:t>
            </w:r>
          </w:p>
        </w:tc>
        <w:tc>
          <w:tcPr>
            <w:tcW w:type="dxa" w:w="2760"/>
            <w:tcBorders>
              <w:top w:val="single" w:color="D1D5DB" w:sz="1"/>
              <w:left w:val="single" w:color="D1D5DB" w:sz="1"/>
              <w:bottom w:val="single" w:color="D1D5DB" w:sz="1"/>
              <w:right w:val="single" w:color="D1D5DB" w:sz="1"/>
            </w:tcBorders>
            <w:shd w:fill="FFFFFF" w:val="clear"/>
            <w:tcMar>
              <w:top w:type="dxa" w:w="80"/>
              <w:left w:type="dxa" w:w="120"/>
              <w:bottom w:type="dxa" w:w="80"/>
              <w:right w:type="dxa" w:w="120"/>
            </w:tcMar>
            <w:vAlign w:val="center"/>
          </w:tcPr>
          <w:p>
            <w:pPr>
              <w:jc w:val="left"/>
            </w:pPr>
            <w:r>
              <w:rPr>
                <w:rFonts w:ascii="Arial" w:cs="Arial" w:eastAsia="Arial" w:hAnsi="Arial"/>
                <w:b w:val="false"/>
                <w:bCs w:val="false"/>
                <w:color w:val="374151"/>
                <w:sz w:val="19"/>
                <w:szCs w:val="19"/>
              </w:rPr>
              <w:t xml:space="preserve">Up to 30%. Regardless of holding period.</w:t>
            </w:r>
          </w:p>
        </w:tc>
        <w:tc>
          <w:tcPr>
            <w:tcW w:type="dxa" w:w="2000"/>
            <w:tcBorders>
              <w:top w:val="single" w:color="D1D5DB" w:sz="1"/>
              <w:left w:val="single" w:color="D1D5DB" w:sz="1"/>
              <w:bottom w:val="single" w:color="D1D5DB" w:sz="1"/>
              <w:right w:val="single" w:color="D1D5DB" w:sz="1"/>
            </w:tcBorders>
            <w:shd w:fill="FFFFFF" w:val="clear"/>
            <w:tcMar>
              <w:top w:type="dxa" w:w="80"/>
              <w:left w:type="dxa" w:w="120"/>
              <w:bottom w:type="dxa" w:w="80"/>
              <w:right w:type="dxa" w:w="120"/>
            </w:tcMar>
            <w:vAlign w:val="center"/>
          </w:tcPr>
          <w:p>
            <w:pPr>
              <w:jc w:val="left"/>
            </w:pPr>
            <w:r>
              <w:rPr>
                <w:rFonts w:ascii="Arial" w:cs="Arial" w:eastAsia="Arial" w:hAnsi="Arial"/>
                <w:b w:val="false"/>
                <w:bCs w:val="false"/>
                <w:color w:val="374151"/>
                <w:sz w:val="19"/>
                <w:szCs w:val="19"/>
              </w:rPr>
              <w:t xml:space="preserve">Avoid India gold ETFs entirely</w:t>
            </w:r>
          </w:p>
        </w:tc>
      </w:tr>
      <w:tr>
        <w:tc>
          <w:tcPr>
            <w:tcW w:type="dxa" w:w="2500"/>
            <w:tcBorders>
              <w:top w:val="single" w:color="D1D5DB" w:sz="1"/>
              <w:left w:val="single" w:color="D1D5DB" w:sz="1"/>
              <w:bottom w:val="single" w:color="D1D5DB" w:sz="1"/>
              <w:right w:val="single" w:color="D1D5DB" w:sz="1"/>
            </w:tcBorders>
            <w:shd w:fill="F8FAFC" w:val="clear"/>
            <w:tcMar>
              <w:top w:type="dxa" w:w="80"/>
              <w:left w:type="dxa" w:w="120"/>
              <w:bottom w:type="dxa" w:w="80"/>
              <w:right w:type="dxa" w:w="120"/>
            </w:tcMar>
            <w:vAlign w:val="center"/>
          </w:tcPr>
          <w:p>
            <w:pPr>
              <w:jc w:val="left"/>
            </w:pPr>
            <w:r>
              <w:rPr>
                <w:rFonts w:ascii="Arial" w:cs="Arial" w:eastAsia="Arial" w:hAnsi="Arial"/>
                <w:b/>
                <w:bCs/>
                <w:color w:val="374151"/>
                <w:sz w:val="19"/>
                <w:szCs w:val="19"/>
              </w:rPr>
              <w:t xml:space="preserve">NRE account interest</w:t>
            </w:r>
          </w:p>
        </w:tc>
        <w:tc>
          <w:tcPr>
            <w:tcW w:type="dxa" w:w="1100"/>
            <w:tcBorders>
              <w:top w:val="single" w:color="D1D5DB" w:sz="1"/>
              <w:left w:val="single" w:color="D1D5DB" w:sz="1"/>
              <w:bottom w:val="single" w:color="D1D5DB" w:sz="1"/>
              <w:right w:val="single" w:color="D1D5DB" w:sz="1"/>
            </w:tcBorders>
            <w:shd w:fill="F8FAFC" w:val="clear"/>
            <w:tcMar>
              <w:top w:type="dxa" w:w="80"/>
              <w:left w:type="dxa" w:w="120"/>
              <w:bottom w:type="dxa" w:w="80"/>
              <w:right w:type="dxa" w:w="120"/>
            </w:tcMar>
            <w:vAlign w:val="center"/>
          </w:tcPr>
          <w:p>
            <w:pPr>
              <w:jc w:val="left"/>
            </w:pPr>
            <w:r>
              <w:rPr>
                <w:rFonts w:ascii="Arial" w:cs="Arial" w:eastAsia="Arial" w:hAnsi="Arial"/>
                <w:b w:val="false"/>
                <w:bCs w:val="false"/>
                <w:color w:val="374151"/>
                <w:sz w:val="19"/>
                <w:szCs w:val="19"/>
              </w:rPr>
              <w:t xml:space="preserve">0% (Exempt)</w:t>
            </w:r>
          </w:p>
        </w:tc>
        <w:tc>
          <w:tcPr>
            <w:tcW w:type="dxa" w:w="2760"/>
            <w:tcBorders>
              <w:top w:val="single" w:color="D1D5DB" w:sz="1"/>
              <w:left w:val="single" w:color="D1D5DB" w:sz="1"/>
              <w:bottom w:val="single" w:color="D1D5DB" w:sz="1"/>
              <w:right w:val="single" w:color="D1D5DB" w:sz="1"/>
            </w:tcBorders>
            <w:shd w:fill="F8FAFC" w:val="clear"/>
            <w:tcMar>
              <w:top w:type="dxa" w:w="80"/>
              <w:left w:type="dxa" w:w="120"/>
              <w:bottom w:type="dxa" w:w="80"/>
              <w:right w:type="dxa" w:w="120"/>
            </w:tcMar>
            <w:vAlign w:val="center"/>
          </w:tcPr>
          <w:p>
            <w:pPr>
              <w:jc w:val="left"/>
            </w:pPr>
            <w:r>
              <w:rPr>
                <w:rFonts w:ascii="Arial" w:cs="Arial" w:eastAsia="Arial" w:hAnsi="Arial"/>
                <w:b w:val="false"/>
                <w:bCs w:val="false"/>
                <w:color w:val="374151"/>
                <w:sz w:val="19"/>
                <w:szCs w:val="19"/>
              </w:rPr>
              <w:t xml:space="preserve">Fully tax-free in India</w:t>
            </w:r>
          </w:p>
        </w:tc>
        <w:tc>
          <w:tcPr>
            <w:tcW w:type="dxa" w:w="2000"/>
            <w:tcBorders>
              <w:top w:val="single" w:color="D1D5DB" w:sz="1"/>
              <w:left w:val="single" w:color="D1D5DB" w:sz="1"/>
              <w:bottom w:val="single" w:color="D1D5DB" w:sz="1"/>
              <w:right w:val="single" w:color="D1D5DB" w:sz="1"/>
            </w:tcBorders>
            <w:shd w:fill="F8FAFC" w:val="clear"/>
            <w:tcMar>
              <w:top w:type="dxa" w:w="80"/>
              <w:left w:type="dxa" w:w="120"/>
              <w:bottom w:type="dxa" w:w="80"/>
              <w:right w:type="dxa" w:w="120"/>
            </w:tcMar>
            <w:vAlign w:val="center"/>
          </w:tcPr>
          <w:p>
            <w:pPr>
              <w:jc w:val="left"/>
            </w:pPr>
            <w:r>
              <w:rPr>
                <w:rFonts w:ascii="Arial" w:cs="Arial" w:eastAsia="Arial" w:hAnsi="Arial"/>
                <w:b w:val="false"/>
                <w:bCs w:val="false"/>
                <w:color w:val="374151"/>
                <w:sz w:val="19"/>
                <w:szCs w:val="19"/>
              </w:rPr>
              <w:t xml:space="preserve">Use NRE for all equity investments</w:t>
            </w:r>
          </w:p>
        </w:tc>
      </w:tr>
      <w:tr>
        <w:tc>
          <w:tcPr>
            <w:tcW w:type="dxa" w:w="2500"/>
            <w:tcBorders>
              <w:top w:val="single" w:color="D1D5DB" w:sz="1"/>
              <w:left w:val="single" w:color="D1D5DB" w:sz="1"/>
              <w:bottom w:val="single" w:color="D1D5DB" w:sz="1"/>
              <w:right w:val="single" w:color="D1D5DB" w:sz="1"/>
            </w:tcBorders>
            <w:shd w:fill="FFFFFF" w:val="clear"/>
            <w:tcMar>
              <w:top w:type="dxa" w:w="80"/>
              <w:left w:type="dxa" w:w="120"/>
              <w:bottom w:type="dxa" w:w="80"/>
              <w:right w:type="dxa" w:w="120"/>
            </w:tcMar>
            <w:vAlign w:val="center"/>
          </w:tcPr>
          <w:p>
            <w:pPr>
              <w:jc w:val="left"/>
            </w:pPr>
            <w:r>
              <w:rPr>
                <w:rFonts w:ascii="Arial" w:cs="Arial" w:eastAsia="Arial" w:hAnsi="Arial"/>
                <w:b/>
                <w:bCs/>
                <w:color w:val="374151"/>
                <w:sz w:val="19"/>
                <w:szCs w:val="19"/>
              </w:rPr>
              <w:t xml:space="preserve">NRO account interest</w:t>
            </w:r>
          </w:p>
        </w:tc>
        <w:tc>
          <w:tcPr>
            <w:tcW w:type="dxa" w:w="1100"/>
            <w:tcBorders>
              <w:top w:val="single" w:color="D1D5DB" w:sz="1"/>
              <w:left w:val="single" w:color="D1D5DB" w:sz="1"/>
              <w:bottom w:val="single" w:color="D1D5DB" w:sz="1"/>
              <w:right w:val="single" w:color="D1D5DB" w:sz="1"/>
            </w:tcBorders>
            <w:shd w:fill="FFFFFF" w:val="clear"/>
            <w:tcMar>
              <w:top w:type="dxa" w:w="80"/>
              <w:left w:type="dxa" w:w="120"/>
              <w:bottom w:type="dxa" w:w="80"/>
              <w:right w:type="dxa" w:w="120"/>
            </w:tcMar>
            <w:vAlign w:val="center"/>
          </w:tcPr>
          <w:p>
            <w:pPr>
              <w:jc w:val="left"/>
            </w:pPr>
            <w:r>
              <w:rPr>
                <w:rFonts w:ascii="Arial" w:cs="Arial" w:eastAsia="Arial" w:hAnsi="Arial"/>
                <w:b w:val="false"/>
                <w:bCs w:val="false"/>
                <w:color w:val="374151"/>
                <w:sz w:val="19"/>
                <w:szCs w:val="19"/>
              </w:rPr>
              <w:t xml:space="preserve">30% TDS</w:t>
            </w:r>
          </w:p>
        </w:tc>
        <w:tc>
          <w:tcPr>
            <w:tcW w:type="dxa" w:w="2760"/>
            <w:tcBorders>
              <w:top w:val="single" w:color="D1D5DB" w:sz="1"/>
              <w:left w:val="single" w:color="D1D5DB" w:sz="1"/>
              <w:bottom w:val="single" w:color="D1D5DB" w:sz="1"/>
              <w:right w:val="single" w:color="D1D5DB" w:sz="1"/>
            </w:tcBorders>
            <w:shd w:fill="FFFFFF" w:val="clear"/>
            <w:tcMar>
              <w:top w:type="dxa" w:w="80"/>
              <w:left w:type="dxa" w:w="120"/>
              <w:bottom w:type="dxa" w:w="80"/>
              <w:right w:type="dxa" w:w="120"/>
            </w:tcMar>
            <w:vAlign w:val="center"/>
          </w:tcPr>
          <w:p>
            <w:pPr>
              <w:jc w:val="left"/>
            </w:pPr>
            <w:r>
              <w:rPr>
                <w:rFonts w:ascii="Arial" w:cs="Arial" w:eastAsia="Arial" w:hAnsi="Arial"/>
                <w:b w:val="false"/>
                <w:bCs w:val="false"/>
                <w:color w:val="374151"/>
                <w:sz w:val="19"/>
                <w:szCs w:val="19"/>
              </w:rPr>
              <w:t xml:space="preserve">DTAA relief available</w:t>
            </w:r>
          </w:p>
        </w:tc>
        <w:tc>
          <w:tcPr>
            <w:tcW w:type="dxa" w:w="2000"/>
            <w:tcBorders>
              <w:top w:val="single" w:color="D1D5DB" w:sz="1"/>
              <w:left w:val="single" w:color="D1D5DB" w:sz="1"/>
              <w:bottom w:val="single" w:color="D1D5DB" w:sz="1"/>
              <w:right w:val="single" w:color="D1D5DB" w:sz="1"/>
            </w:tcBorders>
            <w:shd w:fill="FFFFFF" w:val="clear"/>
            <w:tcMar>
              <w:top w:type="dxa" w:w="80"/>
              <w:left w:type="dxa" w:w="120"/>
              <w:bottom w:type="dxa" w:w="80"/>
              <w:right w:type="dxa" w:w="120"/>
            </w:tcMar>
            <w:vAlign w:val="center"/>
          </w:tcPr>
          <w:p>
            <w:pPr>
              <w:jc w:val="left"/>
            </w:pPr>
            <w:r>
              <w:rPr>
                <w:rFonts w:ascii="Arial" w:cs="Arial" w:eastAsia="Arial" w:hAnsi="Arial"/>
                <w:b w:val="false"/>
                <w:bCs w:val="false"/>
                <w:color w:val="374151"/>
                <w:sz w:val="19"/>
                <w:szCs w:val="19"/>
              </w:rPr>
              <w:t xml:space="preserve">Use only for local India expenses</w:t>
            </w:r>
          </w:p>
        </w:tc>
      </w:tr>
    </w:tbl>
    <w:p>
      <w:r>
        <w:t xml:space="preserve"/>
      </w:r>
    </w:p>
    <w:p>
      <w:pPr>
        <w:shd w:fill="F0FDF4" w:val="clear"/>
        <w:spacing w:after="100" w:before="100"/>
        <w:ind w:left="360" w:right="360"/>
      </w:pPr>
      <w:r>
        <w:rPr>
          <w:rFonts w:ascii="Arial" w:cs="Arial" w:eastAsia="Arial" w:hAnsi="Arial"/>
          <w:b/>
          <w:bCs/>
          <w:color w:val="0D6E4A"/>
          <w:sz w:val="22"/>
          <w:szCs w:val="22"/>
        </w:rPr>
        <w:t xml:space="preserve">KEY ACTION  </w:t>
      </w:r>
      <w:r>
        <w:rPr>
          <w:rFonts w:ascii="Arial" w:cs="Arial" w:eastAsia="Arial" w:hAnsi="Arial"/>
          <w:color w:val="0D6E4A"/>
          <w:sz w:val="21"/>
          <w:szCs w:val="21"/>
        </w:rPr>
        <w:t xml:space="preserve">NRI Tax Hack: Route ALL Indian equity investments through NRE Demat. Gains repatriable to Malaysia freely. No TDS. This single step recovers 1–1.5% annually in after-tax returns.</w:t>
      </w:r>
    </w:p>
    <w:p>
      <w:r>
        <w:t xml:space="preserve"/>
      </w:r>
    </w:p>
    <w:p>
      <w:pPr>
        <w:pStyle w:val="Heading2"/>
        <w:pBdr>
          <w:bottom w:val="single" w:color="0D6E4A" w:sz="4" w:space="4"/>
        </w:pBdr>
        <w:spacing w:after="120" w:before="240"/>
      </w:pPr>
      <w:r>
        <w:rPr>
          <w:rFonts w:ascii="Arial" w:cs="Arial" w:eastAsia="Arial" w:hAnsi="Arial"/>
          <w:b/>
          <w:bCs/>
          <w:color w:val="0D6E4A"/>
          <w:sz w:val="30"/>
          <w:szCs w:val="30"/>
        </w:rPr>
        <w:t xml:space="preserve">4.2 Malaysia — Your Home Base Advantage</w:t>
      </w:r>
    </w:p>
    <w:tbl>
      <w:tblPr>
        <w:tblW w:type="dxa" w:w="9360"/>
        <w:tblBorders>
          <w:top w:val="single" w:color="auto" w:sz="4"/>
          <w:left w:val="single" w:color="auto" w:sz="4"/>
          <w:bottom w:val="single" w:color="auto" w:sz="4"/>
          <w:right w:val="single" w:color="auto" w:sz="4"/>
          <w:insideH w:val="single" w:color="auto" w:sz="4"/>
          <w:insideV w:val="single" w:color="auto" w:sz="4"/>
        </w:tblBorders>
      </w:tblPr>
      <w:tblGrid>
        <w:gridCol w:w="3000"/>
        <w:gridCol w:w="1800"/>
        <w:gridCol w:w="4560"/>
      </w:tblGrid>
      <w:tr>
        <w:trPr>
          <w:tblHeader/>
        </w:trPr>
        <w:tc>
          <w:tcPr>
            <w:tcW w:type="dxa" w:w="3000"/>
            <w:tcBorders>
              <w:top w:val="single" w:color="D1D5DB" w:sz="1"/>
              <w:left w:val="single" w:color="D1D5DB" w:sz="1"/>
              <w:bottom w:val="single" w:color="D1D5DB" w:sz="1"/>
              <w:right w:val="single" w:color="D1D5DB" w:sz="1"/>
            </w:tcBorders>
            <w:shd w:fill="1E3A5F" w:val="clear"/>
            <w:tcMar>
              <w:top w:type="dxa" w:w="80"/>
              <w:left w:type="dxa" w:w="120"/>
              <w:bottom w:type="dxa" w:w="80"/>
              <w:right w:type="dxa" w:w="120"/>
            </w:tcMar>
            <w:vAlign w:val="center"/>
          </w:tcPr>
          <w:p>
            <w:pPr>
              <w:jc w:val="left"/>
            </w:pPr>
            <w:r>
              <w:rPr>
                <w:rFonts w:ascii="Arial" w:cs="Arial" w:eastAsia="Arial" w:hAnsi="Arial"/>
                <w:b/>
                <w:bCs/>
                <w:color w:val="FFFFFF"/>
                <w:sz w:val="20"/>
                <w:szCs w:val="20"/>
              </w:rPr>
              <w:t xml:space="preserve">Tax Event</w:t>
            </w:r>
          </w:p>
        </w:tc>
        <w:tc>
          <w:tcPr>
            <w:tcW w:type="dxa" w:w="1800"/>
            <w:tcBorders>
              <w:top w:val="single" w:color="D1D5DB" w:sz="1"/>
              <w:left w:val="single" w:color="D1D5DB" w:sz="1"/>
              <w:bottom w:val="single" w:color="D1D5DB" w:sz="1"/>
              <w:right w:val="single" w:color="D1D5DB" w:sz="1"/>
            </w:tcBorders>
            <w:shd w:fill="1E3A5F" w:val="clear"/>
            <w:tcMar>
              <w:top w:type="dxa" w:w="80"/>
              <w:left w:type="dxa" w:w="120"/>
              <w:bottom w:type="dxa" w:w="80"/>
              <w:right w:type="dxa" w:w="120"/>
            </w:tcMar>
            <w:vAlign w:val="center"/>
          </w:tcPr>
          <w:p>
            <w:pPr>
              <w:jc w:val="left"/>
            </w:pPr>
            <w:r>
              <w:rPr>
                <w:rFonts w:ascii="Arial" w:cs="Arial" w:eastAsia="Arial" w:hAnsi="Arial"/>
                <w:b/>
                <w:bCs/>
                <w:color w:val="FFFFFF"/>
                <w:sz w:val="20"/>
                <w:szCs w:val="20"/>
              </w:rPr>
              <w:t xml:space="preserve">Rate</w:t>
            </w:r>
          </w:p>
        </w:tc>
        <w:tc>
          <w:tcPr>
            <w:tcW w:type="dxa" w:w="4560"/>
            <w:tcBorders>
              <w:top w:val="single" w:color="D1D5DB" w:sz="1"/>
              <w:left w:val="single" w:color="D1D5DB" w:sz="1"/>
              <w:bottom w:val="single" w:color="D1D5DB" w:sz="1"/>
              <w:right w:val="single" w:color="D1D5DB" w:sz="1"/>
            </w:tcBorders>
            <w:shd w:fill="1E3A5F" w:val="clear"/>
            <w:tcMar>
              <w:top w:type="dxa" w:w="80"/>
              <w:left w:type="dxa" w:w="120"/>
              <w:bottom w:type="dxa" w:w="80"/>
              <w:right w:type="dxa" w:w="120"/>
            </w:tcMar>
            <w:vAlign w:val="center"/>
          </w:tcPr>
          <w:p>
            <w:pPr>
              <w:jc w:val="left"/>
            </w:pPr>
            <w:r>
              <w:rPr>
                <w:rFonts w:ascii="Arial" w:cs="Arial" w:eastAsia="Arial" w:hAnsi="Arial"/>
                <w:b/>
                <w:bCs/>
                <w:color w:val="FFFFFF"/>
                <w:sz w:val="20"/>
                <w:szCs w:val="20"/>
              </w:rPr>
              <w:t xml:space="preserve">Notes</w:t>
            </w:r>
          </w:p>
        </w:tc>
      </w:tr>
      <w:tr>
        <w:tc>
          <w:tcPr>
            <w:tcW w:type="dxa" w:w="3000"/>
            <w:tcBorders>
              <w:top w:val="single" w:color="D1D5DB" w:sz="1"/>
              <w:left w:val="single" w:color="D1D5DB" w:sz="1"/>
              <w:bottom w:val="single" w:color="D1D5DB" w:sz="1"/>
              <w:right w:val="single" w:color="D1D5DB" w:sz="1"/>
            </w:tcBorders>
            <w:shd w:fill="F8FAFC" w:val="clear"/>
            <w:tcMar>
              <w:top w:type="dxa" w:w="80"/>
              <w:left w:type="dxa" w:w="120"/>
              <w:bottom w:type="dxa" w:w="80"/>
              <w:right w:type="dxa" w:w="120"/>
            </w:tcMar>
            <w:vAlign w:val="center"/>
          </w:tcPr>
          <w:p>
            <w:pPr>
              <w:jc w:val="left"/>
            </w:pPr>
            <w:r>
              <w:rPr>
                <w:rFonts w:ascii="Arial" w:cs="Arial" w:eastAsia="Arial" w:hAnsi="Arial"/>
                <w:b/>
                <w:bCs/>
                <w:color w:val="374151"/>
                <w:sz w:val="19"/>
                <w:szCs w:val="19"/>
              </w:rPr>
              <w:t xml:space="preserve">Capital Gains on Bursa shares</w:t>
            </w:r>
          </w:p>
        </w:tc>
        <w:tc>
          <w:tcPr>
            <w:tcW w:type="dxa" w:w="1800"/>
            <w:tcBorders>
              <w:top w:val="single" w:color="D1D5DB" w:sz="1"/>
              <w:left w:val="single" w:color="D1D5DB" w:sz="1"/>
              <w:bottom w:val="single" w:color="D1D5DB" w:sz="1"/>
              <w:right w:val="single" w:color="D1D5DB" w:sz="1"/>
            </w:tcBorders>
            <w:shd w:fill="F8FAFC" w:val="clear"/>
            <w:tcMar>
              <w:top w:type="dxa" w:w="80"/>
              <w:left w:type="dxa" w:w="120"/>
              <w:bottom w:type="dxa" w:w="80"/>
              <w:right w:type="dxa" w:w="120"/>
            </w:tcMar>
            <w:vAlign w:val="center"/>
          </w:tcPr>
          <w:p>
            <w:pPr>
              <w:jc w:val="left"/>
            </w:pPr>
            <w:r>
              <w:rPr>
                <w:rFonts w:ascii="Arial" w:cs="Arial" w:eastAsia="Arial" w:hAnsi="Arial"/>
                <w:b w:val="false"/>
                <w:bCs w:val="false"/>
                <w:color w:val="374151"/>
                <w:sz w:val="19"/>
                <w:szCs w:val="19"/>
              </w:rPr>
              <w:t xml:space="preserve">0%</w:t>
            </w:r>
          </w:p>
        </w:tc>
        <w:tc>
          <w:tcPr>
            <w:tcW w:type="dxa" w:w="4560"/>
            <w:tcBorders>
              <w:top w:val="single" w:color="D1D5DB" w:sz="1"/>
              <w:left w:val="single" w:color="D1D5DB" w:sz="1"/>
              <w:bottom w:val="single" w:color="D1D5DB" w:sz="1"/>
              <w:right w:val="single" w:color="D1D5DB" w:sz="1"/>
            </w:tcBorders>
            <w:shd w:fill="F8FAFC" w:val="clear"/>
            <w:tcMar>
              <w:top w:type="dxa" w:w="80"/>
              <w:left w:type="dxa" w:w="120"/>
              <w:bottom w:type="dxa" w:w="80"/>
              <w:right w:type="dxa" w:w="120"/>
            </w:tcMar>
            <w:vAlign w:val="center"/>
          </w:tcPr>
          <w:p>
            <w:pPr>
              <w:jc w:val="left"/>
            </w:pPr>
            <w:r>
              <w:rPr>
                <w:rFonts w:ascii="Arial" w:cs="Arial" w:eastAsia="Arial" w:hAnsi="Arial"/>
                <w:b w:val="false"/>
                <w:bCs w:val="false"/>
                <w:color w:val="374151"/>
                <w:sz w:val="19"/>
                <w:szCs w:val="19"/>
              </w:rPr>
              <w:t xml:space="preserve">Malaysia abolished CGT on shares — largest advantage</w:t>
            </w:r>
          </w:p>
        </w:tc>
      </w:tr>
      <w:tr>
        <w:tc>
          <w:tcPr>
            <w:tcW w:type="dxa" w:w="3000"/>
            <w:tcBorders>
              <w:top w:val="single" w:color="D1D5DB" w:sz="1"/>
              <w:left w:val="single" w:color="D1D5DB" w:sz="1"/>
              <w:bottom w:val="single" w:color="D1D5DB" w:sz="1"/>
              <w:right w:val="single" w:color="D1D5DB" w:sz="1"/>
            </w:tcBorders>
            <w:shd w:fill="FFFFFF" w:val="clear"/>
            <w:tcMar>
              <w:top w:type="dxa" w:w="80"/>
              <w:left w:type="dxa" w:w="120"/>
              <w:bottom w:type="dxa" w:w="80"/>
              <w:right w:type="dxa" w:w="120"/>
            </w:tcMar>
            <w:vAlign w:val="center"/>
          </w:tcPr>
          <w:p>
            <w:pPr>
              <w:jc w:val="left"/>
            </w:pPr>
            <w:r>
              <w:rPr>
                <w:rFonts w:ascii="Arial" w:cs="Arial" w:eastAsia="Arial" w:hAnsi="Arial"/>
                <w:b/>
                <w:bCs/>
                <w:color w:val="374151"/>
                <w:sz w:val="19"/>
                <w:szCs w:val="19"/>
              </w:rPr>
              <w:t xml:space="preserve">Dividend income (Malaysian stocks)</w:t>
            </w:r>
          </w:p>
        </w:tc>
        <w:tc>
          <w:tcPr>
            <w:tcW w:type="dxa" w:w="1800"/>
            <w:tcBorders>
              <w:top w:val="single" w:color="D1D5DB" w:sz="1"/>
              <w:left w:val="single" w:color="D1D5DB" w:sz="1"/>
              <w:bottom w:val="single" w:color="D1D5DB" w:sz="1"/>
              <w:right w:val="single" w:color="D1D5DB" w:sz="1"/>
            </w:tcBorders>
            <w:shd w:fill="FFFFFF" w:val="clear"/>
            <w:tcMar>
              <w:top w:type="dxa" w:w="80"/>
              <w:left w:type="dxa" w:w="120"/>
              <w:bottom w:type="dxa" w:w="80"/>
              <w:right w:type="dxa" w:w="120"/>
            </w:tcMar>
            <w:vAlign w:val="center"/>
          </w:tcPr>
          <w:p>
            <w:pPr>
              <w:jc w:val="left"/>
            </w:pPr>
            <w:r>
              <w:rPr>
                <w:rFonts w:ascii="Arial" w:cs="Arial" w:eastAsia="Arial" w:hAnsi="Arial"/>
                <w:b w:val="false"/>
                <w:bCs w:val="false"/>
                <w:color w:val="374151"/>
                <w:sz w:val="19"/>
                <w:szCs w:val="19"/>
              </w:rPr>
              <w:t xml:space="preserve">0%</w:t>
            </w:r>
          </w:p>
        </w:tc>
        <w:tc>
          <w:tcPr>
            <w:tcW w:type="dxa" w:w="4560"/>
            <w:tcBorders>
              <w:top w:val="single" w:color="D1D5DB" w:sz="1"/>
              <w:left w:val="single" w:color="D1D5DB" w:sz="1"/>
              <w:bottom w:val="single" w:color="D1D5DB" w:sz="1"/>
              <w:right w:val="single" w:color="D1D5DB" w:sz="1"/>
            </w:tcBorders>
            <w:shd w:fill="FFFFFF" w:val="clear"/>
            <w:tcMar>
              <w:top w:type="dxa" w:w="80"/>
              <w:left w:type="dxa" w:w="120"/>
              <w:bottom w:type="dxa" w:w="80"/>
              <w:right w:type="dxa" w:w="120"/>
            </w:tcMar>
            <w:vAlign w:val="center"/>
          </w:tcPr>
          <w:p>
            <w:pPr>
              <w:jc w:val="left"/>
            </w:pPr>
            <w:r>
              <w:rPr>
                <w:rFonts w:ascii="Arial" w:cs="Arial" w:eastAsia="Arial" w:hAnsi="Arial"/>
                <w:b w:val="false"/>
                <w:bCs w:val="false"/>
                <w:color w:val="374151"/>
                <w:sz w:val="19"/>
                <w:szCs w:val="19"/>
              </w:rPr>
              <w:t xml:space="preserve">Single-tier system — tax paid at company level, not yours</w:t>
            </w:r>
          </w:p>
        </w:tc>
      </w:tr>
      <w:tr>
        <w:tc>
          <w:tcPr>
            <w:tcW w:type="dxa" w:w="3000"/>
            <w:tcBorders>
              <w:top w:val="single" w:color="D1D5DB" w:sz="1"/>
              <w:left w:val="single" w:color="D1D5DB" w:sz="1"/>
              <w:bottom w:val="single" w:color="D1D5DB" w:sz="1"/>
              <w:right w:val="single" w:color="D1D5DB" w:sz="1"/>
            </w:tcBorders>
            <w:shd w:fill="F8FAFC" w:val="clear"/>
            <w:tcMar>
              <w:top w:type="dxa" w:w="80"/>
              <w:left w:type="dxa" w:w="120"/>
              <w:bottom w:type="dxa" w:w="80"/>
              <w:right w:type="dxa" w:w="120"/>
            </w:tcMar>
            <w:vAlign w:val="center"/>
          </w:tcPr>
          <w:p>
            <w:pPr>
              <w:jc w:val="left"/>
            </w:pPr>
            <w:r>
              <w:rPr>
                <w:rFonts w:ascii="Arial" w:cs="Arial" w:eastAsia="Arial" w:hAnsi="Arial"/>
                <w:b/>
                <w:bCs/>
                <w:color w:val="374151"/>
                <w:sz w:val="19"/>
                <w:szCs w:val="19"/>
              </w:rPr>
              <w:t xml:space="preserve">Foreign-sourced income (remitted to MY)</w:t>
            </w:r>
          </w:p>
        </w:tc>
        <w:tc>
          <w:tcPr>
            <w:tcW w:type="dxa" w:w="1800"/>
            <w:tcBorders>
              <w:top w:val="single" w:color="D1D5DB" w:sz="1"/>
              <w:left w:val="single" w:color="D1D5DB" w:sz="1"/>
              <w:bottom w:val="single" w:color="D1D5DB" w:sz="1"/>
              <w:right w:val="single" w:color="D1D5DB" w:sz="1"/>
            </w:tcBorders>
            <w:shd w:fill="F8FAFC" w:val="clear"/>
            <w:tcMar>
              <w:top w:type="dxa" w:w="80"/>
              <w:left w:type="dxa" w:w="120"/>
              <w:bottom w:type="dxa" w:w="80"/>
              <w:right w:type="dxa" w:w="120"/>
            </w:tcMar>
            <w:vAlign w:val="center"/>
          </w:tcPr>
          <w:p>
            <w:pPr>
              <w:jc w:val="left"/>
            </w:pPr>
            <w:r>
              <w:rPr>
                <w:rFonts w:ascii="Arial" w:cs="Arial" w:eastAsia="Arial" w:hAnsi="Arial"/>
                <w:b w:val="false"/>
                <w:bCs w:val="false"/>
                <w:color w:val="374151"/>
                <w:sz w:val="19"/>
                <w:szCs w:val="19"/>
              </w:rPr>
              <w:t xml:space="preserve">Taxable from 2024</w:t>
            </w:r>
          </w:p>
        </w:tc>
        <w:tc>
          <w:tcPr>
            <w:tcW w:type="dxa" w:w="4560"/>
            <w:tcBorders>
              <w:top w:val="single" w:color="D1D5DB" w:sz="1"/>
              <w:left w:val="single" w:color="D1D5DB" w:sz="1"/>
              <w:bottom w:val="single" w:color="D1D5DB" w:sz="1"/>
              <w:right w:val="single" w:color="D1D5DB" w:sz="1"/>
            </w:tcBorders>
            <w:shd w:fill="F8FAFC" w:val="clear"/>
            <w:tcMar>
              <w:top w:type="dxa" w:w="80"/>
              <w:left w:type="dxa" w:w="120"/>
              <w:bottom w:type="dxa" w:w="80"/>
              <w:right w:type="dxa" w:w="120"/>
            </w:tcMar>
            <w:vAlign w:val="center"/>
          </w:tcPr>
          <w:p>
            <w:pPr>
              <w:jc w:val="left"/>
            </w:pPr>
            <w:r>
              <w:rPr>
                <w:rFonts w:ascii="Arial" w:cs="Arial" w:eastAsia="Arial" w:hAnsi="Arial"/>
                <w:b w:val="false"/>
                <w:bCs w:val="false"/>
                <w:color w:val="374151"/>
                <w:sz w:val="19"/>
                <w:szCs w:val="19"/>
              </w:rPr>
              <w:t xml:space="preserve">Jan 2024 rule change — structure carefully</w:t>
            </w:r>
          </w:p>
        </w:tc>
      </w:tr>
      <w:tr>
        <w:tc>
          <w:tcPr>
            <w:tcW w:type="dxa" w:w="3000"/>
            <w:tcBorders>
              <w:top w:val="single" w:color="D1D5DB" w:sz="1"/>
              <w:left w:val="single" w:color="D1D5DB" w:sz="1"/>
              <w:bottom w:val="single" w:color="D1D5DB" w:sz="1"/>
              <w:right w:val="single" w:color="D1D5DB" w:sz="1"/>
            </w:tcBorders>
            <w:shd w:fill="FFFFFF" w:val="clear"/>
            <w:tcMar>
              <w:top w:type="dxa" w:w="80"/>
              <w:left w:type="dxa" w:w="120"/>
              <w:bottom w:type="dxa" w:w="80"/>
              <w:right w:type="dxa" w:w="120"/>
            </w:tcMar>
            <w:vAlign w:val="center"/>
          </w:tcPr>
          <w:p>
            <w:pPr>
              <w:jc w:val="left"/>
            </w:pPr>
            <w:r>
              <w:rPr>
                <w:rFonts w:ascii="Arial" w:cs="Arial" w:eastAsia="Arial" w:hAnsi="Arial"/>
                <w:b/>
                <w:bCs/>
                <w:color w:val="374151"/>
                <w:sz w:val="19"/>
                <w:szCs w:val="19"/>
              </w:rPr>
              <w:t xml:space="preserve">US ETF dividends (remitted to MY)</w:t>
            </w:r>
          </w:p>
        </w:tc>
        <w:tc>
          <w:tcPr>
            <w:tcW w:type="dxa" w:w="1800"/>
            <w:tcBorders>
              <w:top w:val="single" w:color="D1D5DB" w:sz="1"/>
              <w:left w:val="single" w:color="D1D5DB" w:sz="1"/>
              <w:bottom w:val="single" w:color="D1D5DB" w:sz="1"/>
              <w:right w:val="single" w:color="D1D5DB" w:sz="1"/>
            </w:tcBorders>
            <w:shd w:fill="FFFFFF" w:val="clear"/>
            <w:tcMar>
              <w:top w:type="dxa" w:w="80"/>
              <w:left w:type="dxa" w:w="120"/>
              <w:bottom w:type="dxa" w:w="80"/>
              <w:right w:type="dxa" w:w="120"/>
            </w:tcMar>
            <w:vAlign w:val="center"/>
          </w:tcPr>
          <w:p>
            <w:pPr>
              <w:jc w:val="left"/>
            </w:pPr>
            <w:r>
              <w:rPr>
                <w:rFonts w:ascii="Arial" w:cs="Arial" w:eastAsia="Arial" w:hAnsi="Arial"/>
                <w:b w:val="false"/>
                <w:bCs w:val="false"/>
                <w:color w:val="374151"/>
                <w:sz w:val="19"/>
                <w:szCs w:val="19"/>
              </w:rPr>
              <w:t xml:space="preserve">Check DTAA</w:t>
            </w:r>
          </w:p>
        </w:tc>
        <w:tc>
          <w:tcPr>
            <w:tcW w:type="dxa" w:w="4560"/>
            <w:tcBorders>
              <w:top w:val="single" w:color="D1D5DB" w:sz="1"/>
              <w:left w:val="single" w:color="D1D5DB" w:sz="1"/>
              <w:bottom w:val="single" w:color="D1D5DB" w:sz="1"/>
              <w:right w:val="single" w:color="D1D5DB" w:sz="1"/>
            </w:tcBorders>
            <w:shd w:fill="FFFFFF" w:val="clear"/>
            <w:tcMar>
              <w:top w:type="dxa" w:w="80"/>
              <w:left w:type="dxa" w:w="120"/>
              <w:bottom w:type="dxa" w:w="80"/>
              <w:right w:type="dxa" w:w="120"/>
            </w:tcMar>
            <w:vAlign w:val="center"/>
          </w:tcPr>
          <w:p>
            <w:pPr>
              <w:jc w:val="left"/>
            </w:pPr>
            <w:r>
              <w:rPr>
                <w:rFonts w:ascii="Arial" w:cs="Arial" w:eastAsia="Arial" w:hAnsi="Arial"/>
                <w:b w:val="false"/>
                <w:bCs w:val="false"/>
                <w:color w:val="374151"/>
                <w:sz w:val="19"/>
                <w:szCs w:val="19"/>
              </w:rPr>
              <w:t xml:space="preserve">US WHT credit may offset — get tax advice</w:t>
            </w:r>
          </w:p>
        </w:tc>
      </w:tr>
    </w:tbl>
    <w:p>
      <w:r>
        <w:t xml:space="preserve"/>
      </w:r>
    </w:p>
    <w:p>
      <w:pPr>
        <w:shd w:fill="FFF1F2" w:val="clear"/>
        <w:spacing w:after="100" w:before="100"/>
        <w:ind w:left="360" w:right="360"/>
      </w:pPr>
      <w:r>
        <w:rPr>
          <w:rFonts w:ascii="Arial" w:cs="Arial" w:eastAsia="Arial" w:hAnsi="Arial"/>
          <w:b/>
          <w:bCs/>
          <w:color w:val="B91C1C"/>
          <w:sz w:val="22"/>
          <w:szCs w:val="22"/>
        </w:rPr>
        <w:t xml:space="preserve">WARNING  </w:t>
      </w:r>
      <w:r>
        <w:rPr>
          <w:rFonts w:ascii="Arial" w:cs="Arial" w:eastAsia="Arial" w:hAnsi="Arial"/>
          <w:color w:val="B91C1C"/>
          <w:sz w:val="21"/>
          <w:szCs w:val="21"/>
        </w:rPr>
        <w:t xml:space="preserve">IMPORTANT 2024 Change: Malaysia now taxes foreign-sourced income remitted into Malaysia. Keep investment accounts OUTSIDE Malaysia (IBKR Singapore) and only remit what you need for living expenses. Speak to a Malaysian tax advisor on structuring.</w:t>
      </w:r>
    </w:p>
    <w:p>
      <w:r>
        <w:t xml:space="preserve"/>
      </w:r>
    </w:p>
    <w:p>
      <w:pPr>
        <w:pStyle w:val="Heading2"/>
        <w:pBdr>
          <w:bottom w:val="single" w:color="92400E" w:sz="4" w:space="4"/>
        </w:pBdr>
        <w:spacing w:after="120" w:before="240"/>
      </w:pPr>
      <w:r>
        <w:rPr>
          <w:rFonts w:ascii="Arial" w:cs="Arial" w:eastAsia="Arial" w:hAnsi="Arial"/>
          <w:b/>
          <w:bCs/>
          <w:color w:val="92400E"/>
          <w:sz w:val="30"/>
          <w:szCs w:val="30"/>
        </w:rPr>
        <w:t xml:space="preserve">4.3 US Withholding Tax (on ETFs)</w:t>
      </w:r>
    </w:p>
    <w:tbl>
      <w:tblPr>
        <w:tblW w:type="dxa" w:w="9360"/>
        <w:tblBorders>
          <w:top w:val="single" w:color="auto" w:sz="4"/>
          <w:left w:val="single" w:color="auto" w:sz="4"/>
          <w:bottom w:val="single" w:color="auto" w:sz="4"/>
          <w:right w:val="single" w:color="auto" w:sz="4"/>
          <w:insideH w:val="single" w:color="auto" w:sz="4"/>
          <w:insideV w:val="single" w:color="auto" w:sz="4"/>
        </w:tblBorders>
      </w:tblPr>
      <w:tblGrid>
        <w:gridCol w:w="3000"/>
        <w:gridCol w:w="2000"/>
        <w:gridCol w:w="4360"/>
      </w:tblGrid>
      <w:tr>
        <w:trPr>
          <w:tblHeader/>
        </w:trPr>
        <w:tc>
          <w:tcPr>
            <w:tcW w:type="dxa" w:w="3000"/>
            <w:tcBorders>
              <w:top w:val="single" w:color="D1D5DB" w:sz="1"/>
              <w:left w:val="single" w:color="D1D5DB" w:sz="1"/>
              <w:bottom w:val="single" w:color="D1D5DB" w:sz="1"/>
              <w:right w:val="single" w:color="D1D5DB" w:sz="1"/>
            </w:tcBorders>
            <w:shd w:fill="1E3A5F" w:val="clear"/>
            <w:tcMar>
              <w:top w:type="dxa" w:w="80"/>
              <w:left w:type="dxa" w:w="120"/>
              <w:bottom w:type="dxa" w:w="80"/>
              <w:right w:type="dxa" w:w="120"/>
            </w:tcMar>
            <w:vAlign w:val="center"/>
          </w:tcPr>
          <w:p>
            <w:pPr>
              <w:jc w:val="left"/>
            </w:pPr>
            <w:r>
              <w:rPr>
                <w:rFonts w:ascii="Arial" w:cs="Arial" w:eastAsia="Arial" w:hAnsi="Arial"/>
                <w:b/>
                <w:bCs/>
                <w:color w:val="FFFFFF"/>
                <w:sz w:val="20"/>
                <w:szCs w:val="20"/>
              </w:rPr>
              <w:t xml:space="preserve">Tax Event</w:t>
            </w:r>
          </w:p>
        </w:tc>
        <w:tc>
          <w:tcPr>
            <w:tcW w:type="dxa" w:w="2000"/>
            <w:tcBorders>
              <w:top w:val="single" w:color="D1D5DB" w:sz="1"/>
              <w:left w:val="single" w:color="D1D5DB" w:sz="1"/>
              <w:bottom w:val="single" w:color="D1D5DB" w:sz="1"/>
              <w:right w:val="single" w:color="D1D5DB" w:sz="1"/>
            </w:tcBorders>
            <w:shd w:fill="1E3A5F" w:val="clear"/>
            <w:tcMar>
              <w:top w:type="dxa" w:w="80"/>
              <w:left w:type="dxa" w:w="120"/>
              <w:bottom w:type="dxa" w:w="80"/>
              <w:right w:type="dxa" w:w="120"/>
            </w:tcMar>
            <w:vAlign w:val="center"/>
          </w:tcPr>
          <w:p>
            <w:pPr>
              <w:jc w:val="left"/>
            </w:pPr>
            <w:r>
              <w:rPr>
                <w:rFonts w:ascii="Arial" w:cs="Arial" w:eastAsia="Arial" w:hAnsi="Arial"/>
                <w:b/>
                <w:bCs/>
                <w:color w:val="FFFFFF"/>
                <w:sz w:val="20"/>
                <w:szCs w:val="20"/>
              </w:rPr>
              <w:t xml:space="preserve">Rate</w:t>
            </w:r>
          </w:p>
        </w:tc>
        <w:tc>
          <w:tcPr>
            <w:tcW w:type="dxa" w:w="4360"/>
            <w:tcBorders>
              <w:top w:val="single" w:color="D1D5DB" w:sz="1"/>
              <w:left w:val="single" w:color="D1D5DB" w:sz="1"/>
              <w:bottom w:val="single" w:color="D1D5DB" w:sz="1"/>
              <w:right w:val="single" w:color="D1D5DB" w:sz="1"/>
            </w:tcBorders>
            <w:shd w:fill="1E3A5F" w:val="clear"/>
            <w:tcMar>
              <w:top w:type="dxa" w:w="80"/>
              <w:left w:type="dxa" w:w="120"/>
              <w:bottom w:type="dxa" w:w="80"/>
              <w:right w:type="dxa" w:w="120"/>
            </w:tcMar>
            <w:vAlign w:val="center"/>
          </w:tcPr>
          <w:p>
            <w:pPr>
              <w:jc w:val="left"/>
            </w:pPr>
            <w:r>
              <w:rPr>
                <w:rFonts w:ascii="Arial" w:cs="Arial" w:eastAsia="Arial" w:hAnsi="Arial"/>
                <w:b/>
                <w:bCs/>
                <w:color w:val="FFFFFF"/>
                <w:sz w:val="20"/>
                <w:szCs w:val="20"/>
              </w:rPr>
              <w:t xml:space="preserve">Action Required</w:t>
            </w:r>
          </w:p>
        </w:tc>
      </w:tr>
      <w:tr>
        <w:tc>
          <w:tcPr>
            <w:tcW w:type="dxa" w:w="3000"/>
            <w:tcBorders>
              <w:top w:val="single" w:color="D1D5DB" w:sz="1"/>
              <w:left w:val="single" w:color="D1D5DB" w:sz="1"/>
              <w:bottom w:val="single" w:color="D1D5DB" w:sz="1"/>
              <w:right w:val="single" w:color="D1D5DB" w:sz="1"/>
            </w:tcBorders>
            <w:shd w:fill="F8FAFC" w:val="clear"/>
            <w:tcMar>
              <w:top w:type="dxa" w:w="80"/>
              <w:left w:type="dxa" w:w="120"/>
              <w:bottom w:type="dxa" w:w="80"/>
              <w:right w:type="dxa" w:w="120"/>
            </w:tcMar>
            <w:vAlign w:val="center"/>
          </w:tcPr>
          <w:p>
            <w:pPr>
              <w:jc w:val="left"/>
            </w:pPr>
            <w:r>
              <w:rPr>
                <w:rFonts w:ascii="Arial" w:cs="Arial" w:eastAsia="Arial" w:hAnsi="Arial"/>
                <w:b/>
                <w:bCs/>
                <w:color w:val="374151"/>
                <w:sz w:val="19"/>
                <w:szCs w:val="19"/>
              </w:rPr>
              <w:t xml:space="preserve">Dividend WHT on US ETFs (default)</w:t>
            </w:r>
          </w:p>
        </w:tc>
        <w:tc>
          <w:tcPr>
            <w:tcW w:type="dxa" w:w="2000"/>
            <w:tcBorders>
              <w:top w:val="single" w:color="D1D5DB" w:sz="1"/>
              <w:left w:val="single" w:color="D1D5DB" w:sz="1"/>
              <w:bottom w:val="single" w:color="D1D5DB" w:sz="1"/>
              <w:right w:val="single" w:color="D1D5DB" w:sz="1"/>
            </w:tcBorders>
            <w:shd w:fill="F8FAFC" w:val="clear"/>
            <w:tcMar>
              <w:top w:type="dxa" w:w="80"/>
              <w:left w:type="dxa" w:w="120"/>
              <w:bottom w:type="dxa" w:w="80"/>
              <w:right w:type="dxa" w:w="120"/>
            </w:tcMar>
            <w:vAlign w:val="center"/>
          </w:tcPr>
          <w:p>
            <w:pPr>
              <w:jc w:val="left"/>
            </w:pPr>
            <w:r>
              <w:rPr>
                <w:rFonts w:ascii="Arial" w:cs="Arial" w:eastAsia="Arial" w:hAnsi="Arial"/>
                <w:b w:val="false"/>
                <w:bCs w:val="false"/>
                <w:color w:val="374151"/>
                <w:sz w:val="19"/>
                <w:szCs w:val="19"/>
              </w:rPr>
              <w:t xml:space="preserve">30% withheld</w:t>
            </w:r>
          </w:p>
        </w:tc>
        <w:tc>
          <w:tcPr>
            <w:tcW w:type="dxa" w:w="4360"/>
            <w:tcBorders>
              <w:top w:val="single" w:color="D1D5DB" w:sz="1"/>
              <w:left w:val="single" w:color="D1D5DB" w:sz="1"/>
              <w:bottom w:val="single" w:color="D1D5DB" w:sz="1"/>
              <w:right w:val="single" w:color="D1D5DB" w:sz="1"/>
            </w:tcBorders>
            <w:shd w:fill="F8FAFC" w:val="clear"/>
            <w:tcMar>
              <w:top w:type="dxa" w:w="80"/>
              <w:left w:type="dxa" w:w="120"/>
              <w:bottom w:type="dxa" w:w="80"/>
              <w:right w:type="dxa" w:w="120"/>
            </w:tcMar>
            <w:vAlign w:val="center"/>
          </w:tcPr>
          <w:p>
            <w:pPr>
              <w:jc w:val="left"/>
            </w:pPr>
            <w:r>
              <w:rPr>
                <w:rFonts w:ascii="Arial" w:cs="Arial" w:eastAsia="Arial" w:hAnsi="Arial"/>
                <w:b w:val="false"/>
                <w:bCs w:val="false"/>
                <w:color w:val="374151"/>
                <w:sz w:val="19"/>
                <w:szCs w:val="19"/>
              </w:rPr>
              <w:t xml:space="preserve">File W-8BEN immediately with your broker</w:t>
            </w:r>
          </w:p>
        </w:tc>
      </w:tr>
      <w:tr>
        <w:tc>
          <w:tcPr>
            <w:tcW w:type="dxa" w:w="3000"/>
            <w:tcBorders>
              <w:top w:val="single" w:color="D1D5DB" w:sz="1"/>
              <w:left w:val="single" w:color="D1D5DB" w:sz="1"/>
              <w:bottom w:val="single" w:color="D1D5DB" w:sz="1"/>
              <w:right w:val="single" w:color="D1D5DB" w:sz="1"/>
            </w:tcBorders>
            <w:shd w:fill="FFFFFF" w:val="clear"/>
            <w:tcMar>
              <w:top w:type="dxa" w:w="80"/>
              <w:left w:type="dxa" w:w="120"/>
              <w:bottom w:type="dxa" w:w="80"/>
              <w:right w:type="dxa" w:w="120"/>
            </w:tcMar>
            <w:vAlign w:val="center"/>
          </w:tcPr>
          <w:p>
            <w:pPr>
              <w:jc w:val="left"/>
            </w:pPr>
            <w:r>
              <w:rPr>
                <w:rFonts w:ascii="Arial" w:cs="Arial" w:eastAsia="Arial" w:hAnsi="Arial"/>
                <w:b/>
                <w:bCs/>
                <w:color w:val="374151"/>
                <w:sz w:val="19"/>
                <w:szCs w:val="19"/>
              </w:rPr>
              <w:t xml:space="preserve">Under MY-US Tax Treaty (W-8BEN filed)</w:t>
            </w:r>
          </w:p>
        </w:tc>
        <w:tc>
          <w:tcPr>
            <w:tcW w:type="dxa" w:w="2000"/>
            <w:tcBorders>
              <w:top w:val="single" w:color="D1D5DB" w:sz="1"/>
              <w:left w:val="single" w:color="D1D5DB" w:sz="1"/>
              <w:bottom w:val="single" w:color="D1D5DB" w:sz="1"/>
              <w:right w:val="single" w:color="D1D5DB" w:sz="1"/>
            </w:tcBorders>
            <w:shd w:fill="FFFFFF" w:val="clear"/>
            <w:tcMar>
              <w:top w:type="dxa" w:w="80"/>
              <w:left w:type="dxa" w:w="120"/>
              <w:bottom w:type="dxa" w:w="80"/>
              <w:right w:type="dxa" w:w="120"/>
            </w:tcMar>
            <w:vAlign w:val="center"/>
          </w:tcPr>
          <w:p>
            <w:pPr>
              <w:jc w:val="left"/>
            </w:pPr>
            <w:r>
              <w:rPr>
                <w:rFonts w:ascii="Arial" w:cs="Arial" w:eastAsia="Arial" w:hAnsi="Arial"/>
                <w:b w:val="false"/>
                <w:bCs w:val="false"/>
                <w:color w:val="374151"/>
                <w:sz w:val="19"/>
                <w:szCs w:val="19"/>
              </w:rPr>
              <w:t xml:space="preserve">15% reduced</w:t>
            </w:r>
          </w:p>
        </w:tc>
        <w:tc>
          <w:tcPr>
            <w:tcW w:type="dxa" w:w="4360"/>
            <w:tcBorders>
              <w:top w:val="single" w:color="D1D5DB" w:sz="1"/>
              <w:left w:val="single" w:color="D1D5DB" w:sz="1"/>
              <w:bottom w:val="single" w:color="D1D5DB" w:sz="1"/>
              <w:right w:val="single" w:color="D1D5DB" w:sz="1"/>
            </w:tcBorders>
            <w:shd w:fill="FFFFFF" w:val="clear"/>
            <w:tcMar>
              <w:top w:type="dxa" w:w="80"/>
              <w:left w:type="dxa" w:w="120"/>
              <w:bottom w:type="dxa" w:w="80"/>
              <w:right w:type="dxa" w:w="120"/>
            </w:tcMar>
            <w:vAlign w:val="center"/>
          </w:tcPr>
          <w:p>
            <w:pPr>
              <w:jc w:val="left"/>
            </w:pPr>
            <w:r>
              <w:rPr>
                <w:rFonts w:ascii="Arial" w:cs="Arial" w:eastAsia="Arial" w:hAnsi="Arial"/>
                <w:b w:val="false"/>
                <w:bCs w:val="false"/>
                <w:color w:val="374151"/>
                <w:sz w:val="19"/>
                <w:szCs w:val="19"/>
              </w:rPr>
              <w:t xml:space="preserve">5 minutes to file. Saves ~$180 over 5 years.</w:t>
            </w:r>
          </w:p>
        </w:tc>
      </w:tr>
      <w:tr>
        <w:tc>
          <w:tcPr>
            <w:tcW w:type="dxa" w:w="3000"/>
            <w:tcBorders>
              <w:top w:val="single" w:color="D1D5DB" w:sz="1"/>
              <w:left w:val="single" w:color="D1D5DB" w:sz="1"/>
              <w:bottom w:val="single" w:color="D1D5DB" w:sz="1"/>
              <w:right w:val="single" w:color="D1D5DB" w:sz="1"/>
            </w:tcBorders>
            <w:shd w:fill="F8FAFC" w:val="clear"/>
            <w:tcMar>
              <w:top w:type="dxa" w:w="80"/>
              <w:left w:type="dxa" w:w="120"/>
              <w:bottom w:type="dxa" w:w="80"/>
              <w:right w:type="dxa" w:w="120"/>
            </w:tcMar>
            <w:vAlign w:val="center"/>
          </w:tcPr>
          <w:p>
            <w:pPr>
              <w:jc w:val="left"/>
            </w:pPr>
            <w:r>
              <w:rPr>
                <w:rFonts w:ascii="Arial" w:cs="Arial" w:eastAsia="Arial" w:hAnsi="Arial"/>
                <w:b/>
                <w:bCs/>
                <w:color w:val="374151"/>
                <w:sz w:val="19"/>
                <w:szCs w:val="19"/>
              </w:rPr>
              <w:t xml:space="preserve">Capital Gains on US stocks/ETFs</w:t>
            </w:r>
          </w:p>
        </w:tc>
        <w:tc>
          <w:tcPr>
            <w:tcW w:type="dxa" w:w="2000"/>
            <w:tcBorders>
              <w:top w:val="single" w:color="D1D5DB" w:sz="1"/>
              <w:left w:val="single" w:color="D1D5DB" w:sz="1"/>
              <w:bottom w:val="single" w:color="D1D5DB" w:sz="1"/>
              <w:right w:val="single" w:color="D1D5DB" w:sz="1"/>
            </w:tcBorders>
            <w:shd w:fill="F8FAFC" w:val="clear"/>
            <w:tcMar>
              <w:top w:type="dxa" w:w="80"/>
              <w:left w:type="dxa" w:w="120"/>
              <w:bottom w:type="dxa" w:w="80"/>
              <w:right w:type="dxa" w:w="120"/>
            </w:tcMar>
            <w:vAlign w:val="center"/>
          </w:tcPr>
          <w:p>
            <w:pPr>
              <w:jc w:val="left"/>
            </w:pPr>
            <w:r>
              <w:rPr>
                <w:rFonts w:ascii="Arial" w:cs="Arial" w:eastAsia="Arial" w:hAnsi="Arial"/>
                <w:b w:val="false"/>
                <w:bCs w:val="false"/>
                <w:color w:val="374151"/>
                <w:sz w:val="19"/>
                <w:szCs w:val="19"/>
              </w:rPr>
              <w:t xml:space="preserve">0% for non-US residents</w:t>
            </w:r>
          </w:p>
        </w:tc>
        <w:tc>
          <w:tcPr>
            <w:tcW w:type="dxa" w:w="4360"/>
            <w:tcBorders>
              <w:top w:val="single" w:color="D1D5DB" w:sz="1"/>
              <w:left w:val="single" w:color="D1D5DB" w:sz="1"/>
              <w:bottom w:val="single" w:color="D1D5DB" w:sz="1"/>
              <w:right w:val="single" w:color="D1D5DB" w:sz="1"/>
            </w:tcBorders>
            <w:shd w:fill="F8FAFC" w:val="clear"/>
            <w:tcMar>
              <w:top w:type="dxa" w:w="80"/>
              <w:left w:type="dxa" w:w="120"/>
              <w:bottom w:type="dxa" w:w="80"/>
              <w:right w:type="dxa" w:w="120"/>
            </w:tcMar>
            <w:vAlign w:val="center"/>
          </w:tcPr>
          <w:p>
            <w:pPr>
              <w:jc w:val="left"/>
            </w:pPr>
            <w:r>
              <w:rPr>
                <w:rFonts w:ascii="Arial" w:cs="Arial" w:eastAsia="Arial" w:hAnsi="Arial"/>
                <w:b w:val="false"/>
                <w:bCs w:val="false"/>
                <w:color w:val="374151"/>
                <w:sz w:val="19"/>
                <w:szCs w:val="19"/>
              </w:rPr>
              <w:t xml:space="preserve">No action needed — you benefit automatically</w:t>
            </w:r>
          </w:p>
        </w:tc>
      </w:tr>
      <w:tr>
        <w:tc>
          <w:tcPr>
            <w:tcW w:type="dxa" w:w="3000"/>
            <w:tcBorders>
              <w:top w:val="single" w:color="D1D5DB" w:sz="1"/>
              <w:left w:val="single" w:color="D1D5DB" w:sz="1"/>
              <w:bottom w:val="single" w:color="D1D5DB" w:sz="1"/>
              <w:right w:val="single" w:color="D1D5DB" w:sz="1"/>
            </w:tcBorders>
            <w:shd w:fill="FFFFFF" w:val="clear"/>
            <w:tcMar>
              <w:top w:type="dxa" w:w="80"/>
              <w:left w:type="dxa" w:w="120"/>
              <w:bottom w:type="dxa" w:w="80"/>
              <w:right w:type="dxa" w:w="120"/>
            </w:tcMar>
            <w:vAlign w:val="center"/>
          </w:tcPr>
          <w:p>
            <w:pPr>
              <w:jc w:val="left"/>
            </w:pPr>
            <w:r>
              <w:rPr>
                <w:rFonts w:ascii="Arial" w:cs="Arial" w:eastAsia="Arial" w:hAnsi="Arial"/>
                <w:b/>
                <w:bCs/>
                <w:color w:val="374151"/>
                <w:sz w:val="19"/>
                <w:szCs w:val="19"/>
              </w:rPr>
              <w:t xml:space="preserve">US Estate Tax (assets &gt;$60K)</w:t>
            </w:r>
          </w:p>
        </w:tc>
        <w:tc>
          <w:tcPr>
            <w:tcW w:type="dxa" w:w="2000"/>
            <w:tcBorders>
              <w:top w:val="single" w:color="D1D5DB" w:sz="1"/>
              <w:left w:val="single" w:color="D1D5DB" w:sz="1"/>
              <w:bottom w:val="single" w:color="D1D5DB" w:sz="1"/>
              <w:right w:val="single" w:color="D1D5DB" w:sz="1"/>
            </w:tcBorders>
            <w:shd w:fill="FFFFFF" w:val="clear"/>
            <w:tcMar>
              <w:top w:type="dxa" w:w="80"/>
              <w:left w:type="dxa" w:w="120"/>
              <w:bottom w:type="dxa" w:w="80"/>
              <w:right w:type="dxa" w:w="120"/>
            </w:tcMar>
            <w:vAlign w:val="center"/>
          </w:tcPr>
          <w:p>
            <w:pPr>
              <w:jc w:val="left"/>
            </w:pPr>
            <w:r>
              <w:rPr>
                <w:rFonts w:ascii="Arial" w:cs="Arial" w:eastAsia="Arial" w:hAnsi="Arial"/>
                <w:b w:val="false"/>
                <w:bCs w:val="false"/>
                <w:color w:val="374151"/>
                <w:sz w:val="19"/>
                <w:szCs w:val="19"/>
              </w:rPr>
              <w:t xml:space="preserve">Up to 40%</w:t>
            </w:r>
          </w:p>
        </w:tc>
        <w:tc>
          <w:tcPr>
            <w:tcW w:type="dxa" w:w="4360"/>
            <w:tcBorders>
              <w:top w:val="single" w:color="D1D5DB" w:sz="1"/>
              <w:left w:val="single" w:color="D1D5DB" w:sz="1"/>
              <w:bottom w:val="single" w:color="D1D5DB" w:sz="1"/>
              <w:right w:val="single" w:color="D1D5DB" w:sz="1"/>
            </w:tcBorders>
            <w:shd w:fill="FFFFFF" w:val="clear"/>
            <w:tcMar>
              <w:top w:type="dxa" w:w="80"/>
              <w:left w:type="dxa" w:w="120"/>
              <w:bottom w:type="dxa" w:w="80"/>
              <w:right w:type="dxa" w:w="120"/>
            </w:tcMar>
            <w:vAlign w:val="center"/>
          </w:tcPr>
          <w:p>
            <w:pPr>
              <w:jc w:val="left"/>
            </w:pPr>
            <w:r>
              <w:rPr>
                <w:rFonts w:ascii="Arial" w:cs="Arial" w:eastAsia="Arial" w:hAnsi="Arial"/>
                <w:b w:val="false"/>
                <w:bCs w:val="false"/>
                <w:color w:val="374151"/>
                <w:sz w:val="19"/>
                <w:szCs w:val="19"/>
              </w:rPr>
              <w:t xml:space="preserve">Switch to Ireland-domiciled ETFs (VUAA/CSPX) at &gt;$60K</w:t>
            </w:r>
          </w:p>
        </w:tc>
      </w:tr>
    </w:tbl>
    <w:p>
      <w:r>
        <w:t xml:space="preserve"/>
      </w:r>
    </w:p>
    <w:p>
      <w:pPr>
        <w:shd w:fill="FFF1F2" w:val="clear"/>
        <w:spacing w:after="100" w:before="100"/>
        <w:ind w:left="360" w:right="360"/>
      </w:pPr>
      <w:r>
        <w:rPr>
          <w:rFonts w:ascii="Arial" w:cs="Arial" w:eastAsia="Arial" w:hAnsi="Arial"/>
          <w:b/>
          <w:bCs/>
          <w:color w:val="B91C1C"/>
          <w:sz w:val="22"/>
          <w:szCs w:val="22"/>
        </w:rPr>
        <w:t xml:space="preserve">ESTATE TAX RISK  </w:t>
      </w:r>
      <w:r>
        <w:rPr>
          <w:rFonts w:ascii="Arial" w:cs="Arial" w:eastAsia="Arial" w:hAnsi="Arial"/>
          <w:color w:val="B91C1C"/>
          <w:sz w:val="21"/>
          <w:szCs w:val="21"/>
        </w:rPr>
        <w:t xml:space="preserve">CRITICAL: Once your US-domiciled portfolio (VOO, QQQ, SOXX) exceeds $60,000, switch to Ireland-domiciled equivalents (VUAA = VOO equivalent; CSPX = S&amp;P 500; EQQQ = QQQ) on the London Stock Exchange. Same exposure, zero US estate tax exposure.</w:t>
      </w:r>
    </w:p>
    <w:p>
      <w:r>
        <w:t xml:space="preserve"/>
      </w:r>
    </w:p>
    <w:p>
      <w:pPr>
        <w:pStyle w:val="Heading2"/>
        <w:pBdr>
          <w:bottom w:val="single" w:color="C9A84C" w:sz="4" w:space="4"/>
        </w:pBdr>
        <w:spacing w:after="120" w:before="240"/>
      </w:pPr>
      <w:r>
        <w:rPr>
          <w:rFonts w:ascii="Arial" w:cs="Arial" w:eastAsia="Arial" w:hAnsi="Arial"/>
          <w:b/>
          <w:bCs/>
          <w:color w:val="0A0F1E"/>
          <w:sz w:val="30"/>
          <w:szCs w:val="30"/>
        </w:rPr>
        <w:t xml:space="preserve">4.4 Wealth Leaks — Quantified</w:t>
      </w:r>
    </w:p>
    <w:tbl>
      <w:tblPr>
        <w:tblW w:type="dxa" w:w="9360"/>
        <w:tblBorders>
          <w:top w:val="single" w:color="auto" w:sz="4"/>
          <w:left w:val="single" w:color="auto" w:sz="4"/>
          <w:bottom w:val="single" w:color="auto" w:sz="4"/>
          <w:right w:val="single" w:color="auto" w:sz="4"/>
          <w:insideH w:val="single" w:color="auto" w:sz="4"/>
          <w:insideV w:val="single" w:color="auto" w:sz="4"/>
        </w:tblBorders>
      </w:tblPr>
      <w:tblGrid>
        <w:gridCol w:w="3000"/>
        <w:gridCol w:w="1500"/>
        <w:gridCol w:w="1500"/>
        <w:gridCol w:w="3360"/>
      </w:tblGrid>
      <w:tr>
        <w:trPr>
          <w:tblHeader/>
        </w:trPr>
        <w:tc>
          <w:tcPr>
            <w:tcW w:type="dxa" w:w="3000"/>
            <w:tcBorders>
              <w:top w:val="single" w:color="D1D5DB" w:sz="1"/>
              <w:left w:val="single" w:color="D1D5DB" w:sz="1"/>
              <w:bottom w:val="single" w:color="D1D5DB" w:sz="1"/>
              <w:right w:val="single" w:color="D1D5DB" w:sz="1"/>
            </w:tcBorders>
            <w:shd w:fill="1E3A5F" w:val="clear"/>
            <w:tcMar>
              <w:top w:type="dxa" w:w="80"/>
              <w:left w:type="dxa" w:w="120"/>
              <w:bottom w:type="dxa" w:w="80"/>
              <w:right w:type="dxa" w:w="120"/>
            </w:tcMar>
            <w:vAlign w:val="center"/>
          </w:tcPr>
          <w:p>
            <w:pPr>
              <w:jc w:val="left"/>
            </w:pPr>
            <w:r>
              <w:rPr>
                <w:rFonts w:ascii="Arial" w:cs="Arial" w:eastAsia="Arial" w:hAnsi="Arial"/>
                <w:b/>
                <w:bCs/>
                <w:color w:val="FFFFFF"/>
                <w:sz w:val="20"/>
                <w:szCs w:val="20"/>
              </w:rPr>
              <w:t xml:space="preserve">Leak Source</w:t>
            </w:r>
          </w:p>
        </w:tc>
        <w:tc>
          <w:tcPr>
            <w:tcW w:type="dxa" w:w="1500"/>
            <w:tcBorders>
              <w:top w:val="single" w:color="D1D5DB" w:sz="1"/>
              <w:left w:val="single" w:color="D1D5DB" w:sz="1"/>
              <w:bottom w:val="single" w:color="D1D5DB" w:sz="1"/>
              <w:right w:val="single" w:color="D1D5DB" w:sz="1"/>
            </w:tcBorders>
            <w:shd w:fill="1E3A5F" w:val="clear"/>
            <w:tcMar>
              <w:top w:type="dxa" w:w="80"/>
              <w:left w:type="dxa" w:w="120"/>
              <w:bottom w:type="dxa" w:w="80"/>
              <w:right w:type="dxa" w:w="120"/>
            </w:tcMar>
            <w:vAlign w:val="center"/>
          </w:tcPr>
          <w:p>
            <w:pPr>
              <w:jc w:val="left"/>
            </w:pPr>
            <w:r>
              <w:rPr>
                <w:rFonts w:ascii="Arial" w:cs="Arial" w:eastAsia="Arial" w:hAnsi="Arial"/>
                <w:b/>
                <w:bCs/>
                <w:color w:val="FFFFFF"/>
                <w:sz w:val="20"/>
                <w:szCs w:val="20"/>
              </w:rPr>
              <w:t xml:space="preserve">Annual Drag</w:t>
            </w:r>
          </w:p>
        </w:tc>
        <w:tc>
          <w:tcPr>
            <w:tcW w:type="dxa" w:w="1500"/>
            <w:tcBorders>
              <w:top w:val="single" w:color="D1D5DB" w:sz="1"/>
              <w:left w:val="single" w:color="D1D5DB" w:sz="1"/>
              <w:bottom w:val="single" w:color="D1D5DB" w:sz="1"/>
              <w:right w:val="single" w:color="D1D5DB" w:sz="1"/>
            </w:tcBorders>
            <w:shd w:fill="1E3A5F" w:val="clear"/>
            <w:tcMar>
              <w:top w:type="dxa" w:w="80"/>
              <w:left w:type="dxa" w:w="120"/>
              <w:bottom w:type="dxa" w:w="80"/>
              <w:right w:type="dxa" w:w="120"/>
            </w:tcMar>
            <w:vAlign w:val="center"/>
          </w:tcPr>
          <w:p>
            <w:pPr>
              <w:jc w:val="left"/>
            </w:pPr>
            <w:r>
              <w:rPr>
                <w:rFonts w:ascii="Arial" w:cs="Arial" w:eastAsia="Arial" w:hAnsi="Arial"/>
                <w:b/>
                <w:bCs/>
                <w:color w:val="FFFFFF"/>
                <w:sz w:val="20"/>
                <w:szCs w:val="20"/>
              </w:rPr>
              <w:t xml:space="preserve">5-Year Cost</w:t>
            </w:r>
          </w:p>
        </w:tc>
        <w:tc>
          <w:tcPr>
            <w:tcW w:type="dxa" w:w="3360"/>
            <w:tcBorders>
              <w:top w:val="single" w:color="D1D5DB" w:sz="1"/>
              <w:left w:val="single" w:color="D1D5DB" w:sz="1"/>
              <w:bottom w:val="single" w:color="D1D5DB" w:sz="1"/>
              <w:right w:val="single" w:color="D1D5DB" w:sz="1"/>
            </w:tcBorders>
            <w:shd w:fill="1E3A5F" w:val="clear"/>
            <w:tcMar>
              <w:top w:type="dxa" w:w="80"/>
              <w:left w:type="dxa" w:w="120"/>
              <w:bottom w:type="dxa" w:w="80"/>
              <w:right w:type="dxa" w:w="120"/>
            </w:tcMar>
            <w:vAlign w:val="center"/>
          </w:tcPr>
          <w:p>
            <w:pPr>
              <w:jc w:val="left"/>
            </w:pPr>
            <w:r>
              <w:rPr>
                <w:rFonts w:ascii="Arial" w:cs="Arial" w:eastAsia="Arial" w:hAnsi="Arial"/>
                <w:b/>
                <w:bCs/>
                <w:color w:val="FFFFFF"/>
                <w:sz w:val="20"/>
                <w:szCs w:val="20"/>
              </w:rPr>
              <w:t xml:space="preserve">Fix</w:t>
            </w:r>
          </w:p>
        </w:tc>
      </w:tr>
      <w:tr>
        <w:tc>
          <w:tcPr>
            <w:tcW w:type="dxa" w:w="3000"/>
            <w:tcBorders>
              <w:top w:val="single" w:color="D1D5DB" w:sz="1"/>
              <w:left w:val="single" w:color="D1D5DB" w:sz="1"/>
              <w:bottom w:val="single" w:color="D1D5DB" w:sz="1"/>
              <w:right w:val="single" w:color="D1D5DB" w:sz="1"/>
            </w:tcBorders>
            <w:shd w:fill="F8FAFC" w:val="clear"/>
            <w:tcMar>
              <w:top w:type="dxa" w:w="80"/>
              <w:left w:type="dxa" w:w="120"/>
              <w:bottom w:type="dxa" w:w="80"/>
              <w:right w:type="dxa" w:w="120"/>
            </w:tcMar>
            <w:vAlign w:val="center"/>
          </w:tcPr>
          <w:p>
            <w:pPr>
              <w:jc w:val="left"/>
            </w:pPr>
            <w:r>
              <w:rPr>
                <w:rFonts w:ascii="Arial" w:cs="Arial" w:eastAsia="Arial" w:hAnsi="Arial"/>
                <w:b/>
                <w:bCs/>
                <w:color w:val="374151"/>
                <w:sz w:val="19"/>
                <w:szCs w:val="19"/>
              </w:rPr>
              <w:t xml:space="preserve">US Dividend WHT (30% vs 15%)</w:t>
            </w:r>
          </w:p>
        </w:tc>
        <w:tc>
          <w:tcPr>
            <w:tcW w:type="dxa" w:w="1500"/>
            <w:tcBorders>
              <w:top w:val="single" w:color="D1D5DB" w:sz="1"/>
              <w:left w:val="single" w:color="D1D5DB" w:sz="1"/>
              <w:bottom w:val="single" w:color="D1D5DB" w:sz="1"/>
              <w:right w:val="single" w:color="D1D5DB" w:sz="1"/>
            </w:tcBorders>
            <w:shd w:fill="F8FAFC" w:val="clear"/>
            <w:tcMar>
              <w:top w:type="dxa" w:w="80"/>
              <w:left w:type="dxa" w:w="120"/>
              <w:bottom w:type="dxa" w:w="80"/>
              <w:right w:type="dxa" w:w="120"/>
            </w:tcMar>
            <w:vAlign w:val="center"/>
          </w:tcPr>
          <w:p>
            <w:pPr>
              <w:jc w:val="left"/>
            </w:pPr>
            <w:r>
              <w:rPr>
                <w:rFonts w:ascii="Arial" w:cs="Arial" w:eastAsia="Arial" w:hAnsi="Arial"/>
                <w:b w:val="false"/>
                <w:bCs w:val="false"/>
                <w:color w:val="B91C1C"/>
                <w:sz w:val="19"/>
                <w:szCs w:val="19"/>
              </w:rPr>
              <w:t xml:space="preserve">~0.3%</w:t>
            </w:r>
          </w:p>
        </w:tc>
        <w:tc>
          <w:tcPr>
            <w:tcW w:type="dxa" w:w="1500"/>
            <w:tcBorders>
              <w:top w:val="single" w:color="D1D5DB" w:sz="1"/>
              <w:left w:val="single" w:color="D1D5DB" w:sz="1"/>
              <w:bottom w:val="single" w:color="D1D5DB" w:sz="1"/>
              <w:right w:val="single" w:color="D1D5DB" w:sz="1"/>
            </w:tcBorders>
            <w:shd w:fill="F8FAFC" w:val="clear"/>
            <w:tcMar>
              <w:top w:type="dxa" w:w="80"/>
              <w:left w:type="dxa" w:w="120"/>
              <w:bottom w:type="dxa" w:w="80"/>
              <w:right w:type="dxa" w:w="120"/>
            </w:tcMar>
            <w:vAlign w:val="center"/>
          </w:tcPr>
          <w:p>
            <w:pPr>
              <w:jc w:val="left"/>
            </w:pPr>
            <w:r>
              <w:rPr>
                <w:rFonts w:ascii="Arial" w:cs="Arial" w:eastAsia="Arial" w:hAnsi="Arial"/>
                <w:b w:val="false"/>
                <w:bCs w:val="false"/>
                <w:color w:val="B91C1C"/>
                <w:sz w:val="19"/>
                <w:szCs w:val="19"/>
              </w:rPr>
              <w:t xml:space="preserve">~$180</w:t>
            </w:r>
          </w:p>
        </w:tc>
        <w:tc>
          <w:tcPr>
            <w:tcW w:type="dxa" w:w="3360"/>
            <w:tcBorders>
              <w:top w:val="single" w:color="D1D5DB" w:sz="1"/>
              <w:left w:val="single" w:color="D1D5DB" w:sz="1"/>
              <w:bottom w:val="single" w:color="D1D5DB" w:sz="1"/>
              <w:right w:val="single" w:color="D1D5DB" w:sz="1"/>
            </w:tcBorders>
            <w:shd w:fill="F8FAFC" w:val="clear"/>
            <w:tcMar>
              <w:top w:type="dxa" w:w="80"/>
              <w:left w:type="dxa" w:w="120"/>
              <w:bottom w:type="dxa" w:w="80"/>
              <w:right w:type="dxa" w:w="120"/>
            </w:tcMar>
            <w:vAlign w:val="center"/>
          </w:tcPr>
          <w:p>
            <w:pPr>
              <w:jc w:val="left"/>
            </w:pPr>
            <w:r>
              <w:rPr>
                <w:rFonts w:ascii="Arial" w:cs="Arial" w:eastAsia="Arial" w:hAnsi="Arial"/>
                <w:b w:val="false"/>
                <w:bCs w:val="false"/>
                <w:color w:val="0D6E4A"/>
                <w:sz w:val="19"/>
                <w:szCs w:val="19"/>
              </w:rPr>
              <w:t xml:space="preserve">File W-8BEN with broker</w:t>
            </w:r>
          </w:p>
        </w:tc>
      </w:tr>
      <w:tr>
        <w:tc>
          <w:tcPr>
            <w:tcW w:type="dxa" w:w="3000"/>
            <w:tcBorders>
              <w:top w:val="single" w:color="D1D5DB" w:sz="1"/>
              <w:left w:val="single" w:color="D1D5DB" w:sz="1"/>
              <w:bottom w:val="single" w:color="D1D5DB" w:sz="1"/>
              <w:right w:val="single" w:color="D1D5DB" w:sz="1"/>
            </w:tcBorders>
            <w:shd w:fill="FFFFFF" w:val="clear"/>
            <w:tcMar>
              <w:top w:type="dxa" w:w="80"/>
              <w:left w:type="dxa" w:w="120"/>
              <w:bottom w:type="dxa" w:w="80"/>
              <w:right w:type="dxa" w:w="120"/>
            </w:tcMar>
            <w:vAlign w:val="center"/>
          </w:tcPr>
          <w:p>
            <w:pPr>
              <w:jc w:val="left"/>
            </w:pPr>
            <w:r>
              <w:rPr>
                <w:rFonts w:ascii="Arial" w:cs="Arial" w:eastAsia="Arial" w:hAnsi="Arial"/>
                <w:b/>
                <w:bCs/>
                <w:color w:val="374151"/>
                <w:sz w:val="19"/>
                <w:szCs w:val="19"/>
              </w:rPr>
              <w:t xml:space="preserve">India LTCG (12.5% on gains)</w:t>
            </w:r>
          </w:p>
        </w:tc>
        <w:tc>
          <w:tcPr>
            <w:tcW w:type="dxa" w:w="1500"/>
            <w:tcBorders>
              <w:top w:val="single" w:color="D1D5DB" w:sz="1"/>
              <w:left w:val="single" w:color="D1D5DB" w:sz="1"/>
              <w:bottom w:val="single" w:color="D1D5DB" w:sz="1"/>
              <w:right w:val="single" w:color="D1D5DB" w:sz="1"/>
            </w:tcBorders>
            <w:shd w:fill="FFFFFF" w:val="clear"/>
            <w:tcMar>
              <w:top w:type="dxa" w:w="80"/>
              <w:left w:type="dxa" w:w="120"/>
              <w:bottom w:type="dxa" w:w="80"/>
              <w:right w:type="dxa" w:w="120"/>
            </w:tcMar>
            <w:vAlign w:val="center"/>
          </w:tcPr>
          <w:p>
            <w:pPr>
              <w:jc w:val="left"/>
            </w:pPr>
            <w:r>
              <w:rPr>
                <w:rFonts w:ascii="Arial" w:cs="Arial" w:eastAsia="Arial" w:hAnsi="Arial"/>
                <w:b w:val="false"/>
                <w:bCs w:val="false"/>
                <w:color w:val="B91C1C"/>
                <w:sz w:val="19"/>
                <w:szCs w:val="19"/>
              </w:rPr>
              <w:t xml:space="preserve">~0.8–1.2%</w:t>
            </w:r>
          </w:p>
        </w:tc>
        <w:tc>
          <w:tcPr>
            <w:tcW w:type="dxa" w:w="1500"/>
            <w:tcBorders>
              <w:top w:val="single" w:color="D1D5DB" w:sz="1"/>
              <w:left w:val="single" w:color="D1D5DB" w:sz="1"/>
              <w:bottom w:val="single" w:color="D1D5DB" w:sz="1"/>
              <w:right w:val="single" w:color="D1D5DB" w:sz="1"/>
            </w:tcBorders>
            <w:shd w:fill="FFFFFF" w:val="clear"/>
            <w:tcMar>
              <w:top w:type="dxa" w:w="80"/>
              <w:left w:type="dxa" w:w="120"/>
              <w:bottom w:type="dxa" w:w="80"/>
              <w:right w:type="dxa" w:w="120"/>
            </w:tcMar>
            <w:vAlign w:val="center"/>
          </w:tcPr>
          <w:p>
            <w:pPr>
              <w:jc w:val="left"/>
            </w:pPr>
            <w:r>
              <w:rPr>
                <w:rFonts w:ascii="Arial" w:cs="Arial" w:eastAsia="Arial" w:hAnsi="Arial"/>
                <w:b w:val="false"/>
                <w:bCs w:val="false"/>
                <w:color w:val="B91C1C"/>
                <w:sz w:val="19"/>
                <w:szCs w:val="19"/>
              </w:rPr>
              <w:t xml:space="preserve">~$500–800</w:t>
            </w:r>
          </w:p>
        </w:tc>
        <w:tc>
          <w:tcPr>
            <w:tcW w:type="dxa" w:w="3360"/>
            <w:tcBorders>
              <w:top w:val="single" w:color="D1D5DB" w:sz="1"/>
              <w:left w:val="single" w:color="D1D5DB" w:sz="1"/>
              <w:bottom w:val="single" w:color="D1D5DB" w:sz="1"/>
              <w:right w:val="single" w:color="D1D5DB" w:sz="1"/>
            </w:tcBorders>
            <w:shd w:fill="FFFFFF" w:val="clear"/>
            <w:tcMar>
              <w:top w:type="dxa" w:w="80"/>
              <w:left w:type="dxa" w:w="120"/>
              <w:bottom w:type="dxa" w:w="80"/>
              <w:right w:type="dxa" w:w="120"/>
            </w:tcMar>
            <w:vAlign w:val="center"/>
          </w:tcPr>
          <w:p>
            <w:pPr>
              <w:jc w:val="left"/>
            </w:pPr>
            <w:r>
              <w:rPr>
                <w:rFonts w:ascii="Arial" w:cs="Arial" w:eastAsia="Arial" w:hAnsi="Arial"/>
                <w:b w:val="false"/>
                <w:bCs w:val="false"/>
                <w:color w:val="0D6E4A"/>
                <w:sz w:val="19"/>
                <w:szCs w:val="19"/>
              </w:rPr>
              <w:t xml:space="preserve">NRE Demat, hold &gt;12 months</w:t>
            </w:r>
          </w:p>
        </w:tc>
      </w:tr>
      <w:tr>
        <w:tc>
          <w:tcPr>
            <w:tcW w:type="dxa" w:w="3000"/>
            <w:tcBorders>
              <w:top w:val="single" w:color="D1D5DB" w:sz="1"/>
              <w:left w:val="single" w:color="D1D5DB" w:sz="1"/>
              <w:bottom w:val="single" w:color="D1D5DB" w:sz="1"/>
              <w:right w:val="single" w:color="D1D5DB" w:sz="1"/>
            </w:tcBorders>
            <w:shd w:fill="F8FAFC" w:val="clear"/>
            <w:tcMar>
              <w:top w:type="dxa" w:w="80"/>
              <w:left w:type="dxa" w:w="120"/>
              <w:bottom w:type="dxa" w:w="80"/>
              <w:right w:type="dxa" w:w="120"/>
            </w:tcMar>
            <w:vAlign w:val="center"/>
          </w:tcPr>
          <w:p>
            <w:pPr>
              <w:jc w:val="left"/>
            </w:pPr>
            <w:r>
              <w:rPr>
                <w:rFonts w:ascii="Arial" w:cs="Arial" w:eastAsia="Arial" w:hAnsi="Arial"/>
                <w:b/>
                <w:bCs/>
                <w:color w:val="374151"/>
                <w:sz w:val="19"/>
                <w:szCs w:val="19"/>
              </w:rPr>
              <w:t xml:space="preserve">India Dividend TDS (20%)</w:t>
            </w:r>
          </w:p>
        </w:tc>
        <w:tc>
          <w:tcPr>
            <w:tcW w:type="dxa" w:w="1500"/>
            <w:tcBorders>
              <w:top w:val="single" w:color="D1D5DB" w:sz="1"/>
              <w:left w:val="single" w:color="D1D5DB" w:sz="1"/>
              <w:bottom w:val="single" w:color="D1D5DB" w:sz="1"/>
              <w:right w:val="single" w:color="D1D5DB" w:sz="1"/>
            </w:tcBorders>
            <w:shd w:fill="F8FAFC" w:val="clear"/>
            <w:tcMar>
              <w:top w:type="dxa" w:w="80"/>
              <w:left w:type="dxa" w:w="120"/>
              <w:bottom w:type="dxa" w:w="80"/>
              <w:right w:type="dxa" w:w="120"/>
            </w:tcMar>
            <w:vAlign w:val="center"/>
          </w:tcPr>
          <w:p>
            <w:pPr>
              <w:jc w:val="left"/>
            </w:pPr>
            <w:r>
              <w:rPr>
                <w:rFonts w:ascii="Arial" w:cs="Arial" w:eastAsia="Arial" w:hAnsi="Arial"/>
                <w:b w:val="false"/>
                <w:bCs w:val="false"/>
                <w:color w:val="B91C1C"/>
                <w:sz w:val="19"/>
                <w:szCs w:val="19"/>
              </w:rPr>
              <w:t xml:space="preserve">~0.4%</w:t>
            </w:r>
          </w:p>
        </w:tc>
        <w:tc>
          <w:tcPr>
            <w:tcW w:type="dxa" w:w="1500"/>
            <w:tcBorders>
              <w:top w:val="single" w:color="D1D5DB" w:sz="1"/>
              <w:left w:val="single" w:color="D1D5DB" w:sz="1"/>
              <w:bottom w:val="single" w:color="D1D5DB" w:sz="1"/>
              <w:right w:val="single" w:color="D1D5DB" w:sz="1"/>
            </w:tcBorders>
            <w:shd w:fill="F8FAFC" w:val="clear"/>
            <w:tcMar>
              <w:top w:type="dxa" w:w="80"/>
              <w:left w:type="dxa" w:w="120"/>
              <w:bottom w:type="dxa" w:w="80"/>
              <w:right w:type="dxa" w:w="120"/>
            </w:tcMar>
            <w:vAlign w:val="center"/>
          </w:tcPr>
          <w:p>
            <w:pPr>
              <w:jc w:val="left"/>
            </w:pPr>
            <w:r>
              <w:rPr>
                <w:rFonts w:ascii="Arial" w:cs="Arial" w:eastAsia="Arial" w:hAnsi="Arial"/>
                <w:b w:val="false"/>
                <w:bCs w:val="false"/>
                <w:color w:val="B91C1C"/>
                <w:sz w:val="19"/>
                <w:szCs w:val="19"/>
              </w:rPr>
              <w:t xml:space="preserve">~$250</w:t>
            </w:r>
          </w:p>
        </w:tc>
        <w:tc>
          <w:tcPr>
            <w:tcW w:type="dxa" w:w="3360"/>
            <w:tcBorders>
              <w:top w:val="single" w:color="D1D5DB" w:sz="1"/>
              <w:left w:val="single" w:color="D1D5DB" w:sz="1"/>
              <w:bottom w:val="single" w:color="D1D5DB" w:sz="1"/>
              <w:right w:val="single" w:color="D1D5DB" w:sz="1"/>
            </w:tcBorders>
            <w:shd w:fill="F8FAFC" w:val="clear"/>
            <w:tcMar>
              <w:top w:type="dxa" w:w="80"/>
              <w:left w:type="dxa" w:w="120"/>
              <w:bottom w:type="dxa" w:w="80"/>
              <w:right w:type="dxa" w:w="120"/>
            </w:tcMar>
            <w:vAlign w:val="center"/>
          </w:tcPr>
          <w:p>
            <w:pPr>
              <w:jc w:val="left"/>
            </w:pPr>
            <w:r>
              <w:rPr>
                <w:rFonts w:ascii="Arial" w:cs="Arial" w:eastAsia="Arial" w:hAnsi="Arial"/>
                <w:b w:val="false"/>
                <w:bCs w:val="false"/>
                <w:color w:val="0D6E4A"/>
                <w:sz w:val="19"/>
                <w:szCs w:val="19"/>
              </w:rPr>
              <w:t xml:space="preserve">Choose growth MFs not dividend</w:t>
            </w:r>
          </w:p>
        </w:tc>
      </w:tr>
      <w:tr>
        <w:tc>
          <w:tcPr>
            <w:tcW w:type="dxa" w:w="3000"/>
            <w:tcBorders>
              <w:top w:val="single" w:color="D1D5DB" w:sz="1"/>
              <w:left w:val="single" w:color="D1D5DB" w:sz="1"/>
              <w:bottom w:val="single" w:color="D1D5DB" w:sz="1"/>
              <w:right w:val="single" w:color="D1D5DB" w:sz="1"/>
            </w:tcBorders>
            <w:shd w:fill="FFFFFF" w:val="clear"/>
            <w:tcMar>
              <w:top w:type="dxa" w:w="80"/>
              <w:left w:type="dxa" w:w="120"/>
              <w:bottom w:type="dxa" w:w="80"/>
              <w:right w:type="dxa" w:w="120"/>
            </w:tcMar>
            <w:vAlign w:val="center"/>
          </w:tcPr>
          <w:p>
            <w:pPr>
              <w:jc w:val="left"/>
            </w:pPr>
            <w:r>
              <w:rPr>
                <w:rFonts w:ascii="Arial" w:cs="Arial" w:eastAsia="Arial" w:hAnsi="Arial"/>
                <w:b/>
                <w:bCs/>
                <w:color w:val="374151"/>
                <w:sz w:val="19"/>
                <w:szCs w:val="19"/>
              </w:rPr>
              <w:t xml:space="preserve">Expense ratio: EEM vs VWO</w:t>
            </w:r>
          </w:p>
        </w:tc>
        <w:tc>
          <w:tcPr>
            <w:tcW w:type="dxa" w:w="1500"/>
            <w:tcBorders>
              <w:top w:val="single" w:color="D1D5DB" w:sz="1"/>
              <w:left w:val="single" w:color="D1D5DB" w:sz="1"/>
              <w:bottom w:val="single" w:color="D1D5DB" w:sz="1"/>
              <w:right w:val="single" w:color="D1D5DB" w:sz="1"/>
            </w:tcBorders>
            <w:shd w:fill="FFFFFF" w:val="clear"/>
            <w:tcMar>
              <w:top w:type="dxa" w:w="80"/>
              <w:left w:type="dxa" w:w="120"/>
              <w:bottom w:type="dxa" w:w="80"/>
              <w:right w:type="dxa" w:w="120"/>
            </w:tcMar>
            <w:vAlign w:val="center"/>
          </w:tcPr>
          <w:p>
            <w:pPr>
              <w:jc w:val="left"/>
            </w:pPr>
            <w:r>
              <w:rPr>
                <w:rFonts w:ascii="Arial" w:cs="Arial" w:eastAsia="Arial" w:hAnsi="Arial"/>
                <w:b w:val="false"/>
                <w:bCs w:val="false"/>
                <w:color w:val="B91C1C"/>
                <w:sz w:val="19"/>
                <w:szCs w:val="19"/>
              </w:rPr>
              <w:t xml:space="preserve">~0.6%</w:t>
            </w:r>
          </w:p>
        </w:tc>
        <w:tc>
          <w:tcPr>
            <w:tcW w:type="dxa" w:w="1500"/>
            <w:tcBorders>
              <w:top w:val="single" w:color="D1D5DB" w:sz="1"/>
              <w:left w:val="single" w:color="D1D5DB" w:sz="1"/>
              <w:bottom w:val="single" w:color="D1D5DB" w:sz="1"/>
              <w:right w:val="single" w:color="D1D5DB" w:sz="1"/>
            </w:tcBorders>
            <w:shd w:fill="FFFFFF" w:val="clear"/>
            <w:tcMar>
              <w:top w:type="dxa" w:w="80"/>
              <w:left w:type="dxa" w:w="120"/>
              <w:bottom w:type="dxa" w:w="80"/>
              <w:right w:type="dxa" w:w="120"/>
            </w:tcMar>
            <w:vAlign w:val="center"/>
          </w:tcPr>
          <w:p>
            <w:pPr>
              <w:jc w:val="left"/>
            </w:pPr>
            <w:r>
              <w:rPr>
                <w:rFonts w:ascii="Arial" w:cs="Arial" w:eastAsia="Arial" w:hAnsi="Arial"/>
                <w:b w:val="false"/>
                <w:bCs w:val="false"/>
                <w:color w:val="B91C1C"/>
                <w:sz w:val="19"/>
                <w:szCs w:val="19"/>
              </w:rPr>
              <w:t xml:space="preserve">~$375</w:t>
            </w:r>
          </w:p>
        </w:tc>
        <w:tc>
          <w:tcPr>
            <w:tcW w:type="dxa" w:w="3360"/>
            <w:tcBorders>
              <w:top w:val="single" w:color="D1D5DB" w:sz="1"/>
              <w:left w:val="single" w:color="D1D5DB" w:sz="1"/>
              <w:bottom w:val="single" w:color="D1D5DB" w:sz="1"/>
              <w:right w:val="single" w:color="D1D5DB" w:sz="1"/>
            </w:tcBorders>
            <w:shd w:fill="FFFFFF" w:val="clear"/>
            <w:tcMar>
              <w:top w:type="dxa" w:w="80"/>
              <w:left w:type="dxa" w:w="120"/>
              <w:bottom w:type="dxa" w:w="80"/>
              <w:right w:type="dxa" w:w="120"/>
            </w:tcMar>
            <w:vAlign w:val="center"/>
          </w:tcPr>
          <w:p>
            <w:pPr>
              <w:jc w:val="left"/>
            </w:pPr>
            <w:r>
              <w:rPr>
                <w:rFonts w:ascii="Arial" w:cs="Arial" w:eastAsia="Arial" w:hAnsi="Arial"/>
                <w:b w:val="false"/>
                <w:bCs w:val="false"/>
                <w:color w:val="0D6E4A"/>
                <w:sz w:val="19"/>
                <w:szCs w:val="19"/>
              </w:rPr>
              <w:t xml:space="preserve">Use VWO (0.08%) not EEM (0.68%)</w:t>
            </w:r>
          </w:p>
        </w:tc>
      </w:tr>
      <w:tr>
        <w:tc>
          <w:tcPr>
            <w:tcW w:type="dxa" w:w="3000"/>
            <w:tcBorders>
              <w:top w:val="single" w:color="D1D5DB" w:sz="1"/>
              <w:left w:val="single" w:color="D1D5DB" w:sz="1"/>
              <w:bottom w:val="single" w:color="D1D5DB" w:sz="1"/>
              <w:right w:val="single" w:color="D1D5DB" w:sz="1"/>
            </w:tcBorders>
            <w:shd w:fill="F8FAFC" w:val="clear"/>
            <w:tcMar>
              <w:top w:type="dxa" w:w="80"/>
              <w:left w:type="dxa" w:w="120"/>
              <w:bottom w:type="dxa" w:w="80"/>
              <w:right w:type="dxa" w:w="120"/>
            </w:tcMar>
            <w:vAlign w:val="center"/>
          </w:tcPr>
          <w:p>
            <w:pPr>
              <w:jc w:val="left"/>
            </w:pPr>
            <w:r>
              <w:rPr>
                <w:rFonts w:ascii="Arial" w:cs="Arial" w:eastAsia="Arial" w:hAnsi="Arial"/>
                <w:b/>
                <w:bCs/>
                <w:color w:val="374151"/>
                <w:sz w:val="19"/>
                <w:szCs w:val="19"/>
              </w:rPr>
              <w:t xml:space="preserve">GLD vs IAU expense gap</w:t>
            </w:r>
          </w:p>
        </w:tc>
        <w:tc>
          <w:tcPr>
            <w:tcW w:type="dxa" w:w="1500"/>
            <w:tcBorders>
              <w:top w:val="single" w:color="D1D5DB" w:sz="1"/>
              <w:left w:val="single" w:color="D1D5DB" w:sz="1"/>
              <w:bottom w:val="single" w:color="D1D5DB" w:sz="1"/>
              <w:right w:val="single" w:color="D1D5DB" w:sz="1"/>
            </w:tcBorders>
            <w:shd w:fill="F8FAFC" w:val="clear"/>
            <w:tcMar>
              <w:top w:type="dxa" w:w="80"/>
              <w:left w:type="dxa" w:w="120"/>
              <w:bottom w:type="dxa" w:w="80"/>
              <w:right w:type="dxa" w:w="120"/>
            </w:tcMar>
            <w:vAlign w:val="center"/>
          </w:tcPr>
          <w:p>
            <w:pPr>
              <w:jc w:val="left"/>
            </w:pPr>
            <w:r>
              <w:rPr>
                <w:rFonts w:ascii="Arial" w:cs="Arial" w:eastAsia="Arial" w:hAnsi="Arial"/>
                <w:b w:val="false"/>
                <w:bCs w:val="false"/>
                <w:color w:val="B91C1C"/>
                <w:sz w:val="19"/>
                <w:szCs w:val="19"/>
              </w:rPr>
              <w:t xml:space="preserve">~0.15%</w:t>
            </w:r>
          </w:p>
        </w:tc>
        <w:tc>
          <w:tcPr>
            <w:tcW w:type="dxa" w:w="1500"/>
            <w:tcBorders>
              <w:top w:val="single" w:color="D1D5DB" w:sz="1"/>
              <w:left w:val="single" w:color="D1D5DB" w:sz="1"/>
              <w:bottom w:val="single" w:color="D1D5DB" w:sz="1"/>
              <w:right w:val="single" w:color="D1D5DB" w:sz="1"/>
            </w:tcBorders>
            <w:shd w:fill="F8FAFC" w:val="clear"/>
            <w:tcMar>
              <w:top w:type="dxa" w:w="80"/>
              <w:left w:type="dxa" w:w="120"/>
              <w:bottom w:type="dxa" w:w="80"/>
              <w:right w:type="dxa" w:w="120"/>
            </w:tcMar>
            <w:vAlign w:val="center"/>
          </w:tcPr>
          <w:p>
            <w:pPr>
              <w:jc w:val="left"/>
            </w:pPr>
            <w:r>
              <w:rPr>
                <w:rFonts w:ascii="Arial" w:cs="Arial" w:eastAsia="Arial" w:hAnsi="Arial"/>
                <w:b w:val="false"/>
                <w:bCs w:val="false"/>
                <w:color w:val="B91C1C"/>
                <w:sz w:val="19"/>
                <w:szCs w:val="19"/>
              </w:rPr>
              <w:t xml:space="preserve">~$75</w:t>
            </w:r>
          </w:p>
        </w:tc>
        <w:tc>
          <w:tcPr>
            <w:tcW w:type="dxa" w:w="3360"/>
            <w:tcBorders>
              <w:top w:val="single" w:color="D1D5DB" w:sz="1"/>
              <w:left w:val="single" w:color="D1D5DB" w:sz="1"/>
              <w:bottom w:val="single" w:color="D1D5DB" w:sz="1"/>
              <w:right w:val="single" w:color="D1D5DB" w:sz="1"/>
            </w:tcBorders>
            <w:shd w:fill="F8FAFC" w:val="clear"/>
            <w:tcMar>
              <w:top w:type="dxa" w:w="80"/>
              <w:left w:type="dxa" w:w="120"/>
              <w:bottom w:type="dxa" w:w="80"/>
              <w:right w:type="dxa" w:w="120"/>
            </w:tcMar>
            <w:vAlign w:val="center"/>
          </w:tcPr>
          <w:p>
            <w:pPr>
              <w:jc w:val="left"/>
            </w:pPr>
            <w:r>
              <w:rPr>
                <w:rFonts w:ascii="Arial" w:cs="Arial" w:eastAsia="Arial" w:hAnsi="Arial"/>
                <w:b w:val="false"/>
                <w:bCs w:val="false"/>
                <w:color w:val="0D6E4A"/>
                <w:sz w:val="19"/>
                <w:szCs w:val="19"/>
              </w:rPr>
              <w:t xml:space="preserve">Use IAU (0.25%) not GLD (0.40%)</w:t>
            </w:r>
          </w:p>
        </w:tc>
      </w:tr>
      <w:tr>
        <w:tc>
          <w:tcPr>
            <w:tcW w:type="dxa" w:w="3000"/>
            <w:tcBorders>
              <w:top w:val="single" w:color="D1D5DB" w:sz="1"/>
              <w:left w:val="single" w:color="D1D5DB" w:sz="1"/>
              <w:bottom w:val="single" w:color="D1D5DB" w:sz="1"/>
              <w:right w:val="single" w:color="D1D5DB" w:sz="1"/>
            </w:tcBorders>
            <w:shd w:fill="FFFFFF" w:val="clear"/>
            <w:tcMar>
              <w:top w:type="dxa" w:w="80"/>
              <w:left w:type="dxa" w:w="120"/>
              <w:bottom w:type="dxa" w:w="80"/>
              <w:right w:type="dxa" w:w="120"/>
            </w:tcMar>
            <w:vAlign w:val="center"/>
          </w:tcPr>
          <w:p>
            <w:pPr>
              <w:jc w:val="left"/>
            </w:pPr>
            <w:r>
              <w:rPr>
                <w:rFonts w:ascii="Arial" w:cs="Arial" w:eastAsia="Arial" w:hAnsi="Arial"/>
                <w:b/>
                <w:bCs/>
                <w:color w:val="374151"/>
                <w:sz w:val="19"/>
                <w:szCs w:val="19"/>
              </w:rPr>
              <w:t xml:space="preserve">Forex spread on conversions</w:t>
            </w:r>
          </w:p>
        </w:tc>
        <w:tc>
          <w:tcPr>
            <w:tcW w:type="dxa" w:w="1500"/>
            <w:tcBorders>
              <w:top w:val="single" w:color="D1D5DB" w:sz="1"/>
              <w:left w:val="single" w:color="D1D5DB" w:sz="1"/>
              <w:bottom w:val="single" w:color="D1D5DB" w:sz="1"/>
              <w:right w:val="single" w:color="D1D5DB" w:sz="1"/>
            </w:tcBorders>
            <w:shd w:fill="FFFFFF" w:val="clear"/>
            <w:tcMar>
              <w:top w:type="dxa" w:w="80"/>
              <w:left w:type="dxa" w:w="120"/>
              <w:bottom w:type="dxa" w:w="80"/>
              <w:right w:type="dxa" w:w="120"/>
            </w:tcMar>
            <w:vAlign w:val="center"/>
          </w:tcPr>
          <w:p>
            <w:pPr>
              <w:jc w:val="left"/>
            </w:pPr>
            <w:r>
              <w:rPr>
                <w:rFonts w:ascii="Arial" w:cs="Arial" w:eastAsia="Arial" w:hAnsi="Arial"/>
                <w:b w:val="false"/>
                <w:bCs w:val="false"/>
                <w:color w:val="B91C1C"/>
                <w:sz w:val="19"/>
                <w:szCs w:val="19"/>
              </w:rPr>
              <w:t xml:space="preserve">~0.3–0.5%</w:t>
            </w:r>
          </w:p>
        </w:tc>
        <w:tc>
          <w:tcPr>
            <w:tcW w:type="dxa" w:w="1500"/>
            <w:tcBorders>
              <w:top w:val="single" w:color="D1D5DB" w:sz="1"/>
              <w:left w:val="single" w:color="D1D5DB" w:sz="1"/>
              <w:bottom w:val="single" w:color="D1D5DB" w:sz="1"/>
              <w:right w:val="single" w:color="D1D5DB" w:sz="1"/>
            </w:tcBorders>
            <w:shd w:fill="FFFFFF" w:val="clear"/>
            <w:tcMar>
              <w:top w:type="dxa" w:w="80"/>
              <w:left w:type="dxa" w:w="120"/>
              <w:bottom w:type="dxa" w:w="80"/>
              <w:right w:type="dxa" w:w="120"/>
            </w:tcMar>
            <w:vAlign w:val="center"/>
          </w:tcPr>
          <w:p>
            <w:pPr>
              <w:jc w:val="left"/>
            </w:pPr>
            <w:r>
              <w:rPr>
                <w:rFonts w:ascii="Arial" w:cs="Arial" w:eastAsia="Arial" w:hAnsi="Arial"/>
                <w:b w:val="false"/>
                <w:bCs w:val="false"/>
                <w:color w:val="B91C1C"/>
                <w:sz w:val="19"/>
                <w:szCs w:val="19"/>
              </w:rPr>
              <w:t xml:space="preserve">~$200</w:t>
            </w:r>
          </w:p>
        </w:tc>
        <w:tc>
          <w:tcPr>
            <w:tcW w:type="dxa" w:w="3360"/>
            <w:tcBorders>
              <w:top w:val="single" w:color="D1D5DB" w:sz="1"/>
              <w:left w:val="single" w:color="D1D5DB" w:sz="1"/>
              <w:bottom w:val="single" w:color="D1D5DB" w:sz="1"/>
              <w:right w:val="single" w:color="D1D5DB" w:sz="1"/>
            </w:tcBorders>
            <w:shd w:fill="FFFFFF" w:val="clear"/>
            <w:tcMar>
              <w:top w:type="dxa" w:w="80"/>
              <w:left w:type="dxa" w:w="120"/>
              <w:bottom w:type="dxa" w:w="80"/>
              <w:right w:type="dxa" w:w="120"/>
            </w:tcMar>
            <w:vAlign w:val="center"/>
          </w:tcPr>
          <w:p>
            <w:pPr>
              <w:jc w:val="left"/>
            </w:pPr>
            <w:r>
              <w:rPr>
                <w:rFonts w:ascii="Arial" w:cs="Arial" w:eastAsia="Arial" w:hAnsi="Arial"/>
                <w:b w:val="false"/>
                <w:bCs w:val="false"/>
                <w:color w:val="0D6E4A"/>
                <w:sz w:val="19"/>
                <w:szCs w:val="19"/>
              </w:rPr>
              <w:t xml:space="preserve">Minimise unnecessary FX moves</w:t>
            </w:r>
          </w:p>
        </w:tc>
      </w:tr>
      <w:tr>
        <w:tc>
          <w:tcPr>
            <w:tcW w:type="dxa" w:w="3000"/>
            <w:tcBorders>
              <w:top w:val="single" w:color="D1D5DB" w:sz="1"/>
              <w:left w:val="single" w:color="D1D5DB" w:sz="1"/>
              <w:bottom w:val="single" w:color="D1D5DB" w:sz="1"/>
              <w:right w:val="single" w:color="D1D5DB" w:sz="1"/>
            </w:tcBorders>
            <w:shd w:fill="F8FAFC" w:val="clear"/>
            <w:tcMar>
              <w:top w:type="dxa" w:w="80"/>
              <w:left w:type="dxa" w:w="120"/>
              <w:bottom w:type="dxa" w:w="80"/>
              <w:right w:type="dxa" w:w="120"/>
            </w:tcMar>
            <w:vAlign w:val="center"/>
          </w:tcPr>
          <w:p>
            <w:pPr>
              <w:jc w:val="left"/>
            </w:pPr>
            <w:r>
              <w:rPr>
                <w:rFonts w:ascii="Arial" w:cs="Arial" w:eastAsia="Arial" w:hAnsi="Arial"/>
                <w:b/>
                <w:bCs/>
                <w:color w:val="374151"/>
                <w:sz w:val="19"/>
                <w:szCs w:val="19"/>
              </w:rPr>
              <w:t xml:space="preserve">Idle cash (no T-bill yield)</w:t>
            </w:r>
          </w:p>
        </w:tc>
        <w:tc>
          <w:tcPr>
            <w:tcW w:type="dxa" w:w="1500"/>
            <w:tcBorders>
              <w:top w:val="single" w:color="D1D5DB" w:sz="1"/>
              <w:left w:val="single" w:color="D1D5DB" w:sz="1"/>
              <w:bottom w:val="single" w:color="D1D5DB" w:sz="1"/>
              <w:right w:val="single" w:color="D1D5DB" w:sz="1"/>
            </w:tcBorders>
            <w:shd w:fill="F8FAFC" w:val="clear"/>
            <w:tcMar>
              <w:top w:type="dxa" w:w="80"/>
              <w:left w:type="dxa" w:w="120"/>
              <w:bottom w:type="dxa" w:w="80"/>
              <w:right w:type="dxa" w:w="120"/>
            </w:tcMar>
            <w:vAlign w:val="center"/>
          </w:tcPr>
          <w:p>
            <w:pPr>
              <w:jc w:val="left"/>
            </w:pPr>
            <w:r>
              <w:rPr>
                <w:rFonts w:ascii="Arial" w:cs="Arial" w:eastAsia="Arial" w:hAnsi="Arial"/>
                <w:b w:val="false"/>
                <w:bCs w:val="false"/>
                <w:color w:val="B91C1C"/>
                <w:sz w:val="19"/>
                <w:szCs w:val="19"/>
              </w:rPr>
              <w:t xml:space="preserve">~0.25%</w:t>
            </w:r>
          </w:p>
        </w:tc>
        <w:tc>
          <w:tcPr>
            <w:tcW w:type="dxa" w:w="1500"/>
            <w:tcBorders>
              <w:top w:val="single" w:color="D1D5DB" w:sz="1"/>
              <w:left w:val="single" w:color="D1D5DB" w:sz="1"/>
              <w:bottom w:val="single" w:color="D1D5DB" w:sz="1"/>
              <w:right w:val="single" w:color="D1D5DB" w:sz="1"/>
            </w:tcBorders>
            <w:shd w:fill="F8FAFC" w:val="clear"/>
            <w:tcMar>
              <w:top w:type="dxa" w:w="80"/>
              <w:left w:type="dxa" w:w="120"/>
              <w:bottom w:type="dxa" w:w="80"/>
              <w:right w:type="dxa" w:w="120"/>
            </w:tcMar>
            <w:vAlign w:val="center"/>
          </w:tcPr>
          <w:p>
            <w:pPr>
              <w:jc w:val="left"/>
            </w:pPr>
            <w:r>
              <w:rPr>
                <w:rFonts w:ascii="Arial" w:cs="Arial" w:eastAsia="Arial" w:hAnsi="Arial"/>
                <w:b w:val="false"/>
                <w:bCs w:val="false"/>
                <w:color w:val="B91C1C"/>
                <w:sz w:val="19"/>
                <w:szCs w:val="19"/>
              </w:rPr>
              <w:t xml:space="preserve">~$125</w:t>
            </w:r>
          </w:p>
        </w:tc>
        <w:tc>
          <w:tcPr>
            <w:tcW w:type="dxa" w:w="3360"/>
            <w:tcBorders>
              <w:top w:val="single" w:color="D1D5DB" w:sz="1"/>
              <w:left w:val="single" w:color="D1D5DB" w:sz="1"/>
              <w:bottom w:val="single" w:color="D1D5DB" w:sz="1"/>
              <w:right w:val="single" w:color="D1D5DB" w:sz="1"/>
            </w:tcBorders>
            <w:shd w:fill="F8FAFC" w:val="clear"/>
            <w:tcMar>
              <w:top w:type="dxa" w:w="80"/>
              <w:left w:type="dxa" w:w="120"/>
              <w:bottom w:type="dxa" w:w="80"/>
              <w:right w:type="dxa" w:w="120"/>
            </w:tcMar>
            <w:vAlign w:val="center"/>
          </w:tcPr>
          <w:p>
            <w:pPr>
              <w:jc w:val="left"/>
            </w:pPr>
            <w:r>
              <w:rPr>
                <w:rFonts w:ascii="Arial" w:cs="Arial" w:eastAsia="Arial" w:hAnsi="Arial"/>
                <w:b w:val="false"/>
                <w:bCs w:val="false"/>
                <w:color w:val="0D6E4A"/>
                <w:sz w:val="19"/>
                <w:szCs w:val="19"/>
              </w:rPr>
              <w:t xml:space="preserve">Park in SGOV on IBKR</w:t>
            </w:r>
          </w:p>
        </w:tc>
      </w:tr>
      <w:tr>
        <w:tc>
          <w:tcPr>
            <w:tcW w:type="dxa" w:w="3000"/>
            <w:tcBorders>
              <w:top w:val="single" w:color="D1D5DB" w:sz="1"/>
              <w:left w:val="single" w:color="D1D5DB" w:sz="1"/>
              <w:bottom w:val="single" w:color="D1D5DB" w:sz="1"/>
              <w:right w:val="single" w:color="D1D5DB" w:sz="1"/>
            </w:tcBorders>
            <w:shd w:fill="FFF1F2" w:val="clear"/>
            <w:tcMar>
              <w:top w:type="dxa" w:w="80"/>
              <w:left w:type="dxa" w:w="120"/>
              <w:bottom w:type="dxa" w:w="80"/>
              <w:right w:type="dxa" w:w="120"/>
            </w:tcMar>
            <w:vAlign w:val="center"/>
          </w:tcPr>
          <w:p>
            <w:pPr>
              <w:jc w:val="left"/>
            </w:pPr>
            <w:r>
              <w:rPr>
                <w:rFonts w:ascii="Arial" w:cs="Arial" w:eastAsia="Arial" w:hAnsi="Arial"/>
                <w:b/>
                <w:bCs/>
                <w:color w:val="B91C1C"/>
                <w:sz w:val="19"/>
                <w:szCs w:val="19"/>
              </w:rPr>
              <w:t xml:space="preserve">TOTAL if unfixed</w:t>
            </w:r>
          </w:p>
        </w:tc>
        <w:tc>
          <w:tcPr>
            <w:tcW w:type="dxa" w:w="1500"/>
            <w:tcBorders>
              <w:top w:val="single" w:color="D1D5DB" w:sz="1"/>
              <w:left w:val="single" w:color="D1D5DB" w:sz="1"/>
              <w:bottom w:val="single" w:color="D1D5DB" w:sz="1"/>
              <w:right w:val="single" w:color="D1D5DB" w:sz="1"/>
            </w:tcBorders>
            <w:shd w:fill="FFF1F2" w:val="clear"/>
            <w:tcMar>
              <w:top w:type="dxa" w:w="80"/>
              <w:left w:type="dxa" w:w="120"/>
              <w:bottom w:type="dxa" w:w="80"/>
              <w:right w:type="dxa" w:w="120"/>
            </w:tcMar>
            <w:vAlign w:val="center"/>
          </w:tcPr>
          <w:p>
            <w:pPr>
              <w:jc w:val="left"/>
            </w:pPr>
            <w:r>
              <w:rPr>
                <w:rFonts w:ascii="Arial" w:cs="Arial" w:eastAsia="Arial" w:hAnsi="Arial"/>
                <w:b/>
                <w:bCs/>
                <w:color w:val="B91C1C"/>
                <w:sz w:val="19"/>
                <w:szCs w:val="19"/>
              </w:rPr>
              <w:t xml:space="preserve">~2.6–3.5%</w:t>
            </w:r>
          </w:p>
        </w:tc>
        <w:tc>
          <w:tcPr>
            <w:tcW w:type="dxa" w:w="1500"/>
            <w:tcBorders>
              <w:top w:val="single" w:color="D1D5DB" w:sz="1"/>
              <w:left w:val="single" w:color="D1D5DB" w:sz="1"/>
              <w:bottom w:val="single" w:color="D1D5DB" w:sz="1"/>
              <w:right w:val="single" w:color="D1D5DB" w:sz="1"/>
            </w:tcBorders>
            <w:shd w:fill="FFF1F2" w:val="clear"/>
            <w:tcMar>
              <w:top w:type="dxa" w:w="80"/>
              <w:left w:type="dxa" w:w="120"/>
              <w:bottom w:type="dxa" w:w="80"/>
              <w:right w:type="dxa" w:w="120"/>
            </w:tcMar>
            <w:vAlign w:val="center"/>
          </w:tcPr>
          <w:p>
            <w:pPr>
              <w:jc w:val="left"/>
            </w:pPr>
            <w:r>
              <w:rPr>
                <w:rFonts w:ascii="Arial" w:cs="Arial" w:eastAsia="Arial" w:hAnsi="Arial"/>
                <w:b/>
                <w:bCs/>
                <w:color w:val="B91C1C"/>
                <w:sz w:val="19"/>
                <w:szCs w:val="19"/>
              </w:rPr>
              <w:t xml:space="preserve">~$1,700–2,800</w:t>
            </w:r>
          </w:p>
        </w:tc>
        <w:tc>
          <w:tcPr>
            <w:tcW w:type="dxa" w:w="3360"/>
            <w:tcBorders>
              <w:top w:val="single" w:color="D1D5DB" w:sz="1"/>
              <w:left w:val="single" w:color="D1D5DB" w:sz="1"/>
              <w:bottom w:val="single" w:color="D1D5DB" w:sz="1"/>
              <w:right w:val="single" w:color="D1D5DB" w:sz="1"/>
            </w:tcBorders>
            <w:shd w:fill="FFF1F2" w:val="clear"/>
            <w:tcMar>
              <w:top w:type="dxa" w:w="80"/>
              <w:left w:type="dxa" w:w="120"/>
              <w:bottom w:type="dxa" w:w="80"/>
              <w:right w:type="dxa" w:w="120"/>
            </w:tcMar>
            <w:vAlign w:val="center"/>
          </w:tcPr>
          <w:p>
            <w:pPr>
              <w:jc w:val="left"/>
            </w:pPr>
            <w:r>
              <w:rPr>
                <w:rFonts w:ascii="Arial" w:cs="Arial" w:eastAsia="Arial" w:hAnsi="Arial"/>
                <w:b/>
                <w:bCs/>
                <w:color w:val="B91C1C"/>
                <w:sz w:val="19"/>
                <w:szCs w:val="19"/>
              </w:rPr>
              <w:t xml:space="preserve">Fixes = ~$1,700+ saved</w:t>
            </w:r>
          </w:p>
        </w:tc>
      </w:tr>
    </w:tbl>
    <w:p>
      <w:r>
        <w:t xml:space="preserve"/>
      </w:r>
    </w:p>
    <w:p>
      <w:pPr>
        <w:pStyle w:val="Heading2"/>
        <w:pBdr>
          <w:bottom w:val="single" w:color="C9A84C" w:sz="4" w:space="4"/>
        </w:pBdr>
        <w:spacing w:after="120" w:before="240"/>
      </w:pPr>
      <w:r>
        <w:rPr>
          <w:rFonts w:ascii="Arial" w:cs="Arial" w:eastAsia="Arial" w:hAnsi="Arial"/>
          <w:b/>
          <w:bCs/>
          <w:color w:val="0A0F1E"/>
          <w:sz w:val="30"/>
          <w:szCs w:val="30"/>
        </w:rPr>
        <w:t xml:space="preserve">4.5 Recommended NRI Account Structure</w:t>
      </w:r>
    </w:p>
    <w:tbl>
      <w:tblPr>
        <w:tblW w:type="dxa" w:w="9360"/>
        <w:tblBorders>
          <w:top w:val="single" w:color="auto" w:sz="4"/>
          <w:left w:val="single" w:color="auto" w:sz="4"/>
          <w:bottom w:val="single" w:color="auto" w:sz="4"/>
          <w:right w:val="single" w:color="auto" w:sz="4"/>
          <w:insideH w:val="single" w:color="auto" w:sz="4"/>
          <w:insideV w:val="single" w:color="auto" w:sz="4"/>
        </w:tblBorders>
      </w:tblPr>
      <w:tblGrid>
        <w:gridCol w:w="2000"/>
        <w:gridCol w:w="2500"/>
        <w:gridCol w:w="2860"/>
        <w:gridCol w:w="2000"/>
      </w:tblGrid>
      <w:tr>
        <w:trPr>
          <w:tblHeader/>
        </w:trPr>
        <w:tc>
          <w:tcPr>
            <w:tcW w:type="dxa" w:w="2000"/>
            <w:tcBorders>
              <w:top w:val="single" w:color="D1D5DB" w:sz="1"/>
              <w:left w:val="single" w:color="D1D5DB" w:sz="1"/>
              <w:bottom w:val="single" w:color="D1D5DB" w:sz="1"/>
              <w:right w:val="single" w:color="D1D5DB" w:sz="1"/>
            </w:tcBorders>
            <w:shd w:fill="1E3A5F" w:val="clear"/>
            <w:tcMar>
              <w:top w:type="dxa" w:w="80"/>
              <w:left w:type="dxa" w:w="120"/>
              <w:bottom w:type="dxa" w:w="80"/>
              <w:right w:type="dxa" w:w="120"/>
            </w:tcMar>
            <w:vAlign w:val="center"/>
          </w:tcPr>
          <w:p>
            <w:pPr>
              <w:jc w:val="left"/>
            </w:pPr>
            <w:r>
              <w:rPr>
                <w:rFonts w:ascii="Arial" w:cs="Arial" w:eastAsia="Arial" w:hAnsi="Arial"/>
                <w:b/>
                <w:bCs/>
                <w:color w:val="FFFFFF"/>
                <w:sz w:val="20"/>
                <w:szCs w:val="20"/>
              </w:rPr>
              <w:t xml:space="preserve">Account Type</w:t>
            </w:r>
          </w:p>
        </w:tc>
        <w:tc>
          <w:tcPr>
            <w:tcW w:type="dxa" w:w="2500"/>
            <w:tcBorders>
              <w:top w:val="single" w:color="D1D5DB" w:sz="1"/>
              <w:left w:val="single" w:color="D1D5DB" w:sz="1"/>
              <w:bottom w:val="single" w:color="D1D5DB" w:sz="1"/>
              <w:right w:val="single" w:color="D1D5DB" w:sz="1"/>
            </w:tcBorders>
            <w:shd w:fill="1E3A5F" w:val="clear"/>
            <w:tcMar>
              <w:top w:type="dxa" w:w="80"/>
              <w:left w:type="dxa" w:w="120"/>
              <w:bottom w:type="dxa" w:w="80"/>
              <w:right w:type="dxa" w:w="120"/>
            </w:tcMar>
            <w:vAlign w:val="center"/>
          </w:tcPr>
          <w:p>
            <w:pPr>
              <w:jc w:val="left"/>
            </w:pPr>
            <w:r>
              <w:rPr>
                <w:rFonts w:ascii="Arial" w:cs="Arial" w:eastAsia="Arial" w:hAnsi="Arial"/>
                <w:b/>
                <w:bCs/>
                <w:color w:val="FFFFFF"/>
                <w:sz w:val="20"/>
                <w:szCs w:val="20"/>
              </w:rPr>
              <w:t xml:space="preserve">Use For</w:t>
            </w:r>
          </w:p>
        </w:tc>
        <w:tc>
          <w:tcPr>
            <w:tcW w:type="dxa" w:w="2860"/>
            <w:tcBorders>
              <w:top w:val="single" w:color="D1D5DB" w:sz="1"/>
              <w:left w:val="single" w:color="D1D5DB" w:sz="1"/>
              <w:bottom w:val="single" w:color="D1D5DB" w:sz="1"/>
              <w:right w:val="single" w:color="D1D5DB" w:sz="1"/>
            </w:tcBorders>
            <w:shd w:fill="1E3A5F" w:val="clear"/>
            <w:tcMar>
              <w:top w:type="dxa" w:w="80"/>
              <w:left w:type="dxa" w:w="120"/>
              <w:bottom w:type="dxa" w:w="80"/>
              <w:right w:type="dxa" w:w="120"/>
            </w:tcMar>
            <w:vAlign w:val="center"/>
          </w:tcPr>
          <w:p>
            <w:pPr>
              <w:jc w:val="left"/>
            </w:pPr>
            <w:r>
              <w:rPr>
                <w:rFonts w:ascii="Arial" w:cs="Arial" w:eastAsia="Arial" w:hAnsi="Arial"/>
                <w:b/>
                <w:bCs/>
                <w:color w:val="FFFFFF"/>
                <w:sz w:val="20"/>
                <w:szCs w:val="20"/>
              </w:rPr>
              <w:t xml:space="preserve">Key Benefit</w:t>
            </w:r>
          </w:p>
        </w:tc>
        <w:tc>
          <w:tcPr>
            <w:tcW w:type="dxa" w:w="2000"/>
            <w:tcBorders>
              <w:top w:val="single" w:color="D1D5DB" w:sz="1"/>
              <w:left w:val="single" w:color="D1D5DB" w:sz="1"/>
              <w:bottom w:val="single" w:color="D1D5DB" w:sz="1"/>
              <w:right w:val="single" w:color="D1D5DB" w:sz="1"/>
            </w:tcBorders>
            <w:shd w:fill="1E3A5F" w:val="clear"/>
            <w:tcMar>
              <w:top w:type="dxa" w:w="80"/>
              <w:left w:type="dxa" w:w="120"/>
              <w:bottom w:type="dxa" w:w="80"/>
              <w:right w:type="dxa" w:w="120"/>
            </w:tcMar>
            <w:vAlign w:val="center"/>
          </w:tcPr>
          <w:p>
            <w:pPr>
              <w:jc w:val="left"/>
            </w:pPr>
            <w:r>
              <w:rPr>
                <w:rFonts w:ascii="Arial" w:cs="Arial" w:eastAsia="Arial" w:hAnsi="Arial"/>
                <w:b/>
                <w:bCs/>
                <w:color w:val="FFFFFF"/>
                <w:sz w:val="20"/>
                <w:szCs w:val="20"/>
              </w:rPr>
              <w:t xml:space="preserve">Priority</w:t>
            </w:r>
          </w:p>
        </w:tc>
      </w:tr>
      <w:tr>
        <w:tc>
          <w:tcPr>
            <w:tcW w:type="dxa" w:w="2000"/>
            <w:tcBorders>
              <w:top w:val="single" w:color="D1D5DB" w:sz="1"/>
              <w:left w:val="single" w:color="D1D5DB" w:sz="1"/>
              <w:bottom w:val="single" w:color="D1D5DB" w:sz="1"/>
              <w:right w:val="single" w:color="D1D5DB" w:sz="1"/>
            </w:tcBorders>
            <w:shd w:fill="F8FAFC" w:val="clear"/>
            <w:tcMar>
              <w:top w:type="dxa" w:w="80"/>
              <w:left w:type="dxa" w:w="120"/>
              <w:bottom w:type="dxa" w:w="80"/>
              <w:right w:type="dxa" w:w="120"/>
            </w:tcMar>
            <w:vAlign w:val="center"/>
          </w:tcPr>
          <w:p>
            <w:pPr>
              <w:jc w:val="left"/>
            </w:pPr>
            <w:r>
              <w:rPr>
                <w:rFonts w:ascii="Arial" w:cs="Arial" w:eastAsia="Arial" w:hAnsi="Arial"/>
                <w:b/>
                <w:bCs/>
                <w:color w:val="374151"/>
                <w:sz w:val="19"/>
                <w:szCs w:val="19"/>
              </w:rPr>
              <w:t xml:space="preserve">NRE Demat (India)</w:t>
            </w:r>
          </w:p>
        </w:tc>
        <w:tc>
          <w:tcPr>
            <w:tcW w:type="dxa" w:w="2500"/>
            <w:tcBorders>
              <w:top w:val="single" w:color="D1D5DB" w:sz="1"/>
              <w:left w:val="single" w:color="D1D5DB" w:sz="1"/>
              <w:bottom w:val="single" w:color="D1D5DB" w:sz="1"/>
              <w:right w:val="single" w:color="D1D5DB" w:sz="1"/>
            </w:tcBorders>
            <w:shd w:fill="F8FAFC" w:val="clear"/>
            <w:tcMar>
              <w:top w:type="dxa" w:w="80"/>
              <w:left w:type="dxa" w:w="120"/>
              <w:bottom w:type="dxa" w:w="80"/>
              <w:right w:type="dxa" w:w="120"/>
            </w:tcMar>
            <w:vAlign w:val="center"/>
          </w:tcPr>
          <w:p>
            <w:pPr>
              <w:jc w:val="left"/>
            </w:pPr>
            <w:r>
              <w:rPr>
                <w:rFonts w:ascii="Arial" w:cs="Arial" w:eastAsia="Arial" w:hAnsi="Arial"/>
                <w:b w:val="false"/>
                <w:bCs w:val="false"/>
                <w:color w:val="374151"/>
                <w:sz w:val="19"/>
                <w:szCs w:val="19"/>
              </w:rPr>
              <w:t xml:space="preserve">All Indian equity investments</w:t>
            </w:r>
          </w:p>
        </w:tc>
        <w:tc>
          <w:tcPr>
            <w:tcW w:type="dxa" w:w="2860"/>
            <w:tcBorders>
              <w:top w:val="single" w:color="D1D5DB" w:sz="1"/>
              <w:left w:val="single" w:color="D1D5DB" w:sz="1"/>
              <w:bottom w:val="single" w:color="D1D5DB" w:sz="1"/>
              <w:right w:val="single" w:color="D1D5DB" w:sz="1"/>
            </w:tcBorders>
            <w:shd w:fill="F8FAFC" w:val="clear"/>
            <w:tcMar>
              <w:top w:type="dxa" w:w="80"/>
              <w:left w:type="dxa" w:w="120"/>
              <w:bottom w:type="dxa" w:w="80"/>
              <w:right w:type="dxa" w:w="120"/>
            </w:tcMar>
            <w:vAlign w:val="center"/>
          </w:tcPr>
          <w:p>
            <w:pPr>
              <w:jc w:val="left"/>
            </w:pPr>
            <w:r>
              <w:rPr>
                <w:rFonts w:ascii="Arial" w:cs="Arial" w:eastAsia="Arial" w:hAnsi="Arial"/>
                <w:b w:val="false"/>
                <w:bCs w:val="false"/>
                <w:color w:val="374151"/>
                <w:sz w:val="19"/>
                <w:szCs w:val="19"/>
              </w:rPr>
              <w:t xml:space="preserve">Tax-free interest + free repatriation to MY</w:t>
            </w:r>
          </w:p>
        </w:tc>
        <w:tc>
          <w:tcPr>
            <w:tcW w:type="dxa" w:w="2000"/>
            <w:tcBorders>
              <w:top w:val="single" w:color="D1D5DB" w:sz="1"/>
              <w:left w:val="single" w:color="D1D5DB" w:sz="1"/>
              <w:bottom w:val="single" w:color="D1D5DB" w:sz="1"/>
              <w:right w:val="single" w:color="D1D5DB" w:sz="1"/>
            </w:tcBorders>
            <w:shd w:fill="F8FAFC" w:val="clear"/>
            <w:tcMar>
              <w:top w:type="dxa" w:w="80"/>
              <w:left w:type="dxa" w:w="120"/>
              <w:bottom w:type="dxa" w:w="80"/>
              <w:right w:type="dxa" w:w="120"/>
            </w:tcMar>
            <w:vAlign w:val="center"/>
          </w:tcPr>
          <w:p>
            <w:pPr>
              <w:jc w:val="left"/>
            </w:pPr>
            <w:r>
              <w:rPr>
                <w:rFonts w:ascii="Arial" w:cs="Arial" w:eastAsia="Arial" w:hAnsi="Arial"/>
                <w:b w:val="false"/>
                <w:bCs w:val="false"/>
                <w:color w:val="374151"/>
                <w:sz w:val="19"/>
                <w:szCs w:val="19"/>
              </w:rPr>
              <w:t xml:space="preserve">CRITICAL — set up first</w:t>
            </w:r>
          </w:p>
        </w:tc>
      </w:tr>
      <w:tr>
        <w:tc>
          <w:tcPr>
            <w:tcW w:type="dxa" w:w="2000"/>
            <w:tcBorders>
              <w:top w:val="single" w:color="D1D5DB" w:sz="1"/>
              <w:left w:val="single" w:color="D1D5DB" w:sz="1"/>
              <w:bottom w:val="single" w:color="D1D5DB" w:sz="1"/>
              <w:right w:val="single" w:color="D1D5DB" w:sz="1"/>
            </w:tcBorders>
            <w:shd w:fill="FFFFFF" w:val="clear"/>
            <w:tcMar>
              <w:top w:type="dxa" w:w="80"/>
              <w:left w:type="dxa" w:w="120"/>
              <w:bottom w:type="dxa" w:w="80"/>
              <w:right w:type="dxa" w:w="120"/>
            </w:tcMar>
            <w:vAlign w:val="center"/>
          </w:tcPr>
          <w:p>
            <w:pPr>
              <w:jc w:val="left"/>
            </w:pPr>
            <w:r>
              <w:rPr>
                <w:rFonts w:ascii="Arial" w:cs="Arial" w:eastAsia="Arial" w:hAnsi="Arial"/>
                <w:b/>
                <w:bCs/>
                <w:color w:val="374151"/>
                <w:sz w:val="19"/>
                <w:szCs w:val="19"/>
              </w:rPr>
              <w:t xml:space="preserve">NRO Account (India)</w:t>
            </w:r>
          </w:p>
        </w:tc>
        <w:tc>
          <w:tcPr>
            <w:tcW w:type="dxa" w:w="2500"/>
            <w:tcBorders>
              <w:top w:val="single" w:color="D1D5DB" w:sz="1"/>
              <w:left w:val="single" w:color="D1D5DB" w:sz="1"/>
              <w:bottom w:val="single" w:color="D1D5DB" w:sz="1"/>
              <w:right w:val="single" w:color="D1D5DB" w:sz="1"/>
            </w:tcBorders>
            <w:shd w:fill="FFFFFF" w:val="clear"/>
            <w:tcMar>
              <w:top w:type="dxa" w:w="80"/>
              <w:left w:type="dxa" w:w="120"/>
              <w:bottom w:type="dxa" w:w="80"/>
              <w:right w:type="dxa" w:w="120"/>
            </w:tcMar>
            <w:vAlign w:val="center"/>
          </w:tcPr>
          <w:p>
            <w:pPr>
              <w:jc w:val="left"/>
            </w:pPr>
            <w:r>
              <w:rPr>
                <w:rFonts w:ascii="Arial" w:cs="Arial" w:eastAsia="Arial" w:hAnsi="Arial"/>
                <w:b w:val="false"/>
                <w:bCs w:val="false"/>
                <w:color w:val="374151"/>
                <w:sz w:val="19"/>
                <w:szCs w:val="19"/>
              </w:rPr>
              <w:t xml:space="preserve">Local India income (rent, etc)</w:t>
            </w:r>
          </w:p>
        </w:tc>
        <w:tc>
          <w:tcPr>
            <w:tcW w:type="dxa" w:w="2860"/>
            <w:tcBorders>
              <w:top w:val="single" w:color="D1D5DB" w:sz="1"/>
              <w:left w:val="single" w:color="D1D5DB" w:sz="1"/>
              <w:bottom w:val="single" w:color="D1D5DB" w:sz="1"/>
              <w:right w:val="single" w:color="D1D5DB" w:sz="1"/>
            </w:tcBorders>
            <w:shd w:fill="FFFFFF" w:val="clear"/>
            <w:tcMar>
              <w:top w:type="dxa" w:w="80"/>
              <w:left w:type="dxa" w:w="120"/>
              <w:bottom w:type="dxa" w:w="80"/>
              <w:right w:type="dxa" w:w="120"/>
            </w:tcMar>
            <w:vAlign w:val="center"/>
          </w:tcPr>
          <w:p>
            <w:pPr>
              <w:jc w:val="left"/>
            </w:pPr>
            <w:r>
              <w:rPr>
                <w:rFonts w:ascii="Arial" w:cs="Arial" w:eastAsia="Arial" w:hAnsi="Arial"/>
                <w:b w:val="false"/>
                <w:bCs w:val="false"/>
                <w:color w:val="374151"/>
                <w:sz w:val="19"/>
                <w:szCs w:val="19"/>
              </w:rPr>
              <w:t xml:space="preserve">Handles INR income; DTAA available</w:t>
            </w:r>
          </w:p>
        </w:tc>
        <w:tc>
          <w:tcPr>
            <w:tcW w:type="dxa" w:w="2000"/>
            <w:tcBorders>
              <w:top w:val="single" w:color="D1D5DB" w:sz="1"/>
              <w:left w:val="single" w:color="D1D5DB" w:sz="1"/>
              <w:bottom w:val="single" w:color="D1D5DB" w:sz="1"/>
              <w:right w:val="single" w:color="D1D5DB" w:sz="1"/>
            </w:tcBorders>
            <w:shd w:fill="FFFFFF" w:val="clear"/>
            <w:tcMar>
              <w:top w:type="dxa" w:w="80"/>
              <w:left w:type="dxa" w:w="120"/>
              <w:bottom w:type="dxa" w:w="80"/>
              <w:right w:type="dxa" w:w="120"/>
            </w:tcMar>
            <w:vAlign w:val="center"/>
          </w:tcPr>
          <w:p>
            <w:pPr>
              <w:jc w:val="left"/>
            </w:pPr>
            <w:r>
              <w:rPr>
                <w:rFonts w:ascii="Arial" w:cs="Arial" w:eastAsia="Arial" w:hAnsi="Arial"/>
                <w:b w:val="false"/>
                <w:bCs w:val="false"/>
                <w:color w:val="374151"/>
                <w:sz w:val="19"/>
                <w:szCs w:val="19"/>
              </w:rPr>
              <w:t xml:space="preserve">Secondary only</w:t>
            </w:r>
          </w:p>
        </w:tc>
      </w:tr>
      <w:tr>
        <w:tc>
          <w:tcPr>
            <w:tcW w:type="dxa" w:w="2000"/>
            <w:tcBorders>
              <w:top w:val="single" w:color="D1D5DB" w:sz="1"/>
              <w:left w:val="single" w:color="D1D5DB" w:sz="1"/>
              <w:bottom w:val="single" w:color="D1D5DB" w:sz="1"/>
              <w:right w:val="single" w:color="D1D5DB" w:sz="1"/>
            </w:tcBorders>
            <w:shd w:fill="F8FAFC" w:val="clear"/>
            <w:tcMar>
              <w:top w:type="dxa" w:w="80"/>
              <w:left w:type="dxa" w:w="120"/>
              <w:bottom w:type="dxa" w:w="80"/>
              <w:right w:type="dxa" w:w="120"/>
            </w:tcMar>
            <w:vAlign w:val="center"/>
          </w:tcPr>
          <w:p>
            <w:pPr>
              <w:jc w:val="left"/>
            </w:pPr>
            <w:r>
              <w:rPr>
                <w:rFonts w:ascii="Arial" w:cs="Arial" w:eastAsia="Arial" w:hAnsi="Arial"/>
                <w:b/>
                <w:bCs/>
                <w:color w:val="374151"/>
                <w:sz w:val="19"/>
                <w:szCs w:val="19"/>
              </w:rPr>
              <w:t xml:space="preserve">IBKR Singapore</w:t>
            </w:r>
          </w:p>
        </w:tc>
        <w:tc>
          <w:tcPr>
            <w:tcW w:type="dxa" w:w="2500"/>
            <w:tcBorders>
              <w:top w:val="single" w:color="D1D5DB" w:sz="1"/>
              <w:left w:val="single" w:color="D1D5DB" w:sz="1"/>
              <w:bottom w:val="single" w:color="D1D5DB" w:sz="1"/>
              <w:right w:val="single" w:color="D1D5DB" w:sz="1"/>
            </w:tcBorders>
            <w:shd w:fill="F8FAFC" w:val="clear"/>
            <w:tcMar>
              <w:top w:type="dxa" w:w="80"/>
              <w:left w:type="dxa" w:w="120"/>
              <w:bottom w:type="dxa" w:w="80"/>
              <w:right w:type="dxa" w:w="120"/>
            </w:tcMar>
            <w:vAlign w:val="center"/>
          </w:tcPr>
          <w:p>
            <w:pPr>
              <w:jc w:val="left"/>
            </w:pPr>
            <w:r>
              <w:rPr>
                <w:rFonts w:ascii="Arial" w:cs="Arial" w:eastAsia="Arial" w:hAnsi="Arial"/>
                <w:b w:val="false"/>
                <w:bCs w:val="false"/>
                <w:color w:val="374151"/>
                <w:sz w:val="19"/>
                <w:szCs w:val="19"/>
              </w:rPr>
              <w:t xml:space="preserve">US ETFs (VOO, QQQ, SOXX, IAU, VWO)</w:t>
            </w:r>
          </w:p>
        </w:tc>
        <w:tc>
          <w:tcPr>
            <w:tcW w:type="dxa" w:w="2860"/>
            <w:tcBorders>
              <w:top w:val="single" w:color="D1D5DB" w:sz="1"/>
              <w:left w:val="single" w:color="D1D5DB" w:sz="1"/>
              <w:bottom w:val="single" w:color="D1D5DB" w:sz="1"/>
              <w:right w:val="single" w:color="D1D5DB" w:sz="1"/>
            </w:tcBorders>
            <w:shd w:fill="F8FAFC" w:val="clear"/>
            <w:tcMar>
              <w:top w:type="dxa" w:w="80"/>
              <w:left w:type="dxa" w:w="120"/>
              <w:bottom w:type="dxa" w:w="80"/>
              <w:right w:type="dxa" w:w="120"/>
            </w:tcMar>
            <w:vAlign w:val="center"/>
          </w:tcPr>
          <w:p>
            <w:pPr>
              <w:jc w:val="left"/>
            </w:pPr>
            <w:r>
              <w:rPr>
                <w:rFonts w:ascii="Arial" w:cs="Arial" w:eastAsia="Arial" w:hAnsi="Arial"/>
                <w:b w:val="false"/>
                <w:bCs w:val="false"/>
                <w:color w:val="374151"/>
                <w:sz w:val="19"/>
                <w:szCs w:val="19"/>
              </w:rPr>
              <w:t xml:space="preserve">W-8BEN → 15% WHT; no MY CGT if offshore</w:t>
            </w:r>
          </w:p>
        </w:tc>
        <w:tc>
          <w:tcPr>
            <w:tcW w:type="dxa" w:w="2000"/>
            <w:tcBorders>
              <w:top w:val="single" w:color="D1D5DB" w:sz="1"/>
              <w:left w:val="single" w:color="D1D5DB" w:sz="1"/>
              <w:bottom w:val="single" w:color="D1D5DB" w:sz="1"/>
              <w:right w:val="single" w:color="D1D5DB" w:sz="1"/>
            </w:tcBorders>
            <w:shd w:fill="F8FAFC" w:val="clear"/>
            <w:tcMar>
              <w:top w:type="dxa" w:w="80"/>
              <w:left w:type="dxa" w:w="120"/>
              <w:bottom w:type="dxa" w:w="80"/>
              <w:right w:type="dxa" w:w="120"/>
            </w:tcMar>
            <w:vAlign w:val="center"/>
          </w:tcPr>
          <w:p>
            <w:pPr>
              <w:jc w:val="left"/>
            </w:pPr>
            <w:r>
              <w:rPr>
                <w:rFonts w:ascii="Arial" w:cs="Arial" w:eastAsia="Arial" w:hAnsi="Arial"/>
                <w:b w:val="false"/>
                <w:bCs w:val="false"/>
                <w:color w:val="374151"/>
                <w:sz w:val="19"/>
                <w:szCs w:val="19"/>
              </w:rPr>
              <w:t xml:space="preserve">Primary overseas account</w:t>
            </w:r>
          </w:p>
        </w:tc>
      </w:tr>
      <w:tr>
        <w:tc>
          <w:tcPr>
            <w:tcW w:type="dxa" w:w="2000"/>
            <w:tcBorders>
              <w:top w:val="single" w:color="D1D5DB" w:sz="1"/>
              <w:left w:val="single" w:color="D1D5DB" w:sz="1"/>
              <w:bottom w:val="single" w:color="D1D5DB" w:sz="1"/>
              <w:right w:val="single" w:color="D1D5DB" w:sz="1"/>
            </w:tcBorders>
            <w:shd w:fill="FFFFFF" w:val="clear"/>
            <w:tcMar>
              <w:top w:type="dxa" w:w="80"/>
              <w:left w:type="dxa" w:w="120"/>
              <w:bottom w:type="dxa" w:w="80"/>
              <w:right w:type="dxa" w:w="120"/>
            </w:tcMar>
            <w:vAlign w:val="center"/>
          </w:tcPr>
          <w:p>
            <w:pPr>
              <w:jc w:val="left"/>
            </w:pPr>
            <w:r>
              <w:rPr>
                <w:rFonts w:ascii="Arial" w:cs="Arial" w:eastAsia="Arial" w:hAnsi="Arial"/>
                <w:b/>
                <w:bCs/>
                <w:color w:val="374151"/>
                <w:sz w:val="19"/>
                <w:szCs w:val="19"/>
              </w:rPr>
              <w:t xml:space="preserve">Bursa/CDP (Malaysia)</w:t>
            </w:r>
          </w:p>
        </w:tc>
        <w:tc>
          <w:tcPr>
            <w:tcW w:type="dxa" w:w="2500"/>
            <w:tcBorders>
              <w:top w:val="single" w:color="D1D5DB" w:sz="1"/>
              <w:left w:val="single" w:color="D1D5DB" w:sz="1"/>
              <w:bottom w:val="single" w:color="D1D5DB" w:sz="1"/>
              <w:right w:val="single" w:color="D1D5DB" w:sz="1"/>
            </w:tcBorders>
            <w:shd w:fill="FFFFFF" w:val="clear"/>
            <w:tcMar>
              <w:top w:type="dxa" w:w="80"/>
              <w:left w:type="dxa" w:w="120"/>
              <w:bottom w:type="dxa" w:w="80"/>
              <w:right w:type="dxa" w:w="120"/>
            </w:tcMar>
            <w:vAlign w:val="center"/>
          </w:tcPr>
          <w:p>
            <w:pPr>
              <w:jc w:val="left"/>
            </w:pPr>
            <w:r>
              <w:rPr>
                <w:rFonts w:ascii="Arial" w:cs="Arial" w:eastAsia="Arial" w:hAnsi="Arial"/>
                <w:b w:val="false"/>
                <w:bCs w:val="false"/>
                <w:color w:val="374151"/>
                <w:sz w:val="19"/>
                <w:szCs w:val="19"/>
              </w:rPr>
              <w:t xml:space="preserve">MY/SG dividend stocks (Maybank, DBS)</w:t>
            </w:r>
          </w:p>
        </w:tc>
        <w:tc>
          <w:tcPr>
            <w:tcW w:type="dxa" w:w="2860"/>
            <w:tcBorders>
              <w:top w:val="single" w:color="D1D5DB" w:sz="1"/>
              <w:left w:val="single" w:color="D1D5DB" w:sz="1"/>
              <w:bottom w:val="single" w:color="D1D5DB" w:sz="1"/>
              <w:right w:val="single" w:color="D1D5DB" w:sz="1"/>
            </w:tcBorders>
            <w:shd w:fill="FFFFFF" w:val="clear"/>
            <w:tcMar>
              <w:top w:type="dxa" w:w="80"/>
              <w:left w:type="dxa" w:w="120"/>
              <w:bottom w:type="dxa" w:w="80"/>
              <w:right w:type="dxa" w:w="120"/>
            </w:tcMar>
            <w:vAlign w:val="center"/>
          </w:tcPr>
          <w:p>
            <w:pPr>
              <w:jc w:val="left"/>
            </w:pPr>
            <w:r>
              <w:rPr>
                <w:rFonts w:ascii="Arial" w:cs="Arial" w:eastAsia="Arial" w:hAnsi="Arial"/>
                <w:b w:val="false"/>
                <w:bCs w:val="false"/>
                <w:color w:val="374151"/>
                <w:sz w:val="19"/>
                <w:szCs w:val="19"/>
              </w:rPr>
              <w:t xml:space="preserve">Zero CGT, zero dividend tax in Malaysia</w:t>
            </w:r>
          </w:p>
        </w:tc>
        <w:tc>
          <w:tcPr>
            <w:tcW w:type="dxa" w:w="2000"/>
            <w:tcBorders>
              <w:top w:val="single" w:color="D1D5DB" w:sz="1"/>
              <w:left w:val="single" w:color="D1D5DB" w:sz="1"/>
              <w:bottom w:val="single" w:color="D1D5DB" w:sz="1"/>
              <w:right w:val="single" w:color="D1D5DB" w:sz="1"/>
            </w:tcBorders>
            <w:shd w:fill="FFFFFF" w:val="clear"/>
            <w:tcMar>
              <w:top w:type="dxa" w:w="80"/>
              <w:left w:type="dxa" w:w="120"/>
              <w:bottom w:type="dxa" w:w="80"/>
              <w:right w:type="dxa" w:w="120"/>
            </w:tcMar>
            <w:vAlign w:val="center"/>
          </w:tcPr>
          <w:p>
            <w:pPr>
              <w:jc w:val="left"/>
            </w:pPr>
            <w:r>
              <w:rPr>
                <w:rFonts w:ascii="Arial" w:cs="Arial" w:eastAsia="Arial" w:hAnsi="Arial"/>
                <w:b w:val="false"/>
                <w:bCs w:val="false"/>
                <w:color w:val="374151"/>
                <w:sz w:val="19"/>
                <w:szCs w:val="19"/>
              </w:rPr>
              <w:t xml:space="preserve">Use your local advantage</w:t>
            </w:r>
          </w:p>
        </w:tc>
      </w:tr>
    </w:tbl>
    <w:p>
      <w:r>
        <w:t xml:space="preserve"/>
      </w:r>
    </w:p>
    <w:p>
      <w:r>
        <w:br w:type="page"/>
      </w:r>
    </w:p>
    <w:p>
      <w:pPr>
        <w:pStyle w:val="Heading1"/>
        <w:spacing w:after="160" w:before="320"/>
      </w:pPr>
      <w:r>
        <w:rPr>
          <w:rFonts w:ascii="Arial" w:cs="Arial" w:eastAsia="Arial" w:hAnsi="Arial"/>
          <w:b/>
          <w:bCs/>
          <w:color w:val="0A0F1E"/>
          <w:sz w:val="40"/>
          <w:szCs w:val="40"/>
        </w:rPr>
        <w:t xml:space="preserve">5. Hidden Gem Picks — April 2026</w:t>
      </w:r>
    </w:p>
    <w:p>
      <w:pPr>
        <w:spacing w:after="80" w:before="80"/>
        <w:jc w:val="left"/>
      </w:pPr>
      <w:r>
        <w:rPr>
          <w:rFonts w:ascii="Arial" w:cs="Arial" w:eastAsia="Arial" w:hAnsi="Arial"/>
          <w:b w:val="false"/>
          <w:bCs w:val="false"/>
          <w:i w:val="false"/>
          <w:iCs w:val="false"/>
          <w:color w:val="374151"/>
          <w:sz w:val="22"/>
          <w:szCs w:val="22"/>
        </w:rPr>
        <w:t xml:space="preserve">GEM-scored picks across the top 5 markets. Each assessed on Valuation Edge, Institutional Blindspot, Fundamental Strength, and Momentum Divergence.</w:t>
      </w:r>
    </w:p>
    <w:p>
      <w:r>
        <w:t xml:space="preserve"/>
      </w:r>
    </w:p>
    <w:p>
      <w:pPr>
        <w:pStyle w:val="Heading3"/>
        <w:spacing w:after="80" w:before="180"/>
      </w:pPr>
      <w:r>
        <w:rPr>
          <w:rFonts w:ascii="Arial" w:cs="Arial" w:eastAsia="Arial" w:hAnsi="Arial"/>
          <w:b/>
          <w:bCs/>
          <w:color w:val="1D4ED8"/>
          <w:sz w:val="26"/>
          <w:szCs w:val="26"/>
        </w:rPr>
        <w:t xml:space="preserve">GEM #1 — SOXX (iShares Semiconductor ETF)  |  Score: 88/100  |  ELITE</w:t>
      </w:r>
    </w:p>
    <w:tbl>
      <w:tblPr>
        <w:tblW w:type="dxa" w:w="9360"/>
        <w:tblBorders>
          <w:top w:val="single" w:color="auto" w:sz="4"/>
          <w:left w:val="single" w:color="auto" w:sz="4"/>
          <w:bottom w:val="single" w:color="auto" w:sz="4"/>
          <w:right w:val="single" w:color="auto" w:sz="4"/>
          <w:insideH w:val="single" w:color="auto" w:sz="4"/>
          <w:insideV w:val="single" w:color="auto" w:sz="4"/>
        </w:tblBorders>
      </w:tblPr>
      <w:tblGrid>
        <w:gridCol w:w="2500"/>
        <w:gridCol w:w="6860"/>
      </w:tblGrid>
      <w:tr>
        <w:trPr>
          <w:tblHeader/>
        </w:trPr>
        <w:tc>
          <w:tcPr>
            <w:tcW w:type="dxa" w:w="2500"/>
            <w:tcBorders>
              <w:top w:val="single" w:color="D1D5DB" w:sz="1"/>
              <w:left w:val="single" w:color="D1D5DB" w:sz="1"/>
              <w:bottom w:val="single" w:color="D1D5DB" w:sz="1"/>
              <w:right w:val="single" w:color="D1D5DB" w:sz="1"/>
            </w:tcBorders>
            <w:shd w:fill="1E3A5F" w:val="clear"/>
            <w:tcMar>
              <w:top w:type="dxa" w:w="80"/>
              <w:left w:type="dxa" w:w="120"/>
              <w:bottom w:type="dxa" w:w="80"/>
              <w:right w:type="dxa" w:w="120"/>
            </w:tcMar>
            <w:vAlign w:val="center"/>
          </w:tcPr>
          <w:p>
            <w:pPr>
              <w:jc w:val="left"/>
            </w:pPr>
            <w:r>
              <w:rPr>
                <w:rFonts w:ascii="Arial" w:cs="Arial" w:eastAsia="Arial" w:hAnsi="Arial"/>
                <w:b/>
                <w:bCs/>
                <w:color w:val="FFFFFF"/>
                <w:sz w:val="20"/>
                <w:szCs w:val="20"/>
              </w:rPr>
              <w:t xml:space="preserve">Criterion</w:t>
            </w:r>
          </w:p>
        </w:tc>
        <w:tc>
          <w:tcPr>
            <w:tcW w:type="dxa" w:w="6860"/>
            <w:tcBorders>
              <w:top w:val="single" w:color="D1D5DB" w:sz="1"/>
              <w:left w:val="single" w:color="D1D5DB" w:sz="1"/>
              <w:bottom w:val="single" w:color="D1D5DB" w:sz="1"/>
              <w:right w:val="single" w:color="D1D5DB" w:sz="1"/>
            </w:tcBorders>
            <w:shd w:fill="1E3A5F" w:val="clear"/>
            <w:tcMar>
              <w:top w:type="dxa" w:w="80"/>
              <w:left w:type="dxa" w:w="120"/>
              <w:bottom w:type="dxa" w:w="80"/>
              <w:right w:type="dxa" w:w="120"/>
            </w:tcMar>
            <w:vAlign w:val="center"/>
          </w:tcPr>
          <w:p>
            <w:pPr>
              <w:jc w:val="left"/>
            </w:pPr>
            <w:r>
              <w:rPr>
                <w:rFonts w:ascii="Arial" w:cs="Arial" w:eastAsia="Arial" w:hAnsi="Arial"/>
                <w:b/>
                <w:bCs/>
                <w:color w:val="FFFFFF"/>
                <w:sz w:val="20"/>
                <w:szCs w:val="20"/>
              </w:rPr>
              <w:t xml:space="preserve">Detail</w:t>
            </w:r>
          </w:p>
        </w:tc>
      </w:tr>
      <w:tr>
        <w:tc>
          <w:tcPr>
            <w:tcW w:type="dxa" w:w="2500"/>
            <w:tcBorders>
              <w:top w:val="single" w:color="D1D5DB" w:sz="1"/>
              <w:left w:val="single" w:color="D1D5DB" w:sz="1"/>
              <w:bottom w:val="single" w:color="D1D5DB" w:sz="1"/>
              <w:right w:val="single" w:color="D1D5DB" w:sz="1"/>
            </w:tcBorders>
            <w:shd w:fill="F8FAFC" w:val="clear"/>
            <w:tcMar>
              <w:top w:type="dxa" w:w="80"/>
              <w:left w:type="dxa" w:w="120"/>
              <w:bottom w:type="dxa" w:w="80"/>
              <w:right w:type="dxa" w:w="120"/>
            </w:tcMar>
            <w:vAlign w:val="center"/>
          </w:tcPr>
          <w:p>
            <w:pPr>
              <w:jc w:val="left"/>
            </w:pPr>
            <w:r>
              <w:rPr>
                <w:rFonts w:ascii="Arial" w:cs="Arial" w:eastAsia="Arial" w:hAnsi="Arial"/>
                <w:b/>
                <w:bCs/>
                <w:color w:val="374151"/>
                <w:sz w:val="19"/>
                <w:szCs w:val="19"/>
              </w:rPr>
              <w:t xml:space="preserve">Expense Ratio</w:t>
            </w:r>
          </w:p>
        </w:tc>
        <w:tc>
          <w:tcPr>
            <w:tcW w:type="dxa" w:w="6860"/>
            <w:tcBorders>
              <w:top w:val="single" w:color="D1D5DB" w:sz="1"/>
              <w:left w:val="single" w:color="D1D5DB" w:sz="1"/>
              <w:bottom w:val="single" w:color="D1D5DB" w:sz="1"/>
              <w:right w:val="single" w:color="D1D5DB" w:sz="1"/>
            </w:tcBorders>
            <w:shd w:fill="F8FAFC" w:val="clear"/>
            <w:tcMar>
              <w:top w:type="dxa" w:w="80"/>
              <w:left w:type="dxa" w:w="120"/>
              <w:bottom w:type="dxa" w:w="80"/>
              <w:right w:type="dxa" w:w="120"/>
            </w:tcMar>
            <w:vAlign w:val="center"/>
          </w:tcPr>
          <w:p>
            <w:pPr>
              <w:jc w:val="left"/>
            </w:pPr>
            <w:r>
              <w:rPr>
                <w:rFonts w:ascii="Arial" w:cs="Arial" w:eastAsia="Arial" w:hAnsi="Arial"/>
                <w:b w:val="false"/>
                <w:bCs w:val="false"/>
                <w:color w:val="374151"/>
                <w:sz w:val="19"/>
                <w:szCs w:val="19"/>
              </w:rPr>
              <w:t xml:space="preserve">0.35% | AUM: $14B+ | 30 semiconductor holdings</w:t>
            </w:r>
          </w:p>
        </w:tc>
      </w:tr>
      <w:tr>
        <w:tc>
          <w:tcPr>
            <w:tcW w:type="dxa" w:w="2500"/>
            <w:tcBorders>
              <w:top w:val="single" w:color="D1D5DB" w:sz="1"/>
              <w:left w:val="single" w:color="D1D5DB" w:sz="1"/>
              <w:bottom w:val="single" w:color="D1D5DB" w:sz="1"/>
              <w:right w:val="single" w:color="D1D5DB" w:sz="1"/>
            </w:tcBorders>
            <w:shd w:fill="FFFFFF" w:val="clear"/>
            <w:tcMar>
              <w:top w:type="dxa" w:w="80"/>
              <w:left w:type="dxa" w:w="120"/>
              <w:bottom w:type="dxa" w:w="80"/>
              <w:right w:type="dxa" w:w="120"/>
            </w:tcMar>
            <w:vAlign w:val="center"/>
          </w:tcPr>
          <w:p>
            <w:pPr>
              <w:jc w:val="left"/>
            </w:pPr>
            <w:r>
              <w:rPr>
                <w:rFonts w:ascii="Arial" w:cs="Arial" w:eastAsia="Arial" w:hAnsi="Arial"/>
                <w:b/>
                <w:bCs/>
                <w:color w:val="374151"/>
                <w:sz w:val="19"/>
                <w:szCs w:val="19"/>
              </w:rPr>
              <w:t xml:space="preserve">YTD Performance</w:t>
            </w:r>
          </w:p>
        </w:tc>
        <w:tc>
          <w:tcPr>
            <w:tcW w:type="dxa" w:w="6860"/>
            <w:tcBorders>
              <w:top w:val="single" w:color="D1D5DB" w:sz="1"/>
              <w:left w:val="single" w:color="D1D5DB" w:sz="1"/>
              <w:bottom w:val="single" w:color="D1D5DB" w:sz="1"/>
              <w:right w:val="single" w:color="D1D5DB" w:sz="1"/>
            </w:tcBorders>
            <w:shd w:fill="FFFFFF" w:val="clear"/>
            <w:tcMar>
              <w:top w:type="dxa" w:w="80"/>
              <w:left w:type="dxa" w:w="120"/>
              <w:bottom w:type="dxa" w:w="80"/>
              <w:right w:type="dxa" w:w="120"/>
            </w:tcMar>
            <w:vAlign w:val="center"/>
          </w:tcPr>
          <w:p>
            <w:pPr>
              <w:jc w:val="left"/>
            </w:pPr>
            <w:r>
              <w:rPr>
                <w:rFonts w:ascii="Arial" w:cs="Arial" w:eastAsia="Arial" w:hAnsi="Arial"/>
                <w:b w:val="false"/>
                <w:bCs w:val="false"/>
                <w:color w:val="374151"/>
                <w:sz w:val="19"/>
                <w:szCs w:val="19"/>
              </w:rPr>
              <w:t xml:space="preserve">+45.7% | Zacks Rank #1 (Strong Buy)</w:t>
            </w:r>
          </w:p>
        </w:tc>
      </w:tr>
      <w:tr>
        <w:tc>
          <w:tcPr>
            <w:tcW w:type="dxa" w:w="2500"/>
            <w:tcBorders>
              <w:top w:val="single" w:color="D1D5DB" w:sz="1"/>
              <w:left w:val="single" w:color="D1D5DB" w:sz="1"/>
              <w:bottom w:val="single" w:color="D1D5DB" w:sz="1"/>
              <w:right w:val="single" w:color="D1D5DB" w:sz="1"/>
            </w:tcBorders>
            <w:shd w:fill="F8FAFC" w:val="clear"/>
            <w:tcMar>
              <w:top w:type="dxa" w:w="80"/>
              <w:left w:type="dxa" w:w="120"/>
              <w:bottom w:type="dxa" w:w="80"/>
              <w:right w:type="dxa" w:w="120"/>
            </w:tcMar>
            <w:vAlign w:val="center"/>
          </w:tcPr>
          <w:p>
            <w:pPr>
              <w:jc w:val="left"/>
            </w:pPr>
            <w:r>
              <w:rPr>
                <w:rFonts w:ascii="Arial" w:cs="Arial" w:eastAsia="Arial" w:hAnsi="Arial"/>
                <w:b/>
                <w:bCs/>
                <w:color w:val="374151"/>
                <w:sz w:val="19"/>
                <w:szCs w:val="19"/>
              </w:rPr>
              <w:t xml:space="preserve">Why a Gem</w:t>
            </w:r>
          </w:p>
        </w:tc>
        <w:tc>
          <w:tcPr>
            <w:tcW w:type="dxa" w:w="6860"/>
            <w:tcBorders>
              <w:top w:val="single" w:color="D1D5DB" w:sz="1"/>
              <w:left w:val="single" w:color="D1D5DB" w:sz="1"/>
              <w:bottom w:val="single" w:color="D1D5DB" w:sz="1"/>
              <w:right w:val="single" w:color="D1D5DB" w:sz="1"/>
            </w:tcBorders>
            <w:shd w:fill="F8FAFC" w:val="clear"/>
            <w:tcMar>
              <w:top w:type="dxa" w:w="80"/>
              <w:left w:type="dxa" w:w="120"/>
              <w:bottom w:type="dxa" w:w="80"/>
              <w:right w:type="dxa" w:w="120"/>
            </w:tcMar>
            <w:vAlign w:val="center"/>
          </w:tcPr>
          <w:p>
            <w:pPr>
              <w:jc w:val="left"/>
            </w:pPr>
            <w:r>
              <w:rPr>
                <w:rFonts w:ascii="Arial" w:cs="Arial" w:eastAsia="Arial" w:hAnsi="Arial"/>
                <w:b w:val="false"/>
                <w:bCs w:val="false"/>
                <w:color w:val="374151"/>
                <w:sz w:val="19"/>
                <w:szCs w:val="19"/>
              </w:rPr>
              <w:t xml:space="preserve">AI inference capex super-cycle still early innings. Every cloud provider spending $50–100B on AI infra in 2026. SOXX = selling picks during a gold rush.</w:t>
            </w:r>
          </w:p>
        </w:tc>
      </w:tr>
      <w:tr>
        <w:tc>
          <w:tcPr>
            <w:tcW w:type="dxa" w:w="2500"/>
            <w:tcBorders>
              <w:top w:val="single" w:color="D1D5DB" w:sz="1"/>
              <w:left w:val="single" w:color="D1D5DB" w:sz="1"/>
              <w:bottom w:val="single" w:color="D1D5DB" w:sz="1"/>
              <w:right w:val="single" w:color="D1D5DB" w:sz="1"/>
            </w:tcBorders>
            <w:shd w:fill="FFFFFF" w:val="clear"/>
            <w:tcMar>
              <w:top w:type="dxa" w:w="80"/>
              <w:left w:type="dxa" w:w="120"/>
              <w:bottom w:type="dxa" w:w="80"/>
              <w:right w:type="dxa" w:w="120"/>
            </w:tcMar>
            <w:vAlign w:val="center"/>
          </w:tcPr>
          <w:p>
            <w:pPr>
              <w:jc w:val="left"/>
            </w:pPr>
            <w:r>
              <w:rPr>
                <w:rFonts w:ascii="Arial" w:cs="Arial" w:eastAsia="Arial" w:hAnsi="Arial"/>
                <w:b/>
                <w:bCs/>
                <w:color w:val="374151"/>
                <w:sz w:val="19"/>
                <w:szCs w:val="19"/>
              </w:rPr>
              <w:t xml:space="preserve">Catalyst</w:t>
            </w:r>
          </w:p>
        </w:tc>
        <w:tc>
          <w:tcPr>
            <w:tcW w:type="dxa" w:w="6860"/>
            <w:tcBorders>
              <w:top w:val="single" w:color="D1D5DB" w:sz="1"/>
              <w:left w:val="single" w:color="D1D5DB" w:sz="1"/>
              <w:bottom w:val="single" w:color="D1D5DB" w:sz="1"/>
              <w:right w:val="single" w:color="D1D5DB" w:sz="1"/>
            </w:tcBorders>
            <w:shd w:fill="FFFFFF" w:val="clear"/>
            <w:tcMar>
              <w:top w:type="dxa" w:w="80"/>
              <w:left w:type="dxa" w:w="120"/>
              <w:bottom w:type="dxa" w:w="80"/>
              <w:right w:type="dxa" w:w="120"/>
            </w:tcMar>
            <w:vAlign w:val="center"/>
          </w:tcPr>
          <w:p>
            <w:pPr>
              <w:jc w:val="left"/>
            </w:pPr>
            <w:r>
              <w:rPr>
                <w:rFonts w:ascii="Arial" w:cs="Arial" w:eastAsia="Arial" w:hAnsi="Arial"/>
                <w:b w:val="false"/>
                <w:bCs w:val="false"/>
                <w:color w:val="374151"/>
                <w:sz w:val="19"/>
                <w:szCs w:val="19"/>
              </w:rPr>
              <w:t xml:space="preserve">Continued AI infrastructure buildout by AWS, Azure, Google through 2028</w:t>
            </w:r>
          </w:p>
        </w:tc>
      </w:tr>
      <w:tr>
        <w:tc>
          <w:tcPr>
            <w:tcW w:type="dxa" w:w="2500"/>
            <w:tcBorders>
              <w:top w:val="single" w:color="D1D5DB" w:sz="1"/>
              <w:left w:val="single" w:color="D1D5DB" w:sz="1"/>
              <w:bottom w:val="single" w:color="D1D5DB" w:sz="1"/>
              <w:right w:val="single" w:color="D1D5DB" w:sz="1"/>
            </w:tcBorders>
            <w:shd w:fill="F8FAFC" w:val="clear"/>
            <w:tcMar>
              <w:top w:type="dxa" w:w="80"/>
              <w:left w:type="dxa" w:w="120"/>
              <w:bottom w:type="dxa" w:w="80"/>
              <w:right w:type="dxa" w:w="120"/>
            </w:tcMar>
            <w:vAlign w:val="center"/>
          </w:tcPr>
          <w:p>
            <w:pPr>
              <w:jc w:val="left"/>
            </w:pPr>
            <w:r>
              <w:rPr>
                <w:rFonts w:ascii="Arial" w:cs="Arial" w:eastAsia="Arial" w:hAnsi="Arial"/>
                <w:b/>
                <w:bCs/>
                <w:color w:val="374151"/>
                <w:sz w:val="19"/>
                <w:szCs w:val="19"/>
              </w:rPr>
              <w:t xml:space="preserve">Risk</w:t>
            </w:r>
          </w:p>
        </w:tc>
        <w:tc>
          <w:tcPr>
            <w:tcW w:type="dxa" w:w="6860"/>
            <w:tcBorders>
              <w:top w:val="single" w:color="D1D5DB" w:sz="1"/>
              <w:left w:val="single" w:color="D1D5DB" w:sz="1"/>
              <w:bottom w:val="single" w:color="D1D5DB" w:sz="1"/>
              <w:right w:val="single" w:color="D1D5DB" w:sz="1"/>
            </w:tcBorders>
            <w:shd w:fill="F8FAFC" w:val="clear"/>
            <w:tcMar>
              <w:top w:type="dxa" w:w="80"/>
              <w:left w:type="dxa" w:w="120"/>
              <w:bottom w:type="dxa" w:w="80"/>
              <w:right w:type="dxa" w:w="120"/>
            </w:tcMar>
            <w:vAlign w:val="center"/>
          </w:tcPr>
          <w:p>
            <w:pPr>
              <w:jc w:val="left"/>
            </w:pPr>
            <w:r>
              <w:rPr>
                <w:rFonts w:ascii="Arial" w:cs="Arial" w:eastAsia="Arial" w:hAnsi="Arial"/>
                <w:b w:val="false"/>
                <w:bCs w:val="false"/>
                <w:color w:val="374151"/>
                <w:sz w:val="19"/>
                <w:szCs w:val="19"/>
              </w:rPr>
              <w:t xml:space="preserve">Taiwan Strait escalation = -40% overnight black swan. Size at 10%, not 20%.</w:t>
            </w:r>
          </w:p>
        </w:tc>
      </w:tr>
      <w:tr>
        <w:tc>
          <w:tcPr>
            <w:tcW w:type="dxa" w:w="2500"/>
            <w:tcBorders>
              <w:top w:val="single" w:color="D1D5DB" w:sz="1"/>
              <w:left w:val="single" w:color="D1D5DB" w:sz="1"/>
              <w:bottom w:val="single" w:color="D1D5DB" w:sz="1"/>
              <w:right w:val="single" w:color="D1D5DB" w:sz="1"/>
            </w:tcBorders>
            <w:shd w:fill="FFFFFF" w:val="clear"/>
            <w:tcMar>
              <w:top w:type="dxa" w:w="80"/>
              <w:left w:type="dxa" w:w="120"/>
              <w:bottom w:type="dxa" w:w="80"/>
              <w:right w:type="dxa" w:w="120"/>
            </w:tcMar>
            <w:vAlign w:val="center"/>
          </w:tcPr>
          <w:p>
            <w:pPr>
              <w:jc w:val="left"/>
            </w:pPr>
            <w:r>
              <w:rPr>
                <w:rFonts w:ascii="Arial" w:cs="Arial" w:eastAsia="Arial" w:hAnsi="Arial"/>
                <w:b/>
                <w:bCs/>
                <w:color w:val="374151"/>
                <w:sz w:val="19"/>
                <w:szCs w:val="19"/>
              </w:rPr>
              <w:t xml:space="preserve">NRI Access</w:t>
            </w:r>
          </w:p>
        </w:tc>
        <w:tc>
          <w:tcPr>
            <w:tcW w:type="dxa" w:w="6860"/>
            <w:tcBorders>
              <w:top w:val="single" w:color="D1D5DB" w:sz="1"/>
              <w:left w:val="single" w:color="D1D5DB" w:sz="1"/>
              <w:bottom w:val="single" w:color="D1D5DB" w:sz="1"/>
              <w:right w:val="single" w:color="D1D5DB" w:sz="1"/>
            </w:tcBorders>
            <w:shd w:fill="FFFFFF" w:val="clear"/>
            <w:tcMar>
              <w:top w:type="dxa" w:w="80"/>
              <w:left w:type="dxa" w:w="120"/>
              <w:bottom w:type="dxa" w:w="80"/>
              <w:right w:type="dxa" w:w="120"/>
            </w:tcMar>
            <w:vAlign w:val="center"/>
          </w:tcPr>
          <w:p>
            <w:pPr>
              <w:jc w:val="left"/>
            </w:pPr>
            <w:r>
              <w:rPr>
                <w:rFonts w:ascii="Arial" w:cs="Arial" w:eastAsia="Arial" w:hAnsi="Arial"/>
                <w:b w:val="false"/>
                <w:bCs w:val="false"/>
                <w:color w:val="374151"/>
                <w:sz w:val="19"/>
                <w:szCs w:val="19"/>
              </w:rPr>
              <w:t xml:space="preserve">Buy via IBKR Singapore. Zero US CGT. File W-8BEN for 15% dividend WHT.</w:t>
            </w:r>
          </w:p>
        </w:tc>
      </w:tr>
    </w:tbl>
    <w:p>
      <w:r>
        <w:t xml:space="preserve"/>
      </w:r>
    </w:p>
    <w:p>
      <w:pPr>
        <w:pStyle w:val="Heading3"/>
        <w:spacing w:after="80" w:before="180"/>
      </w:pPr>
      <w:r>
        <w:rPr>
          <w:rFonts w:ascii="Arial" w:cs="Arial" w:eastAsia="Arial" w:hAnsi="Arial"/>
          <w:b/>
          <w:bCs/>
          <w:color w:val="1D4ED8"/>
          <w:sz w:val="26"/>
          <w:szCs w:val="26"/>
        </w:rPr>
        <w:t xml:space="preserve">GEM #2 — India Midcap + INDA ETF  |  Score: 85/100  |  ELITE</w:t>
      </w:r>
    </w:p>
    <w:tbl>
      <w:tblPr>
        <w:tblW w:type="dxa" w:w="9360"/>
        <w:tblBorders>
          <w:top w:val="single" w:color="auto" w:sz="4"/>
          <w:left w:val="single" w:color="auto" w:sz="4"/>
          <w:bottom w:val="single" w:color="auto" w:sz="4"/>
          <w:right w:val="single" w:color="auto" w:sz="4"/>
          <w:insideH w:val="single" w:color="auto" w:sz="4"/>
          <w:insideV w:val="single" w:color="auto" w:sz="4"/>
        </w:tblBorders>
      </w:tblPr>
      <w:tblGrid>
        <w:gridCol w:w="2500"/>
        <w:gridCol w:w="6860"/>
      </w:tblGrid>
      <w:tr>
        <w:trPr>
          <w:tblHeader/>
        </w:trPr>
        <w:tc>
          <w:tcPr>
            <w:tcW w:type="dxa" w:w="2500"/>
            <w:tcBorders>
              <w:top w:val="single" w:color="D1D5DB" w:sz="1"/>
              <w:left w:val="single" w:color="D1D5DB" w:sz="1"/>
              <w:bottom w:val="single" w:color="D1D5DB" w:sz="1"/>
              <w:right w:val="single" w:color="D1D5DB" w:sz="1"/>
            </w:tcBorders>
            <w:shd w:fill="1E3A5F" w:val="clear"/>
            <w:tcMar>
              <w:top w:type="dxa" w:w="80"/>
              <w:left w:type="dxa" w:w="120"/>
              <w:bottom w:type="dxa" w:w="80"/>
              <w:right w:type="dxa" w:w="120"/>
            </w:tcMar>
            <w:vAlign w:val="center"/>
          </w:tcPr>
          <w:p>
            <w:pPr>
              <w:jc w:val="left"/>
            </w:pPr>
            <w:r>
              <w:rPr>
                <w:rFonts w:ascii="Arial" w:cs="Arial" w:eastAsia="Arial" w:hAnsi="Arial"/>
                <w:b/>
                <w:bCs/>
                <w:color w:val="FFFFFF"/>
                <w:sz w:val="20"/>
                <w:szCs w:val="20"/>
              </w:rPr>
              <w:t xml:space="preserve">Criterion</w:t>
            </w:r>
          </w:p>
        </w:tc>
        <w:tc>
          <w:tcPr>
            <w:tcW w:type="dxa" w:w="6860"/>
            <w:tcBorders>
              <w:top w:val="single" w:color="D1D5DB" w:sz="1"/>
              <w:left w:val="single" w:color="D1D5DB" w:sz="1"/>
              <w:bottom w:val="single" w:color="D1D5DB" w:sz="1"/>
              <w:right w:val="single" w:color="D1D5DB" w:sz="1"/>
            </w:tcBorders>
            <w:shd w:fill="1E3A5F" w:val="clear"/>
            <w:tcMar>
              <w:top w:type="dxa" w:w="80"/>
              <w:left w:type="dxa" w:w="120"/>
              <w:bottom w:type="dxa" w:w="80"/>
              <w:right w:type="dxa" w:w="120"/>
            </w:tcMar>
            <w:vAlign w:val="center"/>
          </w:tcPr>
          <w:p>
            <w:pPr>
              <w:jc w:val="left"/>
            </w:pPr>
            <w:r>
              <w:rPr>
                <w:rFonts w:ascii="Arial" w:cs="Arial" w:eastAsia="Arial" w:hAnsi="Arial"/>
                <w:b/>
                <w:bCs/>
                <w:color w:val="FFFFFF"/>
                <w:sz w:val="20"/>
                <w:szCs w:val="20"/>
              </w:rPr>
              <w:t xml:space="preserve">Detail</w:t>
            </w:r>
          </w:p>
        </w:tc>
      </w:tr>
      <w:tr>
        <w:tc>
          <w:tcPr>
            <w:tcW w:type="dxa" w:w="2500"/>
            <w:tcBorders>
              <w:top w:val="single" w:color="D1D5DB" w:sz="1"/>
              <w:left w:val="single" w:color="D1D5DB" w:sz="1"/>
              <w:bottom w:val="single" w:color="D1D5DB" w:sz="1"/>
              <w:right w:val="single" w:color="D1D5DB" w:sz="1"/>
            </w:tcBorders>
            <w:shd w:fill="F8FAFC" w:val="clear"/>
            <w:tcMar>
              <w:top w:type="dxa" w:w="80"/>
              <w:left w:type="dxa" w:w="120"/>
              <w:bottom w:type="dxa" w:w="80"/>
              <w:right w:type="dxa" w:w="120"/>
            </w:tcMar>
            <w:vAlign w:val="center"/>
          </w:tcPr>
          <w:p>
            <w:pPr>
              <w:jc w:val="left"/>
            </w:pPr>
            <w:r>
              <w:rPr>
                <w:rFonts w:ascii="Arial" w:cs="Arial" w:eastAsia="Arial" w:hAnsi="Arial"/>
                <w:b/>
                <w:bCs/>
                <w:color w:val="374151"/>
                <w:sz w:val="19"/>
                <w:szCs w:val="19"/>
              </w:rPr>
              <w:t xml:space="preserve">Economic Context</w:t>
            </w:r>
          </w:p>
        </w:tc>
        <w:tc>
          <w:tcPr>
            <w:tcW w:type="dxa" w:w="6860"/>
            <w:tcBorders>
              <w:top w:val="single" w:color="D1D5DB" w:sz="1"/>
              <w:left w:val="single" w:color="D1D5DB" w:sz="1"/>
              <w:bottom w:val="single" w:color="D1D5DB" w:sz="1"/>
              <w:right w:val="single" w:color="D1D5DB" w:sz="1"/>
            </w:tcBorders>
            <w:shd w:fill="F8FAFC" w:val="clear"/>
            <w:tcMar>
              <w:top w:type="dxa" w:w="80"/>
              <w:left w:type="dxa" w:w="120"/>
              <w:bottom w:type="dxa" w:w="80"/>
              <w:right w:type="dxa" w:w="120"/>
            </w:tcMar>
            <w:vAlign w:val="center"/>
          </w:tcPr>
          <w:p>
            <w:pPr>
              <w:jc w:val="left"/>
            </w:pPr>
            <w:r>
              <w:rPr>
                <w:rFonts w:ascii="Arial" w:cs="Arial" w:eastAsia="Arial" w:hAnsi="Arial"/>
                <w:b w:val="false"/>
                <w:bCs w:val="false"/>
                <w:color w:val="374151"/>
                <w:sz w:val="19"/>
                <w:szCs w:val="19"/>
              </w:rPr>
              <w:t xml:space="preserve">GDP 6.5–7% | DII deployed $77B in 2025 | RBI cutting rates</w:t>
            </w:r>
          </w:p>
        </w:tc>
      </w:tr>
      <w:tr>
        <w:tc>
          <w:tcPr>
            <w:tcW w:type="dxa" w:w="2500"/>
            <w:tcBorders>
              <w:top w:val="single" w:color="D1D5DB" w:sz="1"/>
              <w:left w:val="single" w:color="D1D5DB" w:sz="1"/>
              <w:bottom w:val="single" w:color="D1D5DB" w:sz="1"/>
              <w:right w:val="single" w:color="D1D5DB" w:sz="1"/>
            </w:tcBorders>
            <w:shd w:fill="FFFFFF" w:val="clear"/>
            <w:tcMar>
              <w:top w:type="dxa" w:w="80"/>
              <w:left w:type="dxa" w:w="120"/>
              <w:bottom w:type="dxa" w:w="80"/>
              <w:right w:type="dxa" w:w="120"/>
            </w:tcMar>
            <w:vAlign w:val="center"/>
          </w:tcPr>
          <w:p>
            <w:pPr>
              <w:jc w:val="left"/>
            </w:pPr>
            <w:r>
              <w:rPr>
                <w:rFonts w:ascii="Arial" w:cs="Arial" w:eastAsia="Arial" w:hAnsi="Arial"/>
                <w:b/>
                <w:bCs/>
                <w:color w:val="374151"/>
                <w:sz w:val="19"/>
                <w:szCs w:val="19"/>
              </w:rPr>
              <w:t xml:space="preserve">Target</w:t>
            </w:r>
          </w:p>
        </w:tc>
        <w:tc>
          <w:tcPr>
            <w:tcW w:type="dxa" w:w="6860"/>
            <w:tcBorders>
              <w:top w:val="single" w:color="D1D5DB" w:sz="1"/>
              <w:left w:val="single" w:color="D1D5DB" w:sz="1"/>
              <w:bottom w:val="single" w:color="D1D5DB" w:sz="1"/>
              <w:right w:val="single" w:color="D1D5DB" w:sz="1"/>
            </w:tcBorders>
            <w:shd w:fill="FFFFFF" w:val="clear"/>
            <w:tcMar>
              <w:top w:type="dxa" w:w="80"/>
              <w:left w:type="dxa" w:w="120"/>
              <w:bottom w:type="dxa" w:w="80"/>
              <w:right w:type="dxa" w:w="120"/>
            </w:tcMar>
            <w:vAlign w:val="center"/>
          </w:tcPr>
          <w:p>
            <w:pPr>
              <w:jc w:val="left"/>
            </w:pPr>
            <w:r>
              <w:rPr>
                <w:rFonts w:ascii="Arial" w:cs="Arial" w:eastAsia="Arial" w:hAnsi="Arial"/>
                <w:b w:val="false"/>
                <w:bCs w:val="false"/>
                <w:color w:val="374151"/>
                <w:sz w:val="19"/>
                <w:szCs w:val="19"/>
              </w:rPr>
              <w:t xml:space="preserve">Nifty 50 year-end target 28,500 | Mid-caps historically 18–22% CAGR in recovery cycles</w:t>
            </w:r>
          </w:p>
        </w:tc>
      </w:tr>
      <w:tr>
        <w:tc>
          <w:tcPr>
            <w:tcW w:type="dxa" w:w="2500"/>
            <w:tcBorders>
              <w:top w:val="single" w:color="D1D5DB" w:sz="1"/>
              <w:left w:val="single" w:color="D1D5DB" w:sz="1"/>
              <w:bottom w:val="single" w:color="D1D5DB" w:sz="1"/>
              <w:right w:val="single" w:color="D1D5DB" w:sz="1"/>
            </w:tcBorders>
            <w:shd w:fill="F8FAFC" w:val="clear"/>
            <w:tcMar>
              <w:top w:type="dxa" w:w="80"/>
              <w:left w:type="dxa" w:w="120"/>
              <w:bottom w:type="dxa" w:w="80"/>
              <w:right w:type="dxa" w:w="120"/>
            </w:tcMar>
            <w:vAlign w:val="center"/>
          </w:tcPr>
          <w:p>
            <w:pPr>
              <w:jc w:val="left"/>
            </w:pPr>
            <w:r>
              <w:rPr>
                <w:rFonts w:ascii="Arial" w:cs="Arial" w:eastAsia="Arial" w:hAnsi="Arial"/>
                <w:b/>
                <w:bCs/>
                <w:color w:val="374151"/>
                <w:sz w:val="19"/>
                <w:szCs w:val="19"/>
              </w:rPr>
              <w:t xml:space="preserve">Why a Gem</w:t>
            </w:r>
          </w:p>
        </w:tc>
        <w:tc>
          <w:tcPr>
            <w:tcW w:type="dxa" w:w="6860"/>
            <w:tcBorders>
              <w:top w:val="single" w:color="D1D5DB" w:sz="1"/>
              <w:left w:val="single" w:color="D1D5DB" w:sz="1"/>
              <w:bottom w:val="single" w:color="D1D5DB" w:sz="1"/>
              <w:right w:val="single" w:color="D1D5DB" w:sz="1"/>
            </w:tcBorders>
            <w:shd w:fill="F8FAFC" w:val="clear"/>
            <w:tcMar>
              <w:top w:type="dxa" w:w="80"/>
              <w:left w:type="dxa" w:w="120"/>
              <w:bottom w:type="dxa" w:w="80"/>
              <w:right w:type="dxa" w:w="120"/>
            </w:tcMar>
            <w:vAlign w:val="center"/>
          </w:tcPr>
          <w:p>
            <w:pPr>
              <w:jc w:val="left"/>
            </w:pPr>
            <w:r>
              <w:rPr>
                <w:rFonts w:ascii="Arial" w:cs="Arial" w:eastAsia="Arial" w:hAnsi="Arial"/>
                <w:b w:val="false"/>
                <w:bCs w:val="false"/>
                <w:color w:val="374151"/>
                <w:sz w:val="19"/>
                <w:szCs w:val="19"/>
              </w:rPr>
              <w:t xml:space="preserve">India is in the exact setup (rate cuts + consumption recovery) that historically drives mid-cap re-rating. You have the NRE advantage others don't.</w:t>
            </w:r>
          </w:p>
        </w:tc>
      </w:tr>
      <w:tr>
        <w:tc>
          <w:tcPr>
            <w:tcW w:type="dxa" w:w="2500"/>
            <w:tcBorders>
              <w:top w:val="single" w:color="D1D5DB" w:sz="1"/>
              <w:left w:val="single" w:color="D1D5DB" w:sz="1"/>
              <w:bottom w:val="single" w:color="D1D5DB" w:sz="1"/>
              <w:right w:val="single" w:color="D1D5DB" w:sz="1"/>
            </w:tcBorders>
            <w:shd w:fill="FFFFFF" w:val="clear"/>
            <w:tcMar>
              <w:top w:type="dxa" w:w="80"/>
              <w:left w:type="dxa" w:w="120"/>
              <w:bottom w:type="dxa" w:w="80"/>
              <w:right w:type="dxa" w:w="120"/>
            </w:tcMar>
            <w:vAlign w:val="center"/>
          </w:tcPr>
          <w:p>
            <w:pPr>
              <w:jc w:val="left"/>
            </w:pPr>
            <w:r>
              <w:rPr>
                <w:rFonts w:ascii="Arial" w:cs="Arial" w:eastAsia="Arial" w:hAnsi="Arial"/>
                <w:b/>
                <w:bCs/>
                <w:color w:val="374151"/>
                <w:sz w:val="19"/>
                <w:szCs w:val="19"/>
              </w:rPr>
              <w:t xml:space="preserve">Catalyst</w:t>
            </w:r>
          </w:p>
        </w:tc>
        <w:tc>
          <w:tcPr>
            <w:tcW w:type="dxa" w:w="6860"/>
            <w:tcBorders>
              <w:top w:val="single" w:color="D1D5DB" w:sz="1"/>
              <w:left w:val="single" w:color="D1D5DB" w:sz="1"/>
              <w:bottom w:val="single" w:color="D1D5DB" w:sz="1"/>
              <w:right w:val="single" w:color="D1D5DB" w:sz="1"/>
            </w:tcBorders>
            <w:shd w:fill="FFFFFF" w:val="clear"/>
            <w:tcMar>
              <w:top w:type="dxa" w:w="80"/>
              <w:left w:type="dxa" w:w="120"/>
              <w:bottom w:type="dxa" w:w="80"/>
              <w:right w:type="dxa" w:w="120"/>
            </w:tcMar>
            <w:vAlign w:val="center"/>
          </w:tcPr>
          <w:p>
            <w:pPr>
              <w:jc w:val="left"/>
            </w:pPr>
            <w:r>
              <w:rPr>
                <w:rFonts w:ascii="Arial" w:cs="Arial" w:eastAsia="Arial" w:hAnsi="Arial"/>
                <w:b w:val="false"/>
                <w:bCs w:val="false"/>
                <w:color w:val="374151"/>
                <w:sz w:val="19"/>
                <w:szCs w:val="19"/>
              </w:rPr>
              <w:t xml:space="preserve">H2 2026 earnings acceleration in consumer discretionary, financial services, defence</w:t>
            </w:r>
          </w:p>
        </w:tc>
      </w:tr>
      <w:tr>
        <w:tc>
          <w:tcPr>
            <w:tcW w:type="dxa" w:w="2500"/>
            <w:tcBorders>
              <w:top w:val="single" w:color="D1D5DB" w:sz="1"/>
              <w:left w:val="single" w:color="D1D5DB" w:sz="1"/>
              <w:bottom w:val="single" w:color="D1D5DB" w:sz="1"/>
              <w:right w:val="single" w:color="D1D5DB" w:sz="1"/>
            </w:tcBorders>
            <w:shd w:fill="F8FAFC" w:val="clear"/>
            <w:tcMar>
              <w:top w:type="dxa" w:w="80"/>
              <w:left w:type="dxa" w:w="120"/>
              <w:bottom w:type="dxa" w:w="80"/>
              <w:right w:type="dxa" w:w="120"/>
            </w:tcMar>
            <w:vAlign w:val="center"/>
          </w:tcPr>
          <w:p>
            <w:pPr>
              <w:jc w:val="left"/>
            </w:pPr>
            <w:r>
              <w:rPr>
                <w:rFonts w:ascii="Arial" w:cs="Arial" w:eastAsia="Arial" w:hAnsi="Arial"/>
                <w:b/>
                <w:bCs/>
                <w:color w:val="374151"/>
                <w:sz w:val="19"/>
                <w:szCs w:val="19"/>
              </w:rPr>
              <w:t xml:space="preserve">Risk</w:t>
            </w:r>
          </w:p>
        </w:tc>
        <w:tc>
          <w:tcPr>
            <w:tcW w:type="dxa" w:w="6860"/>
            <w:tcBorders>
              <w:top w:val="single" w:color="D1D5DB" w:sz="1"/>
              <w:left w:val="single" w:color="D1D5DB" w:sz="1"/>
              <w:bottom w:val="single" w:color="D1D5DB" w:sz="1"/>
              <w:right w:val="single" w:color="D1D5DB" w:sz="1"/>
            </w:tcBorders>
            <w:shd w:fill="F8FAFC" w:val="clear"/>
            <w:tcMar>
              <w:top w:type="dxa" w:w="80"/>
              <w:left w:type="dxa" w:w="120"/>
              <w:bottom w:type="dxa" w:w="80"/>
              <w:right w:type="dxa" w:w="120"/>
            </w:tcMar>
            <w:vAlign w:val="center"/>
          </w:tcPr>
          <w:p>
            <w:pPr>
              <w:jc w:val="left"/>
            </w:pPr>
            <w:r>
              <w:rPr>
                <w:rFonts w:ascii="Arial" w:cs="Arial" w:eastAsia="Arial" w:hAnsi="Arial"/>
                <w:b w:val="false"/>
                <w:bCs w:val="false"/>
                <w:color w:val="374151"/>
                <w:sz w:val="19"/>
                <w:szCs w:val="19"/>
              </w:rPr>
              <w:t xml:space="preserve">INR depreciation, FII selling resumes, global risk-off event</w:t>
            </w:r>
          </w:p>
        </w:tc>
      </w:tr>
      <w:tr>
        <w:tc>
          <w:tcPr>
            <w:tcW w:type="dxa" w:w="2500"/>
            <w:tcBorders>
              <w:top w:val="single" w:color="D1D5DB" w:sz="1"/>
              <w:left w:val="single" w:color="D1D5DB" w:sz="1"/>
              <w:bottom w:val="single" w:color="D1D5DB" w:sz="1"/>
              <w:right w:val="single" w:color="D1D5DB" w:sz="1"/>
            </w:tcBorders>
            <w:shd w:fill="FFFFFF" w:val="clear"/>
            <w:tcMar>
              <w:top w:type="dxa" w:w="80"/>
              <w:left w:type="dxa" w:w="120"/>
              <w:bottom w:type="dxa" w:w="80"/>
              <w:right w:type="dxa" w:w="120"/>
            </w:tcMar>
            <w:vAlign w:val="center"/>
          </w:tcPr>
          <w:p>
            <w:pPr>
              <w:jc w:val="left"/>
            </w:pPr>
            <w:r>
              <w:rPr>
                <w:rFonts w:ascii="Arial" w:cs="Arial" w:eastAsia="Arial" w:hAnsi="Arial"/>
                <w:b/>
                <w:bCs/>
                <w:color w:val="374151"/>
                <w:sz w:val="19"/>
                <w:szCs w:val="19"/>
              </w:rPr>
              <w:t xml:space="preserve">NRI Access</w:t>
            </w:r>
          </w:p>
        </w:tc>
        <w:tc>
          <w:tcPr>
            <w:tcW w:type="dxa" w:w="6860"/>
            <w:tcBorders>
              <w:top w:val="single" w:color="D1D5DB" w:sz="1"/>
              <w:left w:val="single" w:color="D1D5DB" w:sz="1"/>
              <w:bottom w:val="single" w:color="D1D5DB" w:sz="1"/>
              <w:right w:val="single" w:color="D1D5DB" w:sz="1"/>
            </w:tcBorders>
            <w:shd w:fill="FFFFFF" w:val="clear"/>
            <w:tcMar>
              <w:top w:type="dxa" w:w="80"/>
              <w:left w:type="dxa" w:w="120"/>
              <w:bottom w:type="dxa" w:w="80"/>
              <w:right w:type="dxa" w:w="120"/>
            </w:tcMar>
            <w:vAlign w:val="center"/>
          </w:tcPr>
          <w:p>
            <w:pPr>
              <w:jc w:val="left"/>
            </w:pPr>
            <w:r>
              <w:rPr>
                <w:rFonts w:ascii="Arial" w:cs="Arial" w:eastAsia="Arial" w:hAnsi="Arial"/>
                <w:b w:val="false"/>
                <w:bCs w:val="false"/>
                <w:color w:val="374151"/>
                <w:sz w:val="19"/>
                <w:szCs w:val="19"/>
              </w:rPr>
              <w:t xml:space="preserve">NRE Demat for direct stocks. INDA ETF via IBKR SG for convenience.</w:t>
            </w:r>
          </w:p>
        </w:tc>
      </w:tr>
    </w:tbl>
    <w:p>
      <w:r>
        <w:t xml:space="preserve"/>
      </w:r>
    </w:p>
    <w:p>
      <w:pPr>
        <w:pStyle w:val="Heading3"/>
        <w:spacing w:after="80" w:before="180"/>
      </w:pPr>
      <w:r>
        <w:rPr>
          <w:rFonts w:ascii="Arial" w:cs="Arial" w:eastAsia="Arial" w:hAnsi="Arial"/>
          <w:b/>
          <w:bCs/>
          <w:color w:val="1D4ED8"/>
          <w:sz w:val="26"/>
          <w:szCs w:val="26"/>
        </w:rPr>
        <w:t xml:space="preserve">GEM #3 — IAU (iShares Gold Trust)  |  Score: 82/100  |  ELITE</w:t>
      </w:r>
    </w:p>
    <w:tbl>
      <w:tblPr>
        <w:tblW w:type="dxa" w:w="9360"/>
        <w:tblBorders>
          <w:top w:val="single" w:color="auto" w:sz="4"/>
          <w:left w:val="single" w:color="auto" w:sz="4"/>
          <w:bottom w:val="single" w:color="auto" w:sz="4"/>
          <w:right w:val="single" w:color="auto" w:sz="4"/>
          <w:insideH w:val="single" w:color="auto" w:sz="4"/>
          <w:insideV w:val="single" w:color="auto" w:sz="4"/>
        </w:tblBorders>
      </w:tblPr>
      <w:tblGrid>
        <w:gridCol w:w="2500"/>
        <w:gridCol w:w="6860"/>
      </w:tblGrid>
      <w:tr>
        <w:trPr>
          <w:tblHeader/>
        </w:trPr>
        <w:tc>
          <w:tcPr>
            <w:tcW w:type="dxa" w:w="2500"/>
            <w:tcBorders>
              <w:top w:val="single" w:color="D1D5DB" w:sz="1"/>
              <w:left w:val="single" w:color="D1D5DB" w:sz="1"/>
              <w:bottom w:val="single" w:color="D1D5DB" w:sz="1"/>
              <w:right w:val="single" w:color="D1D5DB" w:sz="1"/>
            </w:tcBorders>
            <w:shd w:fill="1E3A5F" w:val="clear"/>
            <w:tcMar>
              <w:top w:type="dxa" w:w="80"/>
              <w:left w:type="dxa" w:w="120"/>
              <w:bottom w:type="dxa" w:w="80"/>
              <w:right w:type="dxa" w:w="120"/>
            </w:tcMar>
            <w:vAlign w:val="center"/>
          </w:tcPr>
          <w:p>
            <w:pPr>
              <w:jc w:val="left"/>
            </w:pPr>
            <w:r>
              <w:rPr>
                <w:rFonts w:ascii="Arial" w:cs="Arial" w:eastAsia="Arial" w:hAnsi="Arial"/>
                <w:b/>
                <w:bCs/>
                <w:color w:val="FFFFFF"/>
                <w:sz w:val="20"/>
                <w:szCs w:val="20"/>
              </w:rPr>
              <w:t xml:space="preserve">Criterion</w:t>
            </w:r>
          </w:p>
        </w:tc>
        <w:tc>
          <w:tcPr>
            <w:tcW w:type="dxa" w:w="6860"/>
            <w:tcBorders>
              <w:top w:val="single" w:color="D1D5DB" w:sz="1"/>
              <w:left w:val="single" w:color="D1D5DB" w:sz="1"/>
              <w:bottom w:val="single" w:color="D1D5DB" w:sz="1"/>
              <w:right w:val="single" w:color="D1D5DB" w:sz="1"/>
            </w:tcBorders>
            <w:shd w:fill="1E3A5F" w:val="clear"/>
            <w:tcMar>
              <w:top w:type="dxa" w:w="80"/>
              <w:left w:type="dxa" w:w="120"/>
              <w:bottom w:type="dxa" w:w="80"/>
              <w:right w:type="dxa" w:w="120"/>
            </w:tcMar>
            <w:vAlign w:val="center"/>
          </w:tcPr>
          <w:p>
            <w:pPr>
              <w:jc w:val="left"/>
            </w:pPr>
            <w:r>
              <w:rPr>
                <w:rFonts w:ascii="Arial" w:cs="Arial" w:eastAsia="Arial" w:hAnsi="Arial"/>
                <w:b/>
                <w:bCs/>
                <w:color w:val="FFFFFF"/>
                <w:sz w:val="20"/>
                <w:szCs w:val="20"/>
              </w:rPr>
              <w:t xml:space="preserve">Detail</w:t>
            </w:r>
          </w:p>
        </w:tc>
      </w:tr>
      <w:tr>
        <w:tc>
          <w:tcPr>
            <w:tcW w:type="dxa" w:w="2500"/>
            <w:tcBorders>
              <w:top w:val="single" w:color="D1D5DB" w:sz="1"/>
              <w:left w:val="single" w:color="D1D5DB" w:sz="1"/>
              <w:bottom w:val="single" w:color="D1D5DB" w:sz="1"/>
              <w:right w:val="single" w:color="D1D5DB" w:sz="1"/>
            </w:tcBorders>
            <w:shd w:fill="F8FAFC" w:val="clear"/>
            <w:tcMar>
              <w:top w:type="dxa" w:w="80"/>
              <w:left w:type="dxa" w:w="120"/>
              <w:bottom w:type="dxa" w:w="80"/>
              <w:right w:type="dxa" w:w="120"/>
            </w:tcMar>
            <w:vAlign w:val="center"/>
          </w:tcPr>
          <w:p>
            <w:pPr>
              <w:jc w:val="left"/>
            </w:pPr>
            <w:r>
              <w:rPr>
                <w:rFonts w:ascii="Arial" w:cs="Arial" w:eastAsia="Arial" w:hAnsi="Arial"/>
                <w:b/>
                <w:bCs/>
                <w:color w:val="374151"/>
                <w:sz w:val="19"/>
                <w:szCs w:val="19"/>
              </w:rPr>
              <w:t xml:space="preserve">Expense Ratio</w:t>
            </w:r>
          </w:p>
        </w:tc>
        <w:tc>
          <w:tcPr>
            <w:tcW w:type="dxa" w:w="6860"/>
            <w:tcBorders>
              <w:top w:val="single" w:color="D1D5DB" w:sz="1"/>
              <w:left w:val="single" w:color="D1D5DB" w:sz="1"/>
              <w:bottom w:val="single" w:color="D1D5DB" w:sz="1"/>
              <w:right w:val="single" w:color="D1D5DB" w:sz="1"/>
            </w:tcBorders>
            <w:shd w:fill="F8FAFC" w:val="clear"/>
            <w:tcMar>
              <w:top w:type="dxa" w:w="80"/>
              <w:left w:type="dxa" w:w="120"/>
              <w:bottom w:type="dxa" w:w="80"/>
              <w:right w:type="dxa" w:w="120"/>
            </w:tcMar>
            <w:vAlign w:val="center"/>
          </w:tcPr>
          <w:p>
            <w:pPr>
              <w:jc w:val="left"/>
            </w:pPr>
            <w:r>
              <w:rPr>
                <w:rFonts w:ascii="Arial" w:cs="Arial" w:eastAsia="Arial" w:hAnsi="Arial"/>
                <w:b w:val="false"/>
                <w:bCs w:val="false"/>
                <w:color w:val="374151"/>
                <w:sz w:val="19"/>
                <w:szCs w:val="19"/>
              </w:rPr>
              <w:t xml:space="preserve">0.25% vs GLD's 0.40% — same gold, 37% cheaper annually</w:t>
            </w:r>
          </w:p>
        </w:tc>
      </w:tr>
      <w:tr>
        <w:tc>
          <w:tcPr>
            <w:tcW w:type="dxa" w:w="2500"/>
            <w:tcBorders>
              <w:top w:val="single" w:color="D1D5DB" w:sz="1"/>
              <w:left w:val="single" w:color="D1D5DB" w:sz="1"/>
              <w:bottom w:val="single" w:color="D1D5DB" w:sz="1"/>
              <w:right w:val="single" w:color="D1D5DB" w:sz="1"/>
            </w:tcBorders>
            <w:shd w:fill="FFFFFF" w:val="clear"/>
            <w:tcMar>
              <w:top w:type="dxa" w:w="80"/>
              <w:left w:type="dxa" w:w="120"/>
              <w:bottom w:type="dxa" w:w="80"/>
              <w:right w:type="dxa" w:w="120"/>
            </w:tcMar>
            <w:vAlign w:val="center"/>
          </w:tcPr>
          <w:p>
            <w:pPr>
              <w:jc w:val="left"/>
            </w:pPr>
            <w:r>
              <w:rPr>
                <w:rFonts w:ascii="Arial" w:cs="Arial" w:eastAsia="Arial" w:hAnsi="Arial"/>
                <w:b/>
                <w:bCs/>
                <w:color w:val="374151"/>
                <w:sz w:val="19"/>
                <w:szCs w:val="19"/>
              </w:rPr>
              <w:t xml:space="preserve">Price Target</w:t>
            </w:r>
          </w:p>
        </w:tc>
        <w:tc>
          <w:tcPr>
            <w:tcW w:type="dxa" w:w="6860"/>
            <w:tcBorders>
              <w:top w:val="single" w:color="D1D5DB" w:sz="1"/>
              <w:left w:val="single" w:color="D1D5DB" w:sz="1"/>
              <w:bottom w:val="single" w:color="D1D5DB" w:sz="1"/>
              <w:right w:val="single" w:color="D1D5DB" w:sz="1"/>
            </w:tcBorders>
            <w:shd w:fill="FFFFFF" w:val="clear"/>
            <w:tcMar>
              <w:top w:type="dxa" w:w="80"/>
              <w:left w:type="dxa" w:w="120"/>
              <w:bottom w:type="dxa" w:w="80"/>
              <w:right w:type="dxa" w:w="120"/>
            </w:tcMar>
            <w:vAlign w:val="center"/>
          </w:tcPr>
          <w:p>
            <w:pPr>
              <w:jc w:val="left"/>
            </w:pPr>
            <w:r>
              <w:rPr>
                <w:rFonts w:ascii="Arial" w:cs="Arial" w:eastAsia="Arial" w:hAnsi="Arial"/>
                <w:b w:val="false"/>
                <w:bCs w:val="false"/>
                <w:color w:val="374151"/>
                <w:sz w:val="19"/>
                <w:szCs w:val="19"/>
              </w:rPr>
              <w:t xml:space="preserve">JPMorgan Q4 2026: $5,055/oz | Goldman Sachs: $5,000 | SSGA: possible $5,000+</w:t>
            </w:r>
          </w:p>
        </w:tc>
      </w:tr>
      <w:tr>
        <w:tc>
          <w:tcPr>
            <w:tcW w:type="dxa" w:w="2500"/>
            <w:tcBorders>
              <w:top w:val="single" w:color="D1D5DB" w:sz="1"/>
              <w:left w:val="single" w:color="D1D5DB" w:sz="1"/>
              <w:bottom w:val="single" w:color="D1D5DB" w:sz="1"/>
              <w:right w:val="single" w:color="D1D5DB" w:sz="1"/>
            </w:tcBorders>
            <w:shd w:fill="F8FAFC" w:val="clear"/>
            <w:tcMar>
              <w:top w:type="dxa" w:w="80"/>
              <w:left w:type="dxa" w:w="120"/>
              <w:bottom w:type="dxa" w:w="80"/>
              <w:right w:type="dxa" w:w="120"/>
            </w:tcMar>
            <w:vAlign w:val="center"/>
          </w:tcPr>
          <w:p>
            <w:pPr>
              <w:jc w:val="left"/>
            </w:pPr>
            <w:r>
              <w:rPr>
                <w:rFonts w:ascii="Arial" w:cs="Arial" w:eastAsia="Arial" w:hAnsi="Arial"/>
                <w:b/>
                <w:bCs/>
                <w:color w:val="374151"/>
                <w:sz w:val="19"/>
                <w:szCs w:val="19"/>
              </w:rPr>
              <w:t xml:space="preserve">Why a Gem</w:t>
            </w:r>
          </w:p>
        </w:tc>
        <w:tc>
          <w:tcPr>
            <w:tcW w:type="dxa" w:w="6860"/>
            <w:tcBorders>
              <w:top w:val="single" w:color="D1D5DB" w:sz="1"/>
              <w:left w:val="single" w:color="D1D5DB" w:sz="1"/>
              <w:bottom w:val="single" w:color="D1D5DB" w:sz="1"/>
              <w:right w:val="single" w:color="D1D5DB" w:sz="1"/>
            </w:tcBorders>
            <w:shd w:fill="F8FAFC" w:val="clear"/>
            <w:tcMar>
              <w:top w:type="dxa" w:w="80"/>
              <w:left w:type="dxa" w:w="120"/>
              <w:bottom w:type="dxa" w:w="80"/>
              <w:right w:type="dxa" w:w="120"/>
            </w:tcMar>
            <w:vAlign w:val="center"/>
          </w:tcPr>
          <w:p>
            <w:pPr>
              <w:jc w:val="left"/>
            </w:pPr>
            <w:r>
              <w:rPr>
                <w:rFonts w:ascii="Arial" w:cs="Arial" w:eastAsia="Arial" w:hAnsi="Arial"/>
                <w:b w:val="false"/>
                <w:bCs w:val="false"/>
                <w:color w:val="374151"/>
                <w:sz w:val="19"/>
                <w:szCs w:val="19"/>
              </w:rPr>
              <w:t xml:space="preserve">Gold is the only asset that simultaneously hedges recession, inflation, USD weakness, and geopolitical risk — all four present in April 2026.</w:t>
            </w:r>
          </w:p>
        </w:tc>
      </w:tr>
      <w:tr>
        <w:tc>
          <w:tcPr>
            <w:tcW w:type="dxa" w:w="2500"/>
            <w:tcBorders>
              <w:top w:val="single" w:color="D1D5DB" w:sz="1"/>
              <w:left w:val="single" w:color="D1D5DB" w:sz="1"/>
              <w:bottom w:val="single" w:color="D1D5DB" w:sz="1"/>
              <w:right w:val="single" w:color="D1D5DB" w:sz="1"/>
            </w:tcBorders>
            <w:shd w:fill="FFFFFF" w:val="clear"/>
            <w:tcMar>
              <w:top w:type="dxa" w:w="80"/>
              <w:left w:type="dxa" w:w="120"/>
              <w:bottom w:type="dxa" w:w="80"/>
              <w:right w:type="dxa" w:w="120"/>
            </w:tcMar>
            <w:vAlign w:val="center"/>
          </w:tcPr>
          <w:p>
            <w:pPr>
              <w:jc w:val="left"/>
            </w:pPr>
            <w:r>
              <w:rPr>
                <w:rFonts w:ascii="Arial" w:cs="Arial" w:eastAsia="Arial" w:hAnsi="Arial"/>
                <w:b/>
                <w:bCs/>
                <w:color w:val="374151"/>
                <w:sz w:val="19"/>
                <w:szCs w:val="19"/>
              </w:rPr>
              <w:t xml:space="preserve">Catalyst</w:t>
            </w:r>
          </w:p>
        </w:tc>
        <w:tc>
          <w:tcPr>
            <w:tcW w:type="dxa" w:w="6860"/>
            <w:tcBorders>
              <w:top w:val="single" w:color="D1D5DB" w:sz="1"/>
              <w:left w:val="single" w:color="D1D5DB" w:sz="1"/>
              <w:bottom w:val="single" w:color="D1D5DB" w:sz="1"/>
              <w:right w:val="single" w:color="D1D5DB" w:sz="1"/>
            </w:tcBorders>
            <w:shd w:fill="FFFFFF" w:val="clear"/>
            <w:tcMar>
              <w:top w:type="dxa" w:w="80"/>
              <w:left w:type="dxa" w:w="120"/>
              <w:bottom w:type="dxa" w:w="80"/>
              <w:right w:type="dxa" w:w="120"/>
            </w:tcMar>
            <w:vAlign w:val="center"/>
          </w:tcPr>
          <w:p>
            <w:pPr>
              <w:jc w:val="left"/>
            </w:pPr>
            <w:r>
              <w:rPr>
                <w:rFonts w:ascii="Arial" w:cs="Arial" w:eastAsia="Arial" w:hAnsi="Arial"/>
                <w:b w:val="false"/>
                <w:bCs w:val="false"/>
                <w:color w:val="374151"/>
                <w:sz w:val="19"/>
                <w:szCs w:val="19"/>
              </w:rPr>
              <w:t xml:space="preserve">April 2026 inflation spike + 35% recession odds + central bank buying continues</w:t>
            </w:r>
          </w:p>
        </w:tc>
      </w:tr>
      <w:tr>
        <w:tc>
          <w:tcPr>
            <w:tcW w:type="dxa" w:w="2500"/>
            <w:tcBorders>
              <w:top w:val="single" w:color="D1D5DB" w:sz="1"/>
              <w:left w:val="single" w:color="D1D5DB" w:sz="1"/>
              <w:bottom w:val="single" w:color="D1D5DB" w:sz="1"/>
              <w:right w:val="single" w:color="D1D5DB" w:sz="1"/>
            </w:tcBorders>
            <w:shd w:fill="F8FAFC" w:val="clear"/>
            <w:tcMar>
              <w:top w:type="dxa" w:w="80"/>
              <w:left w:type="dxa" w:w="120"/>
              <w:bottom w:type="dxa" w:w="80"/>
              <w:right w:type="dxa" w:w="120"/>
            </w:tcMar>
            <w:vAlign w:val="center"/>
          </w:tcPr>
          <w:p>
            <w:pPr>
              <w:jc w:val="left"/>
            </w:pPr>
            <w:r>
              <w:rPr>
                <w:rFonts w:ascii="Arial" w:cs="Arial" w:eastAsia="Arial" w:hAnsi="Arial"/>
                <w:b/>
                <w:bCs/>
                <w:color w:val="374151"/>
                <w:sz w:val="19"/>
                <w:szCs w:val="19"/>
              </w:rPr>
              <w:t xml:space="preserve">Risk</w:t>
            </w:r>
          </w:p>
        </w:tc>
        <w:tc>
          <w:tcPr>
            <w:tcW w:type="dxa" w:w="6860"/>
            <w:tcBorders>
              <w:top w:val="single" w:color="D1D5DB" w:sz="1"/>
              <w:left w:val="single" w:color="D1D5DB" w:sz="1"/>
              <w:bottom w:val="single" w:color="D1D5DB" w:sz="1"/>
              <w:right w:val="single" w:color="D1D5DB" w:sz="1"/>
            </w:tcBorders>
            <w:shd w:fill="F8FAFC" w:val="clear"/>
            <w:tcMar>
              <w:top w:type="dxa" w:w="80"/>
              <w:left w:type="dxa" w:w="120"/>
              <w:bottom w:type="dxa" w:w="80"/>
              <w:right w:type="dxa" w:w="120"/>
            </w:tcMar>
            <w:vAlign w:val="center"/>
          </w:tcPr>
          <w:p>
            <w:pPr>
              <w:jc w:val="left"/>
            </w:pPr>
            <w:r>
              <w:rPr>
                <w:rFonts w:ascii="Arial" w:cs="Arial" w:eastAsia="Arial" w:hAnsi="Arial"/>
                <w:b w:val="false"/>
                <w:bCs w:val="false"/>
                <w:color w:val="374151"/>
                <w:sz w:val="19"/>
                <w:szCs w:val="19"/>
              </w:rPr>
              <w:t xml:space="preserve">Sharp risk-on rally = temporary underperformance. Hold through it.</w:t>
            </w:r>
          </w:p>
        </w:tc>
      </w:tr>
      <w:tr>
        <w:tc>
          <w:tcPr>
            <w:tcW w:type="dxa" w:w="2500"/>
            <w:tcBorders>
              <w:top w:val="single" w:color="D1D5DB" w:sz="1"/>
              <w:left w:val="single" w:color="D1D5DB" w:sz="1"/>
              <w:bottom w:val="single" w:color="D1D5DB" w:sz="1"/>
              <w:right w:val="single" w:color="D1D5DB" w:sz="1"/>
            </w:tcBorders>
            <w:shd w:fill="FFFFFF" w:val="clear"/>
            <w:tcMar>
              <w:top w:type="dxa" w:w="80"/>
              <w:left w:type="dxa" w:w="120"/>
              <w:bottom w:type="dxa" w:w="80"/>
              <w:right w:type="dxa" w:w="120"/>
            </w:tcMar>
            <w:vAlign w:val="center"/>
          </w:tcPr>
          <w:p>
            <w:pPr>
              <w:jc w:val="left"/>
            </w:pPr>
            <w:r>
              <w:rPr>
                <w:rFonts w:ascii="Arial" w:cs="Arial" w:eastAsia="Arial" w:hAnsi="Arial"/>
                <w:b/>
                <w:bCs/>
                <w:color w:val="374151"/>
                <w:sz w:val="19"/>
                <w:szCs w:val="19"/>
              </w:rPr>
              <w:t xml:space="preserve">NRI Access</w:t>
            </w:r>
          </w:p>
        </w:tc>
        <w:tc>
          <w:tcPr>
            <w:tcW w:type="dxa" w:w="6860"/>
            <w:tcBorders>
              <w:top w:val="single" w:color="D1D5DB" w:sz="1"/>
              <w:left w:val="single" w:color="D1D5DB" w:sz="1"/>
              <w:bottom w:val="single" w:color="D1D5DB" w:sz="1"/>
              <w:right w:val="single" w:color="D1D5DB" w:sz="1"/>
            </w:tcBorders>
            <w:shd w:fill="FFFFFF" w:val="clear"/>
            <w:tcMar>
              <w:top w:type="dxa" w:w="80"/>
              <w:left w:type="dxa" w:w="120"/>
              <w:bottom w:type="dxa" w:w="80"/>
              <w:right w:type="dxa" w:w="120"/>
            </w:tcMar>
            <w:vAlign w:val="center"/>
          </w:tcPr>
          <w:p>
            <w:pPr>
              <w:jc w:val="left"/>
            </w:pPr>
            <w:r>
              <w:rPr>
                <w:rFonts w:ascii="Arial" w:cs="Arial" w:eastAsia="Arial" w:hAnsi="Arial"/>
                <w:b w:val="false"/>
                <w:bCs w:val="false"/>
                <w:color w:val="374151"/>
                <w:sz w:val="19"/>
                <w:szCs w:val="19"/>
              </w:rPr>
              <w:t xml:space="preserve">IBKR Singapore. No India CGT (not Indian gold ETF). No Malaysia CGT.</w:t>
            </w:r>
          </w:p>
        </w:tc>
      </w:tr>
    </w:tbl>
    <w:p>
      <w:r>
        <w:t xml:space="preserve"/>
      </w:r>
    </w:p>
    <w:p>
      <w:r>
        <w:br w:type="page"/>
      </w:r>
    </w:p>
    <w:p>
      <w:pPr>
        <w:pStyle w:val="Heading1"/>
        <w:spacing w:after="160" w:before="320"/>
      </w:pPr>
      <w:r>
        <w:rPr>
          <w:rFonts w:ascii="Arial" w:cs="Arial" w:eastAsia="Arial" w:hAnsi="Arial"/>
          <w:b/>
          <w:bCs/>
          <w:color w:val="0A0F1E"/>
          <w:sz w:val="40"/>
          <w:szCs w:val="40"/>
        </w:rPr>
        <w:t xml:space="preserve">6. Legendary Investor Principles — Applied</w:t>
      </w:r>
    </w:p>
    <w:p>
      <w:pPr>
        <w:spacing w:after="80" w:before="80"/>
        <w:jc w:val="left"/>
      </w:pPr>
      <w:r>
        <w:rPr>
          <w:rFonts w:ascii="Arial" w:cs="Arial" w:eastAsia="Arial" w:hAnsi="Arial"/>
          <w:b w:val="false"/>
          <w:bCs w:val="false"/>
          <w:i w:val="false"/>
          <w:iCs w:val="false"/>
          <w:color w:val="374151"/>
          <w:sz w:val="22"/>
          <w:szCs w:val="22"/>
        </w:rPr>
        <w:t xml:space="preserve">Not just quotes — what each master would specifically do with your $10,000 in 2026.</w:t>
      </w:r>
    </w:p>
    <w:p>
      <w:r>
        <w:t xml:space="preserve"/>
      </w:r>
    </w:p>
    <w:p>
      <w:pPr>
        <w:pStyle w:val="Heading2"/>
        <w:pBdr>
          <w:bottom w:val="single" w:color="0A0F1E" w:sz="4" w:space="4"/>
        </w:pBdr>
        <w:spacing w:after="120" w:before="240"/>
      </w:pPr>
      <w:r>
        <w:rPr>
          <w:rFonts w:ascii="Arial" w:cs="Arial" w:eastAsia="Arial" w:hAnsi="Arial"/>
          <w:b/>
          <w:bCs/>
          <w:color w:val="0A0F1E"/>
          <w:sz w:val="30"/>
          <w:szCs w:val="30"/>
        </w:rPr>
        <w:t xml:space="preserve">Warren Buffett</w:t>
      </w:r>
    </w:p>
    <w:p>
      <w:pPr>
        <w:pBdr>
          <w:left w:val="single" w:color="C9A84C" w:sz="12" w:space="10"/>
        </w:pBdr>
        <w:spacing w:after="80" w:before="80"/>
        <w:ind w:left="360"/>
      </w:pPr>
      <w:r>
        <w:rPr>
          <w:rFonts w:ascii="Arial" w:cs="Arial" w:eastAsia="Arial" w:hAnsi="Arial"/>
          <w:color w:val="374151"/>
          <w:sz w:val="22"/>
          <w:szCs w:val="22"/>
        </w:rPr>
        <w:t xml:space="preserve">"Rule No.1: Never lose money. Rule No.2: Never forget Rule No.1."</w:t>
      </w:r>
    </w:p>
    <w:p>
      <w:pPr>
        <w:spacing w:after="80" w:before="80"/>
        <w:jc w:val="left"/>
      </w:pPr>
      <w:r>
        <w:rPr>
          <w:rFonts w:ascii="Arial" w:cs="Arial" w:eastAsia="Arial" w:hAnsi="Arial"/>
          <w:b w:val="false"/>
          <w:bCs w:val="false"/>
          <w:i w:val="false"/>
          <w:iCs w:val="false"/>
          <w:color w:val="374151"/>
          <w:sz w:val="22"/>
          <w:szCs w:val="22"/>
        </w:rPr>
        <w:t xml:space="preserve">Applied to your portfolio: Your 60% fortress in VOO is non-negotiable. Without it, a recession erases years of compounding. Buffett himself said in 2022 he would put 90% in VOO and 10% in cash. Your deviation from this — the aggressive 40% bucket — is intentional and valid because you are younger with a longer time horizon. But the VOO anchor is pure Buffett.</w:t>
      </w:r>
    </w:p>
    <w:p>
      <w:r>
        <w:t xml:space="preserve"/>
      </w:r>
    </w:p>
    <w:p>
      <w:pPr>
        <w:pStyle w:val="Heading2"/>
        <w:pBdr>
          <w:bottom w:val="single" w:color="1D4ED8" w:sz="4" w:space="4"/>
        </w:pBdr>
        <w:spacing w:after="120" w:before="240"/>
      </w:pPr>
      <w:r>
        <w:rPr>
          <w:rFonts w:ascii="Arial" w:cs="Arial" w:eastAsia="Arial" w:hAnsi="Arial"/>
          <w:b/>
          <w:bCs/>
          <w:color w:val="1D4ED8"/>
          <w:sz w:val="30"/>
          <w:szCs w:val="30"/>
        </w:rPr>
        <w:t xml:space="preserve">Ray Dalio — 2026 Warning</w:t>
      </w:r>
    </w:p>
    <w:p>
      <w:pPr>
        <w:pBdr>
          <w:left w:val="single" w:color="1D4ED8" w:sz="12" w:space="10"/>
        </w:pBdr>
        <w:spacing w:after="80" w:before="80"/>
        <w:ind w:left="360"/>
      </w:pPr>
      <w:r>
        <w:rPr>
          <w:rFonts w:ascii="Arial" w:cs="Arial" w:eastAsia="Arial" w:hAnsi="Arial"/>
          <w:color w:val="374151"/>
          <w:sz w:val="22"/>
          <w:szCs w:val="22"/>
        </w:rPr>
        <w:t xml:space="preserve">"The world is on the brink of a capital war. Global systems keeping money flowing are breaking down. Hold gold — 10 to 15%."</w:t>
      </w:r>
    </w:p>
    <w:p>
      <w:pPr>
        <w:spacing w:after="80" w:before="80"/>
        <w:jc w:val="left"/>
      </w:pPr>
      <w:r>
        <w:rPr>
          <w:rFonts w:ascii="Arial" w:cs="Arial" w:eastAsia="Arial" w:hAnsi="Arial"/>
          <w:b w:val="false"/>
          <w:bCs w:val="false"/>
          <w:i w:val="false"/>
          <w:iCs w:val="false"/>
          <w:color w:val="374151"/>
          <w:sz w:val="22"/>
          <w:szCs w:val="22"/>
        </w:rPr>
        <w:t xml:space="preserve">Applied to your portfolio: This is NOT routine hedging advice — Dalio issued this specifically in 2026 with unusual urgency. Your 10% IAU allocation is directly his recommendation. His All-Weather framework also informs your portfolio architecture: different assets performing differently in different macro conditions (recession, inflation, growth, deflation) is the cornerstone.</w:t>
      </w:r>
    </w:p>
    <w:p>
      <w:r>
        <w:t xml:space="preserve"/>
      </w:r>
    </w:p>
    <w:p>
      <w:pPr>
        <w:pStyle w:val="Heading2"/>
        <w:pBdr>
          <w:bottom w:val="single" w:color="0D6E4A" w:sz="4" w:space="4"/>
        </w:pBdr>
        <w:spacing w:after="120" w:before="240"/>
      </w:pPr>
      <w:r>
        <w:rPr>
          <w:rFonts w:ascii="Arial" w:cs="Arial" w:eastAsia="Arial" w:hAnsi="Arial"/>
          <w:b/>
          <w:bCs/>
          <w:color w:val="0D6E4A"/>
          <w:sz w:val="30"/>
          <w:szCs w:val="30"/>
        </w:rPr>
        <w:t xml:space="preserve">Peter Lynch — 29.2% CAGR at Fidelity Magellan</w:t>
      </w:r>
    </w:p>
    <w:p>
      <w:pPr>
        <w:pBdr>
          <w:left w:val="single" w:color="0D6E4A" w:sz="12" w:space="10"/>
        </w:pBdr>
        <w:spacing w:after="80" w:before="80"/>
        <w:ind w:left="360"/>
      </w:pPr>
      <w:r>
        <w:rPr>
          <w:rFonts w:ascii="Arial" w:cs="Arial" w:eastAsia="Arial" w:hAnsi="Arial"/>
          <w:color w:val="374151"/>
          <w:sz w:val="22"/>
          <w:szCs w:val="22"/>
        </w:rPr>
        <w:t xml:space="preserve">"You need 10-baggers to make great returns. They come from industries you understand. Everyone has the brainpower — not everyone has the stomach."</w:t>
      </w:r>
    </w:p>
    <w:p>
      <w:pPr>
        <w:spacing w:after="80" w:before="80"/>
        <w:jc w:val="left"/>
      </w:pPr>
      <w:r>
        <w:rPr>
          <w:rFonts w:ascii="Arial" w:cs="Arial" w:eastAsia="Arial" w:hAnsi="Arial"/>
          <w:b w:val="false"/>
          <w:bCs w:val="false"/>
          <w:i w:val="false"/>
          <w:iCs w:val="false"/>
          <w:color w:val="374151"/>
          <w:sz w:val="22"/>
          <w:szCs w:val="22"/>
        </w:rPr>
        <w:t xml:space="preserve">Applied to your portfolio: Your 5% swing pick must be in a sector YOU understand deeply because of your work, network, or daily life as an NRI in Malaysia. India fintech? ASEAN banking? AI infrastructure? The NRI living in Malaysia has genuine informational edge in sectors that most Western investors miss entirely. Use it.</w:t>
      </w:r>
    </w:p>
    <w:p>
      <w:r>
        <w:t xml:space="preserve"/>
      </w:r>
    </w:p>
    <w:p>
      <w:pPr>
        <w:pStyle w:val="Heading2"/>
        <w:pBdr>
          <w:bottom w:val="single" w:color="92400E" w:sz="4" w:space="4"/>
        </w:pBdr>
        <w:spacing w:after="120" w:before="240"/>
      </w:pPr>
      <w:r>
        <w:rPr>
          <w:rFonts w:ascii="Arial" w:cs="Arial" w:eastAsia="Arial" w:hAnsi="Arial"/>
          <w:b/>
          <w:bCs/>
          <w:color w:val="92400E"/>
          <w:sz w:val="30"/>
          <w:szCs w:val="30"/>
        </w:rPr>
        <w:t xml:space="preserve">Howard Marks — Oaktree Capital</w:t>
      </w:r>
    </w:p>
    <w:p>
      <w:pPr>
        <w:pBdr>
          <w:left w:val="single" w:color="92400E" w:sz="12" w:space="10"/>
        </w:pBdr>
        <w:spacing w:after="80" w:before="80"/>
        <w:ind w:left="360"/>
      </w:pPr>
      <w:r>
        <w:rPr>
          <w:rFonts w:ascii="Arial" w:cs="Arial" w:eastAsia="Arial" w:hAnsi="Arial"/>
          <w:color w:val="374151"/>
          <w:sz w:val="22"/>
          <w:szCs w:val="22"/>
        </w:rPr>
        <w:t xml:space="preserve">"Superior returns come from being right when others are wrong — not from being right when everyone is right."</w:t>
      </w:r>
    </w:p>
    <w:p>
      <w:pPr>
        <w:spacing w:after="80" w:before="80"/>
        <w:jc w:val="left"/>
      </w:pPr>
      <w:r>
        <w:rPr>
          <w:rFonts w:ascii="Arial" w:cs="Arial" w:eastAsia="Arial" w:hAnsi="Arial"/>
          <w:b w:val="false"/>
          <w:bCs w:val="false"/>
          <w:i w:val="false"/>
          <w:iCs w:val="false"/>
          <w:color w:val="374151"/>
          <w:sz w:val="22"/>
          <w:szCs w:val="22"/>
        </w:rPr>
        <w:t xml:space="preserve">Applied to your portfolio: Your 5% cash buffer is Marks in action. When the next recession hits (35% probability in 2026) and everyone panics and sells — that is your buy window. Cash is not a failure of conviction. It is the Marks's most important edge: the ability to be greedy when others are fearful.</w:t>
      </w:r>
    </w:p>
    <w:p>
      <w:r>
        <w:t xml:space="preserve"/>
      </w:r>
    </w:p>
    <w:p>
      <w:pPr>
        <w:pStyle w:val="Heading2"/>
        <w:pBdr>
          <w:bottom w:val="single" w:color="C9A84C" w:sz="4" w:space="4"/>
        </w:pBdr>
        <w:spacing w:after="120" w:before="240"/>
      </w:pPr>
      <w:r>
        <w:rPr>
          <w:rFonts w:ascii="Arial" w:cs="Arial" w:eastAsia="Arial" w:hAnsi="Arial"/>
          <w:b/>
          <w:bCs/>
          <w:color w:val="C9A84C"/>
          <w:sz w:val="30"/>
          <w:szCs w:val="30"/>
        </w:rPr>
        <w:t xml:space="preserve">Rakesh Jhunjhunwala — The Indian Buffett</w:t>
      </w:r>
    </w:p>
    <w:p>
      <w:pPr>
        <w:pBdr>
          <w:left w:val="single" w:color="C9A84C" w:sz="12" w:space="10"/>
        </w:pBdr>
        <w:spacing w:after="80" w:before="80"/>
        <w:ind w:left="360"/>
      </w:pPr>
      <w:r>
        <w:rPr>
          <w:rFonts w:ascii="Arial" w:cs="Arial" w:eastAsia="Arial" w:hAnsi="Arial"/>
          <w:color w:val="374151"/>
          <w:sz w:val="22"/>
          <w:szCs w:val="22"/>
        </w:rPr>
        <w:t xml:space="preserve">"India is a 20-year story that has only just started. I have made most of my money by sticking to quality and being patient."</w:t>
      </w:r>
    </w:p>
    <w:p>
      <w:pPr>
        <w:spacing w:after="80" w:before="80"/>
        <w:jc w:val="left"/>
      </w:pPr>
      <w:r>
        <w:rPr>
          <w:rFonts w:ascii="Arial" w:cs="Arial" w:eastAsia="Arial" w:hAnsi="Arial"/>
          <w:b w:val="false"/>
          <w:bCs w:val="false"/>
          <w:i w:val="false"/>
          <w:iCs w:val="false"/>
          <w:color w:val="374151"/>
          <w:sz w:val="22"/>
          <w:szCs w:val="22"/>
        </w:rPr>
        <w:t xml:space="preserve">Applied to your portfolio: Jhunjhunwala's Titan Industries returned 200x+ over 20 years. He held through crashes, corrections, and critics. Your NRE Demat structure lets you hold Indian equity exactly as he did. The RJ filter for Indian picks: strong promoter holding (&gt;50%), domestic consumption play, growing ROE, PE below sector average. In 2026 add: defence manufacturing, financial services, pharma generics, renewable energy.</w:t>
      </w:r>
    </w:p>
    <w:p>
      <w:r>
        <w:t xml:space="preserve"/>
      </w:r>
    </w:p>
    <w:p>
      <w:r>
        <w:br w:type="page"/>
      </w:r>
    </w:p>
    <w:p>
      <w:pPr>
        <w:pStyle w:val="Heading1"/>
        <w:spacing w:after="160" w:before="320"/>
      </w:pPr>
      <w:r>
        <w:rPr>
          <w:rFonts w:ascii="Arial" w:cs="Arial" w:eastAsia="Arial" w:hAnsi="Arial"/>
          <w:b/>
          <w:bCs/>
          <w:color w:val="0A0F1E"/>
          <w:sz w:val="40"/>
          <w:szCs w:val="40"/>
        </w:rPr>
        <w:t xml:space="preserve">7. Risk Matrix — 2026 Calibrated</w:t>
      </w:r>
    </w:p>
    <w:p>
      <w:pPr>
        <w:spacing w:after="80" w:before="80"/>
        <w:jc w:val="left"/>
      </w:pPr>
      <w:r>
        <w:rPr>
          <w:rFonts w:ascii="Arial" w:cs="Arial" w:eastAsia="Arial" w:hAnsi="Arial"/>
          <w:b w:val="false"/>
          <w:bCs w:val="false"/>
          <w:i w:val="false"/>
          <w:iCs w:val="false"/>
          <w:color w:val="374151"/>
          <w:sz w:val="22"/>
          <w:szCs w:val="22"/>
        </w:rPr>
        <w:t xml:space="preserve">The risks you did not account for are the ones that will hurt you. Here is every significant risk, quantified and mitigated.</w:t>
      </w:r>
    </w:p>
    <w:p>
      <w:r>
        <w:t xml:space="preserve"/>
      </w:r>
    </w:p>
    <w:p>
      <w:pPr>
        <w:pStyle w:val="Heading2"/>
        <w:pBdr>
          <w:bottom w:val="single" w:color="C9A84C" w:sz="4" w:space="4"/>
        </w:pBdr>
        <w:spacing w:after="120" w:before="240"/>
      </w:pPr>
      <w:r>
        <w:rPr>
          <w:rFonts w:ascii="Arial" w:cs="Arial" w:eastAsia="Arial" w:hAnsi="Arial"/>
          <w:b/>
          <w:bCs/>
          <w:color w:val="0A0F1E"/>
          <w:sz w:val="30"/>
          <w:szCs w:val="30"/>
        </w:rPr>
        <w:t xml:space="preserve">7.1 Market and Geopolitical Risks</w:t>
      </w:r>
    </w:p>
    <w:tbl>
      <w:tblPr>
        <w:tblW w:type="dxa" w:w="9360"/>
        <w:tblBorders>
          <w:top w:val="single" w:color="auto" w:sz="4"/>
          <w:left w:val="single" w:color="auto" w:sz="4"/>
          <w:bottom w:val="single" w:color="auto" w:sz="4"/>
          <w:right w:val="single" w:color="auto" w:sz="4"/>
          <w:insideH w:val="single" w:color="auto" w:sz="4"/>
          <w:insideV w:val="single" w:color="auto" w:sz="4"/>
        </w:tblBorders>
      </w:tblPr>
      <w:tblGrid>
        <w:gridCol w:w="1800"/>
        <w:gridCol w:w="1000"/>
        <w:gridCol w:w="2200"/>
        <w:gridCol w:w="1100"/>
        <w:gridCol w:w="3260"/>
      </w:tblGrid>
      <w:tr>
        <w:trPr>
          <w:tblHeader/>
        </w:trPr>
        <w:tc>
          <w:tcPr>
            <w:tcW w:type="dxa" w:w="1800"/>
            <w:tcBorders>
              <w:top w:val="single" w:color="D1D5DB" w:sz="1"/>
              <w:left w:val="single" w:color="D1D5DB" w:sz="1"/>
              <w:bottom w:val="single" w:color="D1D5DB" w:sz="1"/>
              <w:right w:val="single" w:color="D1D5DB" w:sz="1"/>
            </w:tcBorders>
            <w:shd w:fill="1E3A5F" w:val="clear"/>
            <w:tcMar>
              <w:top w:type="dxa" w:w="80"/>
              <w:left w:type="dxa" w:w="120"/>
              <w:bottom w:type="dxa" w:w="80"/>
              <w:right w:type="dxa" w:w="120"/>
            </w:tcMar>
            <w:vAlign w:val="center"/>
          </w:tcPr>
          <w:p>
            <w:pPr>
              <w:jc w:val="left"/>
            </w:pPr>
            <w:r>
              <w:rPr>
                <w:rFonts w:ascii="Arial" w:cs="Arial" w:eastAsia="Arial" w:hAnsi="Arial"/>
                <w:b/>
                <w:bCs/>
                <w:color w:val="FFFFFF"/>
                <w:sz w:val="20"/>
                <w:szCs w:val="20"/>
              </w:rPr>
              <w:t xml:space="preserve">Risk</w:t>
            </w:r>
          </w:p>
        </w:tc>
        <w:tc>
          <w:tcPr>
            <w:tcW w:type="dxa" w:w="1000"/>
            <w:tcBorders>
              <w:top w:val="single" w:color="D1D5DB" w:sz="1"/>
              <w:left w:val="single" w:color="D1D5DB" w:sz="1"/>
              <w:bottom w:val="single" w:color="D1D5DB" w:sz="1"/>
              <w:right w:val="single" w:color="D1D5DB" w:sz="1"/>
            </w:tcBorders>
            <w:shd w:fill="1E3A5F" w:val="clear"/>
            <w:tcMar>
              <w:top w:type="dxa" w:w="80"/>
              <w:left w:type="dxa" w:w="120"/>
              <w:bottom w:type="dxa" w:w="80"/>
              <w:right w:type="dxa" w:w="120"/>
            </w:tcMar>
            <w:vAlign w:val="center"/>
          </w:tcPr>
          <w:p>
            <w:pPr>
              <w:jc w:val="left"/>
            </w:pPr>
            <w:r>
              <w:rPr>
                <w:rFonts w:ascii="Arial" w:cs="Arial" w:eastAsia="Arial" w:hAnsi="Arial"/>
                <w:b/>
                <w:bCs/>
                <w:color w:val="FFFFFF"/>
                <w:sz w:val="20"/>
                <w:szCs w:val="20"/>
              </w:rPr>
              <w:t xml:space="preserve">Probability</w:t>
            </w:r>
          </w:p>
        </w:tc>
        <w:tc>
          <w:tcPr>
            <w:tcW w:type="dxa" w:w="2200"/>
            <w:tcBorders>
              <w:top w:val="single" w:color="D1D5DB" w:sz="1"/>
              <w:left w:val="single" w:color="D1D5DB" w:sz="1"/>
              <w:bottom w:val="single" w:color="D1D5DB" w:sz="1"/>
              <w:right w:val="single" w:color="D1D5DB" w:sz="1"/>
            </w:tcBorders>
            <w:shd w:fill="1E3A5F" w:val="clear"/>
            <w:tcMar>
              <w:top w:type="dxa" w:w="80"/>
              <w:left w:type="dxa" w:w="120"/>
              <w:bottom w:type="dxa" w:w="80"/>
              <w:right w:type="dxa" w:w="120"/>
            </w:tcMar>
            <w:vAlign w:val="center"/>
          </w:tcPr>
          <w:p>
            <w:pPr>
              <w:jc w:val="left"/>
            </w:pPr>
            <w:r>
              <w:rPr>
                <w:rFonts w:ascii="Arial" w:cs="Arial" w:eastAsia="Arial" w:hAnsi="Arial"/>
                <w:b/>
                <w:bCs/>
                <w:color w:val="FFFFFF"/>
                <w:sz w:val="20"/>
                <w:szCs w:val="20"/>
              </w:rPr>
              <w:t xml:space="preserve">Portfolio Impact</w:t>
            </w:r>
          </w:p>
        </w:tc>
        <w:tc>
          <w:tcPr>
            <w:tcW w:type="dxa" w:w="1100"/>
            <w:tcBorders>
              <w:top w:val="single" w:color="D1D5DB" w:sz="1"/>
              <w:left w:val="single" w:color="D1D5DB" w:sz="1"/>
              <w:bottom w:val="single" w:color="D1D5DB" w:sz="1"/>
              <w:right w:val="single" w:color="D1D5DB" w:sz="1"/>
            </w:tcBorders>
            <w:shd w:fill="1E3A5F" w:val="clear"/>
            <w:tcMar>
              <w:top w:type="dxa" w:w="80"/>
              <w:left w:type="dxa" w:w="120"/>
              <w:bottom w:type="dxa" w:w="80"/>
              <w:right w:type="dxa" w:w="120"/>
            </w:tcMar>
            <w:vAlign w:val="center"/>
          </w:tcPr>
          <w:p>
            <w:pPr>
              <w:jc w:val="left"/>
            </w:pPr>
            <w:r>
              <w:rPr>
                <w:rFonts w:ascii="Arial" w:cs="Arial" w:eastAsia="Arial" w:hAnsi="Arial"/>
                <w:b/>
                <w:bCs/>
                <w:color w:val="FFFFFF"/>
                <w:sz w:val="20"/>
                <w:szCs w:val="20"/>
              </w:rPr>
              <w:t xml:space="preserve">Severity</w:t>
            </w:r>
          </w:p>
        </w:tc>
        <w:tc>
          <w:tcPr>
            <w:tcW w:type="dxa" w:w="3260"/>
            <w:tcBorders>
              <w:top w:val="single" w:color="D1D5DB" w:sz="1"/>
              <w:left w:val="single" w:color="D1D5DB" w:sz="1"/>
              <w:bottom w:val="single" w:color="D1D5DB" w:sz="1"/>
              <w:right w:val="single" w:color="D1D5DB" w:sz="1"/>
            </w:tcBorders>
            <w:shd w:fill="1E3A5F" w:val="clear"/>
            <w:tcMar>
              <w:top w:type="dxa" w:w="80"/>
              <w:left w:type="dxa" w:w="120"/>
              <w:bottom w:type="dxa" w:w="80"/>
              <w:right w:type="dxa" w:w="120"/>
            </w:tcMar>
            <w:vAlign w:val="center"/>
          </w:tcPr>
          <w:p>
            <w:pPr>
              <w:jc w:val="left"/>
            </w:pPr>
            <w:r>
              <w:rPr>
                <w:rFonts w:ascii="Arial" w:cs="Arial" w:eastAsia="Arial" w:hAnsi="Arial"/>
                <w:b/>
                <w:bCs/>
                <w:color w:val="FFFFFF"/>
                <w:sz w:val="20"/>
                <w:szCs w:val="20"/>
              </w:rPr>
              <w:t xml:space="preserve">Mitigation</w:t>
            </w:r>
          </w:p>
        </w:tc>
      </w:tr>
      <w:tr>
        <w:tc>
          <w:tcPr>
            <w:tcW w:type="dxa" w:w="1800"/>
            <w:tcBorders>
              <w:top w:val="single" w:color="D1D5DB" w:sz="1"/>
              <w:left w:val="single" w:color="D1D5DB" w:sz="1"/>
              <w:bottom w:val="single" w:color="D1D5DB" w:sz="1"/>
              <w:right w:val="single" w:color="D1D5DB" w:sz="1"/>
            </w:tcBorders>
            <w:shd w:fill="F8FAFC" w:val="clear"/>
            <w:tcMar>
              <w:top w:type="dxa" w:w="80"/>
              <w:left w:type="dxa" w:w="120"/>
              <w:bottom w:type="dxa" w:w="80"/>
              <w:right w:type="dxa" w:w="120"/>
            </w:tcMar>
            <w:vAlign w:val="center"/>
          </w:tcPr>
          <w:p>
            <w:pPr>
              <w:jc w:val="left"/>
            </w:pPr>
            <w:r>
              <w:rPr>
                <w:rFonts w:ascii="Arial" w:cs="Arial" w:eastAsia="Arial" w:hAnsi="Arial"/>
                <w:b/>
                <w:bCs/>
                <w:color w:val="374151"/>
                <w:sz w:val="19"/>
                <w:szCs w:val="19"/>
              </w:rPr>
              <w:t xml:space="preserve">US Recession 2026</w:t>
            </w:r>
          </w:p>
        </w:tc>
        <w:tc>
          <w:tcPr>
            <w:tcW w:type="dxa" w:w="1000"/>
            <w:tcBorders>
              <w:top w:val="single" w:color="D1D5DB" w:sz="1"/>
              <w:left w:val="single" w:color="D1D5DB" w:sz="1"/>
              <w:bottom w:val="single" w:color="D1D5DB" w:sz="1"/>
              <w:right w:val="single" w:color="D1D5DB" w:sz="1"/>
            </w:tcBorders>
            <w:shd w:fill="F8FAFC" w:val="clear"/>
            <w:tcMar>
              <w:top w:type="dxa" w:w="80"/>
              <w:left w:type="dxa" w:w="120"/>
              <w:bottom w:type="dxa" w:w="80"/>
              <w:right w:type="dxa" w:w="120"/>
            </w:tcMar>
            <w:vAlign w:val="center"/>
          </w:tcPr>
          <w:p>
            <w:pPr>
              <w:jc w:val="left"/>
            </w:pPr>
            <w:r>
              <w:rPr>
                <w:rFonts w:ascii="Arial" w:cs="Arial" w:eastAsia="Arial" w:hAnsi="Arial"/>
                <w:b w:val="false"/>
                <w:bCs w:val="false"/>
                <w:color w:val="374151"/>
                <w:sz w:val="19"/>
                <w:szCs w:val="19"/>
              </w:rPr>
              <w:t xml:space="preserve">35%</w:t>
            </w:r>
          </w:p>
        </w:tc>
        <w:tc>
          <w:tcPr>
            <w:tcW w:type="dxa" w:w="2200"/>
            <w:tcBorders>
              <w:top w:val="single" w:color="D1D5DB" w:sz="1"/>
              <w:left w:val="single" w:color="D1D5DB" w:sz="1"/>
              <w:bottom w:val="single" w:color="D1D5DB" w:sz="1"/>
              <w:right w:val="single" w:color="D1D5DB" w:sz="1"/>
            </w:tcBorders>
            <w:shd w:fill="F8FAFC" w:val="clear"/>
            <w:tcMar>
              <w:top w:type="dxa" w:w="80"/>
              <w:left w:type="dxa" w:w="120"/>
              <w:bottom w:type="dxa" w:w="80"/>
              <w:right w:type="dxa" w:w="120"/>
            </w:tcMar>
            <w:vAlign w:val="center"/>
          </w:tcPr>
          <w:p>
            <w:pPr>
              <w:jc w:val="left"/>
            </w:pPr>
            <w:r>
              <w:rPr>
                <w:rFonts w:ascii="Arial" w:cs="Arial" w:eastAsia="Arial" w:hAnsi="Arial"/>
                <w:b w:val="false"/>
                <w:bCs w:val="false"/>
                <w:color w:val="374151"/>
                <w:sz w:val="19"/>
                <w:szCs w:val="19"/>
              </w:rPr>
              <w:t xml:space="preserve">VOO -20 to -35%, QQQ -35%+</w:t>
            </w:r>
          </w:p>
        </w:tc>
        <w:tc>
          <w:tcPr>
            <w:tcW w:type="dxa" w:w="1100"/>
            <w:tcBorders>
              <w:top w:val="single" w:color="D1D5DB" w:sz="1"/>
              <w:left w:val="single" w:color="D1D5DB" w:sz="1"/>
              <w:bottom w:val="single" w:color="D1D5DB" w:sz="1"/>
              <w:right w:val="single" w:color="D1D5DB" w:sz="1"/>
            </w:tcBorders>
            <w:shd w:fill="F8FAFC" w:val="clear"/>
            <w:tcMar>
              <w:top w:type="dxa" w:w="80"/>
              <w:left w:type="dxa" w:w="120"/>
              <w:bottom w:type="dxa" w:w="80"/>
              <w:right w:type="dxa" w:w="120"/>
            </w:tcMar>
            <w:vAlign w:val="center"/>
          </w:tcPr>
          <w:p>
            <w:pPr>
              <w:jc w:val="left"/>
            </w:pPr>
            <w:r>
              <w:rPr>
                <w:rFonts w:ascii="Arial" w:cs="Arial" w:eastAsia="Arial" w:hAnsi="Arial"/>
                <w:b w:val="false"/>
                <w:bCs w:val="false"/>
                <w:color w:val="374151"/>
                <w:sz w:val="19"/>
                <w:szCs w:val="19"/>
              </w:rPr>
              <w:t xml:space="preserve">HIGH</w:t>
            </w:r>
          </w:p>
        </w:tc>
        <w:tc>
          <w:tcPr>
            <w:tcW w:type="dxa" w:w="3260"/>
            <w:tcBorders>
              <w:top w:val="single" w:color="D1D5DB" w:sz="1"/>
              <w:left w:val="single" w:color="D1D5DB" w:sz="1"/>
              <w:bottom w:val="single" w:color="D1D5DB" w:sz="1"/>
              <w:right w:val="single" w:color="D1D5DB" w:sz="1"/>
            </w:tcBorders>
            <w:shd w:fill="F8FAFC" w:val="clear"/>
            <w:tcMar>
              <w:top w:type="dxa" w:w="80"/>
              <w:left w:type="dxa" w:w="120"/>
              <w:bottom w:type="dxa" w:w="80"/>
              <w:right w:type="dxa" w:w="120"/>
            </w:tcMar>
            <w:vAlign w:val="center"/>
          </w:tcPr>
          <w:p>
            <w:pPr>
              <w:jc w:val="left"/>
            </w:pPr>
            <w:r>
              <w:rPr>
                <w:rFonts w:ascii="Arial" w:cs="Arial" w:eastAsia="Arial" w:hAnsi="Arial"/>
                <w:b w:val="false"/>
                <w:bCs w:val="false"/>
                <w:color w:val="374151"/>
                <w:sz w:val="19"/>
                <w:szCs w:val="19"/>
              </w:rPr>
              <w:t xml:space="preserve">5% cash buffer + gold hedge</w:t>
            </w:r>
          </w:p>
        </w:tc>
      </w:tr>
      <w:tr>
        <w:tc>
          <w:tcPr>
            <w:tcW w:type="dxa" w:w="1800"/>
            <w:tcBorders>
              <w:top w:val="single" w:color="D1D5DB" w:sz="1"/>
              <w:left w:val="single" w:color="D1D5DB" w:sz="1"/>
              <w:bottom w:val="single" w:color="D1D5DB" w:sz="1"/>
              <w:right w:val="single" w:color="D1D5DB" w:sz="1"/>
            </w:tcBorders>
            <w:shd w:fill="FFFFFF" w:val="clear"/>
            <w:tcMar>
              <w:top w:type="dxa" w:w="80"/>
              <w:left w:type="dxa" w:w="120"/>
              <w:bottom w:type="dxa" w:w="80"/>
              <w:right w:type="dxa" w:w="120"/>
            </w:tcMar>
            <w:vAlign w:val="center"/>
          </w:tcPr>
          <w:p>
            <w:pPr>
              <w:jc w:val="left"/>
            </w:pPr>
            <w:r>
              <w:rPr>
                <w:rFonts w:ascii="Arial" w:cs="Arial" w:eastAsia="Arial" w:hAnsi="Arial"/>
                <w:b/>
                <w:bCs/>
                <w:color w:val="374151"/>
                <w:sz w:val="19"/>
                <w:szCs w:val="19"/>
              </w:rPr>
              <w:t xml:space="preserve">Taiwan Strait Escalation</w:t>
            </w:r>
          </w:p>
        </w:tc>
        <w:tc>
          <w:tcPr>
            <w:tcW w:type="dxa" w:w="1000"/>
            <w:tcBorders>
              <w:top w:val="single" w:color="D1D5DB" w:sz="1"/>
              <w:left w:val="single" w:color="D1D5DB" w:sz="1"/>
              <w:bottom w:val="single" w:color="D1D5DB" w:sz="1"/>
              <w:right w:val="single" w:color="D1D5DB" w:sz="1"/>
            </w:tcBorders>
            <w:shd w:fill="FFFFFF" w:val="clear"/>
            <w:tcMar>
              <w:top w:type="dxa" w:w="80"/>
              <w:left w:type="dxa" w:w="120"/>
              <w:bottom w:type="dxa" w:w="80"/>
              <w:right w:type="dxa" w:w="120"/>
            </w:tcMar>
            <w:vAlign w:val="center"/>
          </w:tcPr>
          <w:p>
            <w:pPr>
              <w:jc w:val="left"/>
            </w:pPr>
            <w:r>
              <w:rPr>
                <w:rFonts w:ascii="Arial" w:cs="Arial" w:eastAsia="Arial" w:hAnsi="Arial"/>
                <w:b w:val="false"/>
                <w:bCs w:val="false"/>
                <w:color w:val="374151"/>
                <w:sz w:val="19"/>
                <w:szCs w:val="19"/>
              </w:rPr>
              <w:t xml:space="preserve">15–20%</w:t>
            </w:r>
          </w:p>
        </w:tc>
        <w:tc>
          <w:tcPr>
            <w:tcW w:type="dxa" w:w="2200"/>
            <w:tcBorders>
              <w:top w:val="single" w:color="D1D5DB" w:sz="1"/>
              <w:left w:val="single" w:color="D1D5DB" w:sz="1"/>
              <w:bottom w:val="single" w:color="D1D5DB" w:sz="1"/>
              <w:right w:val="single" w:color="D1D5DB" w:sz="1"/>
            </w:tcBorders>
            <w:shd w:fill="FFFFFF" w:val="clear"/>
            <w:tcMar>
              <w:top w:type="dxa" w:w="80"/>
              <w:left w:type="dxa" w:w="120"/>
              <w:bottom w:type="dxa" w:w="80"/>
              <w:right w:type="dxa" w:w="120"/>
            </w:tcMar>
            <w:vAlign w:val="center"/>
          </w:tcPr>
          <w:p>
            <w:pPr>
              <w:jc w:val="left"/>
            </w:pPr>
            <w:r>
              <w:rPr>
                <w:rFonts w:ascii="Arial" w:cs="Arial" w:eastAsia="Arial" w:hAnsi="Arial"/>
                <w:b w:val="false"/>
                <w:bCs w:val="false"/>
                <w:color w:val="374151"/>
                <w:sz w:val="19"/>
                <w:szCs w:val="19"/>
              </w:rPr>
              <w:t xml:space="preserve">SOXX -40%, global tech -25%</w:t>
            </w:r>
          </w:p>
        </w:tc>
        <w:tc>
          <w:tcPr>
            <w:tcW w:type="dxa" w:w="1100"/>
            <w:tcBorders>
              <w:top w:val="single" w:color="D1D5DB" w:sz="1"/>
              <w:left w:val="single" w:color="D1D5DB" w:sz="1"/>
              <w:bottom w:val="single" w:color="D1D5DB" w:sz="1"/>
              <w:right w:val="single" w:color="D1D5DB" w:sz="1"/>
            </w:tcBorders>
            <w:shd w:fill="FFFFFF" w:val="clear"/>
            <w:tcMar>
              <w:top w:type="dxa" w:w="80"/>
              <w:left w:type="dxa" w:w="120"/>
              <w:bottom w:type="dxa" w:w="80"/>
              <w:right w:type="dxa" w:w="120"/>
            </w:tcMar>
            <w:vAlign w:val="center"/>
          </w:tcPr>
          <w:p>
            <w:pPr>
              <w:jc w:val="left"/>
            </w:pPr>
            <w:r>
              <w:rPr>
                <w:rFonts w:ascii="Arial" w:cs="Arial" w:eastAsia="Arial" w:hAnsi="Arial"/>
                <w:b w:val="false"/>
                <w:bCs w:val="false"/>
                <w:color w:val="374151"/>
                <w:sz w:val="19"/>
                <w:szCs w:val="19"/>
              </w:rPr>
              <w:t xml:space="preserve">CRITICAL</w:t>
            </w:r>
          </w:p>
        </w:tc>
        <w:tc>
          <w:tcPr>
            <w:tcW w:type="dxa" w:w="3260"/>
            <w:tcBorders>
              <w:top w:val="single" w:color="D1D5DB" w:sz="1"/>
              <w:left w:val="single" w:color="D1D5DB" w:sz="1"/>
              <w:bottom w:val="single" w:color="D1D5DB" w:sz="1"/>
              <w:right w:val="single" w:color="D1D5DB" w:sz="1"/>
            </w:tcBorders>
            <w:shd w:fill="FFFFFF" w:val="clear"/>
            <w:tcMar>
              <w:top w:type="dxa" w:w="80"/>
              <w:left w:type="dxa" w:w="120"/>
              <w:bottom w:type="dxa" w:w="80"/>
              <w:right w:type="dxa" w:w="120"/>
            </w:tcMar>
            <w:vAlign w:val="center"/>
          </w:tcPr>
          <w:p>
            <w:pPr>
              <w:jc w:val="left"/>
            </w:pPr>
            <w:r>
              <w:rPr>
                <w:rFonts w:ascii="Arial" w:cs="Arial" w:eastAsia="Arial" w:hAnsi="Arial"/>
                <w:b w:val="false"/>
                <w:bCs w:val="false"/>
                <w:color w:val="374151"/>
                <w:sz w:val="19"/>
                <w:szCs w:val="19"/>
              </w:rPr>
              <w:t xml:space="preserve">Max 10% in SOXX — not 20%</w:t>
            </w:r>
          </w:p>
        </w:tc>
      </w:tr>
      <w:tr>
        <w:tc>
          <w:tcPr>
            <w:tcW w:type="dxa" w:w="1800"/>
            <w:tcBorders>
              <w:top w:val="single" w:color="D1D5DB" w:sz="1"/>
              <w:left w:val="single" w:color="D1D5DB" w:sz="1"/>
              <w:bottom w:val="single" w:color="D1D5DB" w:sz="1"/>
              <w:right w:val="single" w:color="D1D5DB" w:sz="1"/>
            </w:tcBorders>
            <w:shd w:fill="F8FAFC" w:val="clear"/>
            <w:tcMar>
              <w:top w:type="dxa" w:w="80"/>
              <w:left w:type="dxa" w:w="120"/>
              <w:bottom w:type="dxa" w:w="80"/>
              <w:right w:type="dxa" w:w="120"/>
            </w:tcMar>
            <w:vAlign w:val="center"/>
          </w:tcPr>
          <w:p>
            <w:pPr>
              <w:jc w:val="left"/>
            </w:pPr>
            <w:r>
              <w:rPr>
                <w:rFonts w:ascii="Arial" w:cs="Arial" w:eastAsia="Arial" w:hAnsi="Arial"/>
                <w:b/>
                <w:bCs/>
                <w:color w:val="374151"/>
                <w:sz w:val="19"/>
                <w:szCs w:val="19"/>
              </w:rPr>
              <w:t xml:space="preserve">Tariff escalation → stagflation</w:t>
            </w:r>
          </w:p>
        </w:tc>
        <w:tc>
          <w:tcPr>
            <w:tcW w:type="dxa" w:w="1000"/>
            <w:tcBorders>
              <w:top w:val="single" w:color="D1D5DB" w:sz="1"/>
              <w:left w:val="single" w:color="D1D5DB" w:sz="1"/>
              <w:bottom w:val="single" w:color="D1D5DB" w:sz="1"/>
              <w:right w:val="single" w:color="D1D5DB" w:sz="1"/>
            </w:tcBorders>
            <w:shd w:fill="F8FAFC" w:val="clear"/>
            <w:tcMar>
              <w:top w:type="dxa" w:w="80"/>
              <w:left w:type="dxa" w:w="120"/>
              <w:bottom w:type="dxa" w:w="80"/>
              <w:right w:type="dxa" w:w="120"/>
            </w:tcMar>
            <w:vAlign w:val="center"/>
          </w:tcPr>
          <w:p>
            <w:pPr>
              <w:jc w:val="left"/>
            </w:pPr>
            <w:r>
              <w:rPr>
                <w:rFonts w:ascii="Arial" w:cs="Arial" w:eastAsia="Arial" w:hAnsi="Arial"/>
                <w:b w:val="false"/>
                <w:bCs w:val="false"/>
                <w:color w:val="374151"/>
                <w:sz w:val="19"/>
                <w:szCs w:val="19"/>
              </w:rPr>
              <w:t xml:space="preserve">30%</w:t>
            </w:r>
          </w:p>
        </w:tc>
        <w:tc>
          <w:tcPr>
            <w:tcW w:type="dxa" w:w="2200"/>
            <w:tcBorders>
              <w:top w:val="single" w:color="D1D5DB" w:sz="1"/>
              <w:left w:val="single" w:color="D1D5DB" w:sz="1"/>
              <w:bottom w:val="single" w:color="D1D5DB" w:sz="1"/>
              <w:right w:val="single" w:color="D1D5DB" w:sz="1"/>
            </w:tcBorders>
            <w:shd w:fill="F8FAFC" w:val="clear"/>
            <w:tcMar>
              <w:top w:type="dxa" w:w="80"/>
              <w:left w:type="dxa" w:w="120"/>
              <w:bottom w:type="dxa" w:w="80"/>
              <w:right w:type="dxa" w:w="120"/>
            </w:tcMar>
            <w:vAlign w:val="center"/>
          </w:tcPr>
          <w:p>
            <w:pPr>
              <w:jc w:val="left"/>
            </w:pPr>
            <w:r>
              <w:rPr>
                <w:rFonts w:ascii="Arial" w:cs="Arial" w:eastAsia="Arial" w:hAnsi="Arial"/>
                <w:b w:val="false"/>
                <w:bCs w:val="false"/>
                <w:color w:val="374151"/>
                <w:sz w:val="19"/>
                <w:szCs w:val="19"/>
              </w:rPr>
              <w:t xml:space="preserve">Growth stocks -20%, gold +15%</w:t>
            </w:r>
          </w:p>
        </w:tc>
        <w:tc>
          <w:tcPr>
            <w:tcW w:type="dxa" w:w="1100"/>
            <w:tcBorders>
              <w:top w:val="single" w:color="D1D5DB" w:sz="1"/>
              <w:left w:val="single" w:color="D1D5DB" w:sz="1"/>
              <w:bottom w:val="single" w:color="D1D5DB" w:sz="1"/>
              <w:right w:val="single" w:color="D1D5DB" w:sz="1"/>
            </w:tcBorders>
            <w:shd w:fill="F8FAFC" w:val="clear"/>
            <w:tcMar>
              <w:top w:type="dxa" w:w="80"/>
              <w:left w:type="dxa" w:w="120"/>
              <w:bottom w:type="dxa" w:w="80"/>
              <w:right w:type="dxa" w:w="120"/>
            </w:tcMar>
            <w:vAlign w:val="center"/>
          </w:tcPr>
          <w:p>
            <w:pPr>
              <w:jc w:val="left"/>
            </w:pPr>
            <w:r>
              <w:rPr>
                <w:rFonts w:ascii="Arial" w:cs="Arial" w:eastAsia="Arial" w:hAnsi="Arial"/>
                <w:b w:val="false"/>
                <w:bCs w:val="false"/>
                <w:color w:val="374151"/>
                <w:sz w:val="19"/>
                <w:szCs w:val="19"/>
              </w:rPr>
              <w:t xml:space="preserve">MEDIUM-HIGH</w:t>
            </w:r>
          </w:p>
        </w:tc>
        <w:tc>
          <w:tcPr>
            <w:tcW w:type="dxa" w:w="3260"/>
            <w:tcBorders>
              <w:top w:val="single" w:color="D1D5DB" w:sz="1"/>
              <w:left w:val="single" w:color="D1D5DB" w:sz="1"/>
              <w:bottom w:val="single" w:color="D1D5DB" w:sz="1"/>
              <w:right w:val="single" w:color="D1D5DB" w:sz="1"/>
            </w:tcBorders>
            <w:shd w:fill="F8FAFC" w:val="clear"/>
            <w:tcMar>
              <w:top w:type="dxa" w:w="80"/>
              <w:left w:type="dxa" w:w="120"/>
              <w:bottom w:type="dxa" w:w="80"/>
              <w:right w:type="dxa" w:w="120"/>
            </w:tcMar>
            <w:vAlign w:val="center"/>
          </w:tcPr>
          <w:p>
            <w:pPr>
              <w:jc w:val="left"/>
            </w:pPr>
            <w:r>
              <w:rPr>
                <w:rFonts w:ascii="Arial" w:cs="Arial" w:eastAsia="Arial" w:hAnsi="Arial"/>
                <w:b w:val="false"/>
                <w:bCs w:val="false"/>
                <w:color w:val="374151"/>
                <w:sz w:val="19"/>
                <w:szCs w:val="19"/>
              </w:rPr>
              <w:t xml:space="preserve">IAU allocation is direct hedge</w:t>
            </w:r>
          </w:p>
        </w:tc>
      </w:tr>
      <w:tr>
        <w:tc>
          <w:tcPr>
            <w:tcW w:type="dxa" w:w="1800"/>
            <w:tcBorders>
              <w:top w:val="single" w:color="D1D5DB" w:sz="1"/>
              <w:left w:val="single" w:color="D1D5DB" w:sz="1"/>
              <w:bottom w:val="single" w:color="D1D5DB" w:sz="1"/>
              <w:right w:val="single" w:color="D1D5DB" w:sz="1"/>
            </w:tcBorders>
            <w:shd w:fill="FFFFFF" w:val="clear"/>
            <w:tcMar>
              <w:top w:type="dxa" w:w="80"/>
              <w:left w:type="dxa" w:w="120"/>
              <w:bottom w:type="dxa" w:w="80"/>
              <w:right w:type="dxa" w:w="120"/>
            </w:tcMar>
            <w:vAlign w:val="center"/>
          </w:tcPr>
          <w:p>
            <w:pPr>
              <w:jc w:val="left"/>
            </w:pPr>
            <w:r>
              <w:rPr>
                <w:rFonts w:ascii="Arial" w:cs="Arial" w:eastAsia="Arial" w:hAnsi="Arial"/>
                <w:b/>
                <w:bCs/>
                <w:color w:val="374151"/>
                <w:sz w:val="19"/>
                <w:szCs w:val="19"/>
              </w:rPr>
              <w:t xml:space="preserve">India FII selloff resumes</w:t>
            </w:r>
          </w:p>
        </w:tc>
        <w:tc>
          <w:tcPr>
            <w:tcW w:type="dxa" w:w="1000"/>
            <w:tcBorders>
              <w:top w:val="single" w:color="D1D5DB" w:sz="1"/>
              <w:left w:val="single" w:color="D1D5DB" w:sz="1"/>
              <w:bottom w:val="single" w:color="D1D5DB" w:sz="1"/>
              <w:right w:val="single" w:color="D1D5DB" w:sz="1"/>
            </w:tcBorders>
            <w:shd w:fill="FFFFFF" w:val="clear"/>
            <w:tcMar>
              <w:top w:type="dxa" w:w="80"/>
              <w:left w:type="dxa" w:w="120"/>
              <w:bottom w:type="dxa" w:w="80"/>
              <w:right w:type="dxa" w:w="120"/>
            </w:tcMar>
            <w:vAlign w:val="center"/>
          </w:tcPr>
          <w:p>
            <w:pPr>
              <w:jc w:val="left"/>
            </w:pPr>
            <w:r>
              <w:rPr>
                <w:rFonts w:ascii="Arial" w:cs="Arial" w:eastAsia="Arial" w:hAnsi="Arial"/>
                <w:b w:val="false"/>
                <w:bCs w:val="false"/>
                <w:color w:val="374151"/>
                <w:sz w:val="19"/>
                <w:szCs w:val="19"/>
              </w:rPr>
              <w:t xml:space="preserve">25%</w:t>
            </w:r>
          </w:p>
        </w:tc>
        <w:tc>
          <w:tcPr>
            <w:tcW w:type="dxa" w:w="2200"/>
            <w:tcBorders>
              <w:top w:val="single" w:color="D1D5DB" w:sz="1"/>
              <w:left w:val="single" w:color="D1D5DB" w:sz="1"/>
              <w:bottom w:val="single" w:color="D1D5DB" w:sz="1"/>
              <w:right w:val="single" w:color="D1D5DB" w:sz="1"/>
            </w:tcBorders>
            <w:shd w:fill="FFFFFF" w:val="clear"/>
            <w:tcMar>
              <w:top w:type="dxa" w:w="80"/>
              <w:left w:type="dxa" w:w="120"/>
              <w:bottom w:type="dxa" w:w="80"/>
              <w:right w:type="dxa" w:w="120"/>
            </w:tcMar>
            <w:vAlign w:val="center"/>
          </w:tcPr>
          <w:p>
            <w:pPr>
              <w:jc w:val="left"/>
            </w:pPr>
            <w:r>
              <w:rPr>
                <w:rFonts w:ascii="Arial" w:cs="Arial" w:eastAsia="Arial" w:hAnsi="Arial"/>
                <w:b w:val="false"/>
                <w:bCs w:val="false"/>
                <w:color w:val="374151"/>
                <w:sz w:val="19"/>
                <w:szCs w:val="19"/>
              </w:rPr>
              <w:t xml:space="preserve">INDA -15%, midcaps -25%</w:t>
            </w:r>
          </w:p>
        </w:tc>
        <w:tc>
          <w:tcPr>
            <w:tcW w:type="dxa" w:w="1100"/>
            <w:tcBorders>
              <w:top w:val="single" w:color="D1D5DB" w:sz="1"/>
              <w:left w:val="single" w:color="D1D5DB" w:sz="1"/>
              <w:bottom w:val="single" w:color="D1D5DB" w:sz="1"/>
              <w:right w:val="single" w:color="D1D5DB" w:sz="1"/>
            </w:tcBorders>
            <w:shd w:fill="FFFFFF" w:val="clear"/>
            <w:tcMar>
              <w:top w:type="dxa" w:w="80"/>
              <w:left w:type="dxa" w:w="120"/>
              <w:bottom w:type="dxa" w:w="80"/>
              <w:right w:type="dxa" w:w="120"/>
            </w:tcMar>
            <w:vAlign w:val="center"/>
          </w:tcPr>
          <w:p>
            <w:pPr>
              <w:jc w:val="left"/>
            </w:pPr>
            <w:r>
              <w:rPr>
                <w:rFonts w:ascii="Arial" w:cs="Arial" w:eastAsia="Arial" w:hAnsi="Arial"/>
                <w:b w:val="false"/>
                <w:bCs w:val="false"/>
                <w:color w:val="374151"/>
                <w:sz w:val="19"/>
                <w:szCs w:val="19"/>
              </w:rPr>
              <w:t xml:space="preserve">MEDIUM</w:t>
            </w:r>
          </w:p>
        </w:tc>
        <w:tc>
          <w:tcPr>
            <w:tcW w:type="dxa" w:w="3260"/>
            <w:tcBorders>
              <w:top w:val="single" w:color="D1D5DB" w:sz="1"/>
              <w:left w:val="single" w:color="D1D5DB" w:sz="1"/>
              <w:bottom w:val="single" w:color="D1D5DB" w:sz="1"/>
              <w:right w:val="single" w:color="D1D5DB" w:sz="1"/>
            </w:tcBorders>
            <w:shd w:fill="FFFFFF" w:val="clear"/>
            <w:tcMar>
              <w:top w:type="dxa" w:w="80"/>
              <w:left w:type="dxa" w:w="120"/>
              <w:bottom w:type="dxa" w:w="80"/>
              <w:right w:type="dxa" w:w="120"/>
            </w:tcMar>
            <w:vAlign w:val="center"/>
          </w:tcPr>
          <w:p>
            <w:pPr>
              <w:jc w:val="left"/>
            </w:pPr>
            <w:r>
              <w:rPr>
                <w:rFonts w:ascii="Arial" w:cs="Arial" w:eastAsia="Arial" w:hAnsi="Arial"/>
                <w:b w:val="false"/>
                <w:bCs w:val="false"/>
                <w:color w:val="374151"/>
                <w:sz w:val="19"/>
                <w:szCs w:val="19"/>
              </w:rPr>
              <w:t xml:space="preserve">DII $77B backstop — hold through</w:t>
            </w:r>
          </w:p>
        </w:tc>
      </w:tr>
      <w:tr>
        <w:tc>
          <w:tcPr>
            <w:tcW w:type="dxa" w:w="1800"/>
            <w:tcBorders>
              <w:top w:val="single" w:color="D1D5DB" w:sz="1"/>
              <w:left w:val="single" w:color="D1D5DB" w:sz="1"/>
              <w:bottom w:val="single" w:color="D1D5DB" w:sz="1"/>
              <w:right w:val="single" w:color="D1D5DB" w:sz="1"/>
            </w:tcBorders>
            <w:shd w:fill="F8FAFC" w:val="clear"/>
            <w:tcMar>
              <w:top w:type="dxa" w:w="80"/>
              <w:left w:type="dxa" w:w="120"/>
              <w:bottom w:type="dxa" w:w="80"/>
              <w:right w:type="dxa" w:w="120"/>
            </w:tcMar>
            <w:vAlign w:val="center"/>
          </w:tcPr>
          <w:p>
            <w:pPr>
              <w:jc w:val="left"/>
            </w:pPr>
            <w:r>
              <w:rPr>
                <w:rFonts w:ascii="Arial" w:cs="Arial" w:eastAsia="Arial" w:hAnsi="Arial"/>
                <w:b/>
                <w:bCs/>
                <w:color w:val="374151"/>
                <w:sz w:val="19"/>
                <w:szCs w:val="19"/>
              </w:rPr>
              <w:t xml:space="preserve">INR/MYR currency depreciation</w:t>
            </w:r>
          </w:p>
        </w:tc>
        <w:tc>
          <w:tcPr>
            <w:tcW w:type="dxa" w:w="1000"/>
            <w:tcBorders>
              <w:top w:val="single" w:color="D1D5DB" w:sz="1"/>
              <w:left w:val="single" w:color="D1D5DB" w:sz="1"/>
              <w:bottom w:val="single" w:color="D1D5DB" w:sz="1"/>
              <w:right w:val="single" w:color="D1D5DB" w:sz="1"/>
            </w:tcBorders>
            <w:shd w:fill="F8FAFC" w:val="clear"/>
            <w:tcMar>
              <w:top w:type="dxa" w:w="80"/>
              <w:left w:type="dxa" w:w="120"/>
              <w:bottom w:type="dxa" w:w="80"/>
              <w:right w:type="dxa" w:w="120"/>
            </w:tcMar>
            <w:vAlign w:val="center"/>
          </w:tcPr>
          <w:p>
            <w:pPr>
              <w:jc w:val="left"/>
            </w:pPr>
            <w:r>
              <w:rPr>
                <w:rFonts w:ascii="Arial" w:cs="Arial" w:eastAsia="Arial" w:hAnsi="Arial"/>
                <w:b w:val="false"/>
                <w:bCs w:val="false"/>
                <w:color w:val="374151"/>
                <w:sz w:val="19"/>
                <w:szCs w:val="19"/>
              </w:rPr>
              <w:t xml:space="preserve">40%</w:t>
            </w:r>
          </w:p>
        </w:tc>
        <w:tc>
          <w:tcPr>
            <w:tcW w:type="dxa" w:w="2200"/>
            <w:tcBorders>
              <w:top w:val="single" w:color="D1D5DB" w:sz="1"/>
              <w:left w:val="single" w:color="D1D5DB" w:sz="1"/>
              <w:bottom w:val="single" w:color="D1D5DB" w:sz="1"/>
              <w:right w:val="single" w:color="D1D5DB" w:sz="1"/>
            </w:tcBorders>
            <w:shd w:fill="F8FAFC" w:val="clear"/>
            <w:tcMar>
              <w:top w:type="dxa" w:w="80"/>
              <w:left w:type="dxa" w:w="120"/>
              <w:bottom w:type="dxa" w:w="80"/>
              <w:right w:type="dxa" w:w="120"/>
            </w:tcMar>
            <w:vAlign w:val="center"/>
          </w:tcPr>
          <w:p>
            <w:pPr>
              <w:jc w:val="left"/>
            </w:pPr>
            <w:r>
              <w:rPr>
                <w:rFonts w:ascii="Arial" w:cs="Arial" w:eastAsia="Arial" w:hAnsi="Arial"/>
                <w:b w:val="false"/>
                <w:bCs w:val="false"/>
                <w:color w:val="374151"/>
                <w:sz w:val="19"/>
                <w:szCs w:val="19"/>
              </w:rPr>
              <w:t xml:space="preserve">India/MY positions -10% in USD</w:t>
            </w:r>
          </w:p>
        </w:tc>
        <w:tc>
          <w:tcPr>
            <w:tcW w:type="dxa" w:w="1100"/>
            <w:tcBorders>
              <w:top w:val="single" w:color="D1D5DB" w:sz="1"/>
              <w:left w:val="single" w:color="D1D5DB" w:sz="1"/>
              <w:bottom w:val="single" w:color="D1D5DB" w:sz="1"/>
              <w:right w:val="single" w:color="D1D5DB" w:sz="1"/>
            </w:tcBorders>
            <w:shd w:fill="F8FAFC" w:val="clear"/>
            <w:tcMar>
              <w:top w:type="dxa" w:w="80"/>
              <w:left w:type="dxa" w:w="120"/>
              <w:bottom w:type="dxa" w:w="80"/>
              <w:right w:type="dxa" w:w="120"/>
            </w:tcMar>
            <w:vAlign w:val="center"/>
          </w:tcPr>
          <w:p>
            <w:pPr>
              <w:jc w:val="left"/>
            </w:pPr>
            <w:r>
              <w:rPr>
                <w:rFonts w:ascii="Arial" w:cs="Arial" w:eastAsia="Arial" w:hAnsi="Arial"/>
                <w:b w:val="false"/>
                <w:bCs w:val="false"/>
                <w:color w:val="374151"/>
                <w:sz w:val="19"/>
                <w:szCs w:val="19"/>
              </w:rPr>
              <w:t xml:space="preserve">MEDIUM</w:t>
            </w:r>
          </w:p>
        </w:tc>
        <w:tc>
          <w:tcPr>
            <w:tcW w:type="dxa" w:w="3260"/>
            <w:tcBorders>
              <w:top w:val="single" w:color="D1D5DB" w:sz="1"/>
              <w:left w:val="single" w:color="D1D5DB" w:sz="1"/>
              <w:bottom w:val="single" w:color="D1D5DB" w:sz="1"/>
              <w:right w:val="single" w:color="D1D5DB" w:sz="1"/>
            </w:tcBorders>
            <w:shd w:fill="F8FAFC" w:val="clear"/>
            <w:tcMar>
              <w:top w:type="dxa" w:w="80"/>
              <w:left w:type="dxa" w:w="120"/>
              <w:bottom w:type="dxa" w:w="80"/>
              <w:right w:type="dxa" w:w="120"/>
            </w:tcMar>
            <w:vAlign w:val="center"/>
          </w:tcPr>
          <w:p>
            <w:pPr>
              <w:jc w:val="left"/>
            </w:pPr>
            <w:r>
              <w:rPr>
                <w:rFonts w:ascii="Arial" w:cs="Arial" w:eastAsia="Arial" w:hAnsi="Arial"/>
                <w:b w:val="false"/>
                <w:bCs w:val="false"/>
                <w:color w:val="374151"/>
                <w:sz w:val="19"/>
                <w:szCs w:val="19"/>
              </w:rPr>
              <w:t xml:space="preserve">Size EM positions for FX drag</w:t>
            </w:r>
          </w:p>
        </w:tc>
      </w:tr>
      <w:tr>
        <w:tc>
          <w:tcPr>
            <w:tcW w:type="dxa" w:w="1800"/>
            <w:tcBorders>
              <w:top w:val="single" w:color="D1D5DB" w:sz="1"/>
              <w:left w:val="single" w:color="D1D5DB" w:sz="1"/>
              <w:bottom w:val="single" w:color="D1D5DB" w:sz="1"/>
              <w:right w:val="single" w:color="D1D5DB" w:sz="1"/>
            </w:tcBorders>
            <w:shd w:fill="FFFFFF" w:val="clear"/>
            <w:tcMar>
              <w:top w:type="dxa" w:w="80"/>
              <w:left w:type="dxa" w:w="120"/>
              <w:bottom w:type="dxa" w:w="80"/>
              <w:right w:type="dxa" w:w="120"/>
            </w:tcMar>
            <w:vAlign w:val="center"/>
          </w:tcPr>
          <w:p>
            <w:pPr>
              <w:jc w:val="left"/>
            </w:pPr>
            <w:r>
              <w:rPr>
                <w:rFonts w:ascii="Arial" w:cs="Arial" w:eastAsia="Arial" w:hAnsi="Arial"/>
                <w:b/>
                <w:bCs/>
                <w:color w:val="374151"/>
                <w:sz w:val="19"/>
                <w:szCs w:val="19"/>
              </w:rPr>
              <w:t xml:space="preserve">AI bubble narrative cracks</w:t>
            </w:r>
          </w:p>
        </w:tc>
        <w:tc>
          <w:tcPr>
            <w:tcW w:type="dxa" w:w="1000"/>
            <w:tcBorders>
              <w:top w:val="single" w:color="D1D5DB" w:sz="1"/>
              <w:left w:val="single" w:color="D1D5DB" w:sz="1"/>
              <w:bottom w:val="single" w:color="D1D5DB" w:sz="1"/>
              <w:right w:val="single" w:color="D1D5DB" w:sz="1"/>
            </w:tcBorders>
            <w:shd w:fill="FFFFFF" w:val="clear"/>
            <w:tcMar>
              <w:top w:type="dxa" w:w="80"/>
              <w:left w:type="dxa" w:w="120"/>
              <w:bottom w:type="dxa" w:w="80"/>
              <w:right w:type="dxa" w:w="120"/>
            </w:tcMar>
            <w:vAlign w:val="center"/>
          </w:tcPr>
          <w:p>
            <w:pPr>
              <w:jc w:val="left"/>
            </w:pPr>
            <w:r>
              <w:rPr>
                <w:rFonts w:ascii="Arial" w:cs="Arial" w:eastAsia="Arial" w:hAnsi="Arial"/>
                <w:b w:val="false"/>
                <w:bCs w:val="false"/>
                <w:color w:val="374151"/>
                <w:sz w:val="19"/>
                <w:szCs w:val="19"/>
              </w:rPr>
              <w:t xml:space="preserve">20%</w:t>
            </w:r>
          </w:p>
        </w:tc>
        <w:tc>
          <w:tcPr>
            <w:tcW w:type="dxa" w:w="2200"/>
            <w:tcBorders>
              <w:top w:val="single" w:color="D1D5DB" w:sz="1"/>
              <w:left w:val="single" w:color="D1D5DB" w:sz="1"/>
              <w:bottom w:val="single" w:color="D1D5DB" w:sz="1"/>
              <w:right w:val="single" w:color="D1D5DB" w:sz="1"/>
            </w:tcBorders>
            <w:shd w:fill="FFFFFF" w:val="clear"/>
            <w:tcMar>
              <w:top w:type="dxa" w:w="80"/>
              <w:left w:type="dxa" w:w="120"/>
              <w:bottom w:type="dxa" w:w="80"/>
              <w:right w:type="dxa" w:w="120"/>
            </w:tcMar>
            <w:vAlign w:val="center"/>
          </w:tcPr>
          <w:p>
            <w:pPr>
              <w:jc w:val="left"/>
            </w:pPr>
            <w:r>
              <w:rPr>
                <w:rFonts w:ascii="Arial" w:cs="Arial" w:eastAsia="Arial" w:hAnsi="Arial"/>
                <w:b w:val="false"/>
                <w:bCs w:val="false"/>
                <w:color w:val="374151"/>
                <w:sz w:val="19"/>
                <w:szCs w:val="19"/>
              </w:rPr>
              <w:t xml:space="preserve">SOXX/AIQ -30 to -50%</w:t>
            </w:r>
          </w:p>
        </w:tc>
        <w:tc>
          <w:tcPr>
            <w:tcW w:type="dxa" w:w="1100"/>
            <w:tcBorders>
              <w:top w:val="single" w:color="D1D5DB" w:sz="1"/>
              <w:left w:val="single" w:color="D1D5DB" w:sz="1"/>
              <w:bottom w:val="single" w:color="D1D5DB" w:sz="1"/>
              <w:right w:val="single" w:color="D1D5DB" w:sz="1"/>
            </w:tcBorders>
            <w:shd w:fill="FFFFFF" w:val="clear"/>
            <w:tcMar>
              <w:top w:type="dxa" w:w="80"/>
              <w:left w:type="dxa" w:w="120"/>
              <w:bottom w:type="dxa" w:w="80"/>
              <w:right w:type="dxa" w:w="120"/>
            </w:tcMar>
            <w:vAlign w:val="center"/>
          </w:tcPr>
          <w:p>
            <w:pPr>
              <w:jc w:val="left"/>
            </w:pPr>
            <w:r>
              <w:rPr>
                <w:rFonts w:ascii="Arial" w:cs="Arial" w:eastAsia="Arial" w:hAnsi="Arial"/>
                <w:b w:val="false"/>
                <w:bCs w:val="false"/>
                <w:color w:val="374151"/>
                <w:sz w:val="19"/>
                <w:szCs w:val="19"/>
              </w:rPr>
              <w:t xml:space="preserve">MEDIUM-HIGH</w:t>
            </w:r>
          </w:p>
        </w:tc>
        <w:tc>
          <w:tcPr>
            <w:tcW w:type="dxa" w:w="3260"/>
            <w:tcBorders>
              <w:top w:val="single" w:color="D1D5DB" w:sz="1"/>
              <w:left w:val="single" w:color="D1D5DB" w:sz="1"/>
              <w:bottom w:val="single" w:color="D1D5DB" w:sz="1"/>
              <w:right w:val="single" w:color="D1D5DB" w:sz="1"/>
            </w:tcBorders>
            <w:shd w:fill="FFFFFF" w:val="clear"/>
            <w:tcMar>
              <w:top w:type="dxa" w:w="80"/>
              <w:left w:type="dxa" w:w="120"/>
              <w:bottom w:type="dxa" w:w="80"/>
              <w:right w:type="dxa" w:w="120"/>
            </w:tcMar>
            <w:vAlign w:val="center"/>
          </w:tcPr>
          <w:p>
            <w:pPr>
              <w:jc w:val="left"/>
            </w:pPr>
            <w:r>
              <w:rPr>
                <w:rFonts w:ascii="Arial" w:cs="Arial" w:eastAsia="Arial" w:hAnsi="Arial"/>
                <w:b w:val="false"/>
                <w:bCs w:val="false"/>
                <w:color w:val="374151"/>
                <w:sz w:val="19"/>
                <w:szCs w:val="19"/>
              </w:rPr>
              <w:t xml:space="preserve">AI hardware more durable than AI software hype</w:t>
            </w:r>
          </w:p>
        </w:tc>
      </w:tr>
    </w:tbl>
    <w:p>
      <w:r>
        <w:t xml:space="preserve"/>
      </w:r>
    </w:p>
    <w:p>
      <w:pPr>
        <w:pStyle w:val="Heading2"/>
        <w:pBdr>
          <w:bottom w:val="single" w:color="C9A84C" w:sz="4" w:space="4"/>
        </w:pBdr>
        <w:spacing w:after="120" w:before="240"/>
      </w:pPr>
      <w:r>
        <w:rPr>
          <w:rFonts w:ascii="Arial" w:cs="Arial" w:eastAsia="Arial" w:hAnsi="Arial"/>
          <w:b/>
          <w:bCs/>
          <w:color w:val="0A0F1E"/>
          <w:sz w:val="30"/>
          <w:szCs w:val="30"/>
        </w:rPr>
        <w:t xml:space="preserve">7.2 The 5 Behavioural Risks (Often More Expensive Than Market Risks)</w:t>
      </w:r>
    </w:p>
    <w:p>
      <w:pPr>
        <w:pStyle w:val="ListParagraph"/>
        <w:numPr>
          <w:ilvl w:val="0"/>
          <w:numId w:val="2"/>
        </w:numPr>
        <w:spacing w:after="40" w:before="40"/>
      </w:pPr>
      <w:r>
        <w:rPr>
          <w:rFonts w:ascii="Arial" w:cs="Arial" w:eastAsia="Arial" w:hAnsi="Arial"/>
          <w:color w:val="374151"/>
          <w:sz w:val="21"/>
          <w:szCs w:val="21"/>
        </w:rPr>
        <w:t xml:space="preserve">Panic selling during drawdown — S&amp;P 500 dropped 34% in March 2020. Those who held or bought tripled their money by 2021. Time in market beats timing the market.</w:t>
      </w:r>
    </w:p>
    <w:p>
      <w:pPr>
        <w:pStyle w:val="ListParagraph"/>
        <w:numPr>
          <w:ilvl w:val="0"/>
          <w:numId w:val="2"/>
        </w:numPr>
        <w:spacing w:after="40" w:before="40"/>
      </w:pPr>
      <w:r>
        <w:rPr>
          <w:rFonts w:ascii="Arial" w:cs="Arial" w:eastAsia="Arial" w:hAnsi="Arial"/>
          <w:color w:val="374151"/>
          <w:sz w:val="21"/>
          <w:szCs w:val="21"/>
        </w:rPr>
        <w:t xml:space="preserve">FOMO chasing — Crypto 2021, Dot-com 2000, Nifty Fifty 1972. Hot narratives always peak when everyone is buying. If your friends are excited about it, you are probably too late.</w:t>
      </w:r>
    </w:p>
    <w:p>
      <w:pPr>
        <w:pStyle w:val="ListParagraph"/>
        <w:numPr>
          <w:ilvl w:val="0"/>
          <w:numId w:val="2"/>
        </w:numPr>
        <w:spacing w:after="40" w:before="40"/>
      </w:pPr>
      <w:r>
        <w:rPr>
          <w:rFonts w:ascii="Arial" w:cs="Arial" w:eastAsia="Arial" w:hAnsi="Arial"/>
          <w:color w:val="374151"/>
          <w:sz w:val="21"/>
          <w:szCs w:val="21"/>
        </w:rPr>
        <w:t xml:space="preserve">Overtrading (destroying compounding) — Each sell-buy cycle resets your cost basis and incurs tax. Lynch's best performers were stocks he forgot he owned for 5+ years.</w:t>
      </w:r>
    </w:p>
    <w:p>
      <w:pPr>
        <w:pStyle w:val="ListParagraph"/>
        <w:numPr>
          <w:ilvl w:val="0"/>
          <w:numId w:val="2"/>
        </w:numPr>
        <w:spacing w:after="40" w:before="40"/>
      </w:pPr>
      <w:r>
        <w:rPr>
          <w:rFonts w:ascii="Arial" w:cs="Arial" w:eastAsia="Arial" w:hAnsi="Arial"/>
          <w:color w:val="374151"/>
          <w:sz w:val="21"/>
          <w:szCs w:val="21"/>
        </w:rPr>
        <w:t xml:space="preserve">Under-sizing winners — If SOXX triples, your 10% becomes 30% of portfolio. Let winners run. Do not "rebalance" out of outperformers prematurely. That is how you cut the flower that is growing.</w:t>
      </w:r>
    </w:p>
    <w:p>
      <w:pPr>
        <w:pStyle w:val="ListParagraph"/>
        <w:numPr>
          <w:ilvl w:val="0"/>
          <w:numId w:val="2"/>
        </w:numPr>
        <w:spacing w:after="40" w:before="40"/>
      </w:pPr>
      <w:r>
        <w:rPr>
          <w:rFonts w:ascii="Arial" w:cs="Arial" w:eastAsia="Arial" w:hAnsi="Arial"/>
          <w:color w:val="374151"/>
          <w:sz w:val="21"/>
          <w:szCs w:val="21"/>
        </w:rPr>
        <w:t xml:space="preserve">Ignoring position sizing — A 5% position going to zero stings. A 30% position going to zero is catastrophic. Never let any single bet exceed 15% of portfolio under any circumstances.</w:t>
      </w:r>
    </w:p>
    <w:p>
      <w:r>
        <w:t xml:space="preserve"/>
      </w:r>
    </w:p>
    <w:p>
      <w:pPr>
        <w:pStyle w:val="Heading2"/>
        <w:pBdr>
          <w:bottom w:val="single" w:color="C9A84C" w:sz="4" w:space="4"/>
        </w:pBdr>
        <w:spacing w:after="120" w:before="240"/>
      </w:pPr>
      <w:r>
        <w:rPr>
          <w:rFonts w:ascii="Arial" w:cs="Arial" w:eastAsia="Arial" w:hAnsi="Arial"/>
          <w:b/>
          <w:bCs/>
          <w:color w:val="0A0F1E"/>
          <w:sz w:val="30"/>
          <w:szCs w:val="30"/>
        </w:rPr>
        <w:t xml:space="preserve">7.3 Non-Negotiable Risk Management Rules</w:t>
      </w:r>
    </w:p>
    <w:tbl>
      <w:tblPr>
        <w:tblW w:type="dxa" w:w="9360"/>
        <w:tblBorders>
          <w:top w:val="single" w:color="auto" w:sz="4"/>
          <w:left w:val="single" w:color="auto" w:sz="4"/>
          <w:bottom w:val="single" w:color="auto" w:sz="4"/>
          <w:right w:val="single" w:color="auto" w:sz="4"/>
          <w:insideH w:val="single" w:color="auto" w:sz="4"/>
          <w:insideV w:val="single" w:color="auto" w:sz="4"/>
        </w:tblBorders>
      </w:tblPr>
      <w:tblGrid>
        <w:gridCol w:w="2200"/>
        <w:gridCol w:w="3500"/>
        <w:gridCol w:w="3660"/>
      </w:tblGrid>
      <w:tr>
        <w:trPr>
          <w:tblHeader/>
        </w:trPr>
        <w:tc>
          <w:tcPr>
            <w:tcW w:type="dxa" w:w="2200"/>
            <w:tcBorders>
              <w:top w:val="single" w:color="D1D5DB" w:sz="1"/>
              <w:left w:val="single" w:color="D1D5DB" w:sz="1"/>
              <w:bottom w:val="single" w:color="D1D5DB" w:sz="1"/>
              <w:right w:val="single" w:color="D1D5DB" w:sz="1"/>
            </w:tcBorders>
            <w:shd w:fill="1E3A5F" w:val="clear"/>
            <w:tcMar>
              <w:top w:type="dxa" w:w="80"/>
              <w:left w:type="dxa" w:w="120"/>
              <w:bottom w:type="dxa" w:w="80"/>
              <w:right w:type="dxa" w:w="120"/>
            </w:tcMar>
            <w:vAlign w:val="center"/>
          </w:tcPr>
          <w:p>
            <w:pPr>
              <w:jc w:val="left"/>
            </w:pPr>
            <w:r>
              <w:rPr>
                <w:rFonts w:ascii="Arial" w:cs="Arial" w:eastAsia="Arial" w:hAnsi="Arial"/>
                <w:b/>
                <w:bCs/>
                <w:color w:val="FFFFFF"/>
                <w:sz w:val="20"/>
                <w:szCs w:val="20"/>
              </w:rPr>
              <w:t xml:space="preserve">Rule</w:t>
            </w:r>
          </w:p>
        </w:tc>
        <w:tc>
          <w:tcPr>
            <w:tcW w:type="dxa" w:w="3500"/>
            <w:tcBorders>
              <w:top w:val="single" w:color="D1D5DB" w:sz="1"/>
              <w:left w:val="single" w:color="D1D5DB" w:sz="1"/>
              <w:bottom w:val="single" w:color="D1D5DB" w:sz="1"/>
              <w:right w:val="single" w:color="D1D5DB" w:sz="1"/>
            </w:tcBorders>
            <w:shd w:fill="1E3A5F" w:val="clear"/>
            <w:tcMar>
              <w:top w:type="dxa" w:w="80"/>
              <w:left w:type="dxa" w:w="120"/>
              <w:bottom w:type="dxa" w:w="80"/>
              <w:right w:type="dxa" w:w="120"/>
            </w:tcMar>
            <w:vAlign w:val="center"/>
          </w:tcPr>
          <w:p>
            <w:pPr>
              <w:jc w:val="left"/>
            </w:pPr>
            <w:r>
              <w:rPr>
                <w:rFonts w:ascii="Arial" w:cs="Arial" w:eastAsia="Arial" w:hAnsi="Arial"/>
                <w:b/>
                <w:bCs/>
                <w:color w:val="FFFFFF"/>
                <w:sz w:val="20"/>
                <w:szCs w:val="20"/>
              </w:rPr>
              <w:t xml:space="preserve">What It Means</w:t>
            </w:r>
          </w:p>
        </w:tc>
        <w:tc>
          <w:tcPr>
            <w:tcW w:type="dxa" w:w="3660"/>
            <w:tcBorders>
              <w:top w:val="single" w:color="D1D5DB" w:sz="1"/>
              <w:left w:val="single" w:color="D1D5DB" w:sz="1"/>
              <w:bottom w:val="single" w:color="D1D5DB" w:sz="1"/>
              <w:right w:val="single" w:color="D1D5DB" w:sz="1"/>
            </w:tcBorders>
            <w:shd w:fill="1E3A5F" w:val="clear"/>
            <w:tcMar>
              <w:top w:type="dxa" w:w="80"/>
              <w:left w:type="dxa" w:w="120"/>
              <w:bottom w:type="dxa" w:w="80"/>
              <w:right w:type="dxa" w:w="120"/>
            </w:tcMar>
            <w:vAlign w:val="center"/>
          </w:tcPr>
          <w:p>
            <w:pPr>
              <w:jc w:val="left"/>
            </w:pPr>
            <w:r>
              <w:rPr>
                <w:rFonts w:ascii="Arial" w:cs="Arial" w:eastAsia="Arial" w:hAnsi="Arial"/>
                <w:b/>
                <w:bCs/>
                <w:color w:val="FFFFFF"/>
                <w:sz w:val="20"/>
                <w:szCs w:val="20"/>
              </w:rPr>
              <w:t xml:space="preserve">Why It Matters</w:t>
            </w:r>
          </w:p>
        </w:tc>
      </w:tr>
      <w:tr>
        <w:tc>
          <w:tcPr>
            <w:tcW w:type="dxa" w:w="2200"/>
            <w:tcBorders>
              <w:top w:val="single" w:color="D1D5DB" w:sz="1"/>
              <w:left w:val="single" w:color="D1D5DB" w:sz="1"/>
              <w:bottom w:val="single" w:color="D1D5DB" w:sz="1"/>
              <w:right w:val="single" w:color="D1D5DB" w:sz="1"/>
            </w:tcBorders>
            <w:shd w:fill="F8FAFC" w:val="clear"/>
            <w:tcMar>
              <w:top w:type="dxa" w:w="80"/>
              <w:left w:type="dxa" w:w="120"/>
              <w:bottom w:type="dxa" w:w="80"/>
              <w:right w:type="dxa" w:w="120"/>
            </w:tcMar>
            <w:vAlign w:val="center"/>
          </w:tcPr>
          <w:p>
            <w:pPr>
              <w:jc w:val="left"/>
            </w:pPr>
            <w:r>
              <w:rPr>
                <w:rFonts w:ascii="Arial" w:cs="Arial" w:eastAsia="Arial" w:hAnsi="Arial"/>
                <w:b/>
                <w:bCs/>
                <w:color w:val="374151"/>
                <w:sz w:val="19"/>
                <w:szCs w:val="19"/>
              </w:rPr>
              <w:t xml:space="preserve">Rule 1: Max 15% per position</w:t>
            </w:r>
          </w:p>
        </w:tc>
        <w:tc>
          <w:tcPr>
            <w:tcW w:type="dxa" w:w="3500"/>
            <w:tcBorders>
              <w:top w:val="single" w:color="D1D5DB" w:sz="1"/>
              <w:left w:val="single" w:color="D1D5DB" w:sz="1"/>
              <w:bottom w:val="single" w:color="D1D5DB" w:sz="1"/>
              <w:right w:val="single" w:color="D1D5DB" w:sz="1"/>
            </w:tcBorders>
            <w:shd w:fill="F8FAFC" w:val="clear"/>
            <w:tcMar>
              <w:top w:type="dxa" w:w="80"/>
              <w:left w:type="dxa" w:w="120"/>
              <w:bottom w:type="dxa" w:w="80"/>
              <w:right w:type="dxa" w:w="120"/>
            </w:tcMar>
            <w:vAlign w:val="center"/>
          </w:tcPr>
          <w:p>
            <w:pPr>
              <w:jc w:val="left"/>
            </w:pPr>
            <w:r>
              <w:rPr>
                <w:rFonts w:ascii="Arial" w:cs="Arial" w:eastAsia="Arial" w:hAnsi="Arial"/>
                <w:b w:val="false"/>
                <w:bCs w:val="false"/>
                <w:color w:val="374151"/>
                <w:sz w:val="19"/>
                <w:szCs w:val="19"/>
              </w:rPr>
              <w:t xml:space="preserve">No single stock or ETF exceeds 15% of portfolio</w:t>
            </w:r>
          </w:p>
        </w:tc>
        <w:tc>
          <w:tcPr>
            <w:tcW w:type="dxa" w:w="3660"/>
            <w:tcBorders>
              <w:top w:val="single" w:color="D1D5DB" w:sz="1"/>
              <w:left w:val="single" w:color="D1D5DB" w:sz="1"/>
              <w:bottom w:val="single" w:color="D1D5DB" w:sz="1"/>
              <w:right w:val="single" w:color="D1D5DB" w:sz="1"/>
            </w:tcBorders>
            <w:shd w:fill="F8FAFC" w:val="clear"/>
            <w:tcMar>
              <w:top w:type="dxa" w:w="80"/>
              <w:left w:type="dxa" w:w="120"/>
              <w:bottom w:type="dxa" w:w="80"/>
              <w:right w:type="dxa" w:w="120"/>
            </w:tcMar>
            <w:vAlign w:val="center"/>
          </w:tcPr>
          <w:p>
            <w:pPr>
              <w:jc w:val="left"/>
            </w:pPr>
            <w:r>
              <w:rPr>
                <w:rFonts w:ascii="Arial" w:cs="Arial" w:eastAsia="Arial" w:hAnsi="Arial"/>
                <w:b w:val="false"/>
                <w:bCs w:val="false"/>
                <w:color w:val="374151"/>
                <w:sz w:val="19"/>
                <w:szCs w:val="19"/>
              </w:rPr>
              <w:t xml:space="preserve">Concentration kills portfolios more than market crashes</w:t>
            </w:r>
          </w:p>
        </w:tc>
      </w:tr>
      <w:tr>
        <w:tc>
          <w:tcPr>
            <w:tcW w:type="dxa" w:w="2200"/>
            <w:tcBorders>
              <w:top w:val="single" w:color="D1D5DB" w:sz="1"/>
              <w:left w:val="single" w:color="D1D5DB" w:sz="1"/>
              <w:bottom w:val="single" w:color="D1D5DB" w:sz="1"/>
              <w:right w:val="single" w:color="D1D5DB" w:sz="1"/>
            </w:tcBorders>
            <w:shd w:fill="FFFFFF" w:val="clear"/>
            <w:tcMar>
              <w:top w:type="dxa" w:w="80"/>
              <w:left w:type="dxa" w:w="120"/>
              <w:bottom w:type="dxa" w:w="80"/>
              <w:right w:type="dxa" w:w="120"/>
            </w:tcMar>
            <w:vAlign w:val="center"/>
          </w:tcPr>
          <w:p>
            <w:pPr>
              <w:jc w:val="left"/>
            </w:pPr>
            <w:r>
              <w:rPr>
                <w:rFonts w:ascii="Arial" w:cs="Arial" w:eastAsia="Arial" w:hAnsi="Arial"/>
                <w:b/>
                <w:bCs/>
                <w:color w:val="374151"/>
                <w:sz w:val="19"/>
                <w:szCs w:val="19"/>
              </w:rPr>
              <w:t xml:space="preserve">Rule 2: Cash buffer = 5% minimum</w:t>
            </w:r>
          </w:p>
        </w:tc>
        <w:tc>
          <w:tcPr>
            <w:tcW w:type="dxa" w:w="3500"/>
            <w:tcBorders>
              <w:top w:val="single" w:color="D1D5DB" w:sz="1"/>
              <w:left w:val="single" w:color="D1D5DB" w:sz="1"/>
              <w:bottom w:val="single" w:color="D1D5DB" w:sz="1"/>
              <w:right w:val="single" w:color="D1D5DB" w:sz="1"/>
            </w:tcBorders>
            <w:shd w:fill="FFFFFF" w:val="clear"/>
            <w:tcMar>
              <w:top w:type="dxa" w:w="80"/>
              <w:left w:type="dxa" w:w="120"/>
              <w:bottom w:type="dxa" w:w="80"/>
              <w:right w:type="dxa" w:w="120"/>
            </w:tcMar>
            <w:vAlign w:val="center"/>
          </w:tcPr>
          <w:p>
            <w:pPr>
              <w:jc w:val="left"/>
            </w:pPr>
            <w:r>
              <w:rPr>
                <w:rFonts w:ascii="Arial" w:cs="Arial" w:eastAsia="Arial" w:hAnsi="Arial"/>
                <w:b w:val="false"/>
                <w:bCs w:val="false"/>
                <w:color w:val="374151"/>
                <w:sz w:val="19"/>
                <w:szCs w:val="19"/>
              </w:rPr>
              <w:t xml:space="preserve">Always keep 5% in T-bills — never fully invested</w:t>
            </w:r>
          </w:p>
        </w:tc>
        <w:tc>
          <w:tcPr>
            <w:tcW w:type="dxa" w:w="3660"/>
            <w:tcBorders>
              <w:top w:val="single" w:color="D1D5DB" w:sz="1"/>
              <w:left w:val="single" w:color="D1D5DB" w:sz="1"/>
              <w:bottom w:val="single" w:color="D1D5DB" w:sz="1"/>
              <w:right w:val="single" w:color="D1D5DB" w:sz="1"/>
            </w:tcBorders>
            <w:shd w:fill="FFFFFF" w:val="clear"/>
            <w:tcMar>
              <w:top w:type="dxa" w:w="80"/>
              <w:left w:type="dxa" w:w="120"/>
              <w:bottom w:type="dxa" w:w="80"/>
              <w:right w:type="dxa" w:w="120"/>
            </w:tcMar>
            <w:vAlign w:val="center"/>
          </w:tcPr>
          <w:p>
            <w:pPr>
              <w:jc w:val="left"/>
            </w:pPr>
            <w:r>
              <w:rPr>
                <w:rFonts w:ascii="Arial" w:cs="Arial" w:eastAsia="Arial" w:hAnsi="Arial"/>
                <w:b w:val="false"/>
                <w:bCs w:val="false"/>
                <w:color w:val="374151"/>
                <w:sz w:val="19"/>
                <w:szCs w:val="19"/>
              </w:rPr>
              <w:t xml:space="preserve">Drawdowns are buy opportunities only with dry powder</w:t>
            </w:r>
          </w:p>
        </w:tc>
      </w:tr>
      <w:tr>
        <w:tc>
          <w:tcPr>
            <w:tcW w:type="dxa" w:w="2200"/>
            <w:tcBorders>
              <w:top w:val="single" w:color="D1D5DB" w:sz="1"/>
              <w:left w:val="single" w:color="D1D5DB" w:sz="1"/>
              <w:bottom w:val="single" w:color="D1D5DB" w:sz="1"/>
              <w:right w:val="single" w:color="D1D5DB" w:sz="1"/>
            </w:tcBorders>
            <w:shd w:fill="F8FAFC" w:val="clear"/>
            <w:tcMar>
              <w:top w:type="dxa" w:w="80"/>
              <w:left w:type="dxa" w:w="120"/>
              <w:bottom w:type="dxa" w:w="80"/>
              <w:right w:type="dxa" w:w="120"/>
            </w:tcMar>
            <w:vAlign w:val="center"/>
          </w:tcPr>
          <w:p>
            <w:pPr>
              <w:jc w:val="left"/>
            </w:pPr>
            <w:r>
              <w:rPr>
                <w:rFonts w:ascii="Arial" w:cs="Arial" w:eastAsia="Arial" w:hAnsi="Arial"/>
                <w:b/>
                <w:bCs/>
                <w:color w:val="374151"/>
                <w:sz w:val="19"/>
                <w:szCs w:val="19"/>
              </w:rPr>
              <w:t xml:space="preserve">Rule 3: Review every 6 months</w:t>
            </w:r>
          </w:p>
        </w:tc>
        <w:tc>
          <w:tcPr>
            <w:tcW w:type="dxa" w:w="3500"/>
            <w:tcBorders>
              <w:top w:val="single" w:color="D1D5DB" w:sz="1"/>
              <w:left w:val="single" w:color="D1D5DB" w:sz="1"/>
              <w:bottom w:val="single" w:color="D1D5DB" w:sz="1"/>
              <w:right w:val="single" w:color="D1D5DB" w:sz="1"/>
            </w:tcBorders>
            <w:shd w:fill="F8FAFC" w:val="clear"/>
            <w:tcMar>
              <w:top w:type="dxa" w:w="80"/>
              <w:left w:type="dxa" w:w="120"/>
              <w:bottom w:type="dxa" w:w="80"/>
              <w:right w:type="dxa" w:w="120"/>
            </w:tcMar>
            <w:vAlign w:val="center"/>
          </w:tcPr>
          <w:p>
            <w:pPr>
              <w:jc w:val="left"/>
            </w:pPr>
            <w:r>
              <w:rPr>
                <w:rFonts w:ascii="Arial" w:cs="Arial" w:eastAsia="Arial" w:hAnsi="Arial"/>
                <w:b w:val="false"/>
                <w:bCs w:val="false"/>
                <w:color w:val="374151"/>
                <w:sz w:val="19"/>
                <w:szCs w:val="19"/>
              </w:rPr>
              <w:t xml:space="preserve">Check thesis (not price). Annual tax review.</w:t>
            </w:r>
          </w:p>
        </w:tc>
        <w:tc>
          <w:tcPr>
            <w:tcW w:type="dxa" w:w="3660"/>
            <w:tcBorders>
              <w:top w:val="single" w:color="D1D5DB" w:sz="1"/>
              <w:left w:val="single" w:color="D1D5DB" w:sz="1"/>
              <w:bottom w:val="single" w:color="D1D5DB" w:sz="1"/>
              <w:right w:val="single" w:color="D1D5DB" w:sz="1"/>
            </w:tcBorders>
            <w:shd w:fill="F8FAFC" w:val="clear"/>
            <w:tcMar>
              <w:top w:type="dxa" w:w="80"/>
              <w:left w:type="dxa" w:w="120"/>
              <w:bottom w:type="dxa" w:w="80"/>
              <w:right w:type="dxa" w:w="120"/>
            </w:tcMar>
            <w:vAlign w:val="center"/>
          </w:tcPr>
          <w:p>
            <w:pPr>
              <w:jc w:val="left"/>
            </w:pPr>
            <w:r>
              <w:rPr>
                <w:rFonts w:ascii="Arial" w:cs="Arial" w:eastAsia="Arial" w:hAnsi="Arial"/>
                <w:b w:val="false"/>
                <w:bCs w:val="false"/>
                <w:color w:val="374151"/>
                <w:sz w:val="19"/>
                <w:szCs w:val="19"/>
              </w:rPr>
              <w:t xml:space="preserve">Monthly checking = emotional decisions = bad outcomes</w:t>
            </w:r>
          </w:p>
        </w:tc>
      </w:tr>
      <w:tr>
        <w:tc>
          <w:tcPr>
            <w:tcW w:type="dxa" w:w="2200"/>
            <w:tcBorders>
              <w:top w:val="single" w:color="D1D5DB" w:sz="1"/>
              <w:left w:val="single" w:color="D1D5DB" w:sz="1"/>
              <w:bottom w:val="single" w:color="D1D5DB" w:sz="1"/>
              <w:right w:val="single" w:color="D1D5DB" w:sz="1"/>
            </w:tcBorders>
            <w:shd w:fill="FFFFFF" w:val="clear"/>
            <w:tcMar>
              <w:top w:type="dxa" w:w="80"/>
              <w:left w:type="dxa" w:w="120"/>
              <w:bottom w:type="dxa" w:w="80"/>
              <w:right w:type="dxa" w:w="120"/>
            </w:tcMar>
            <w:vAlign w:val="center"/>
          </w:tcPr>
          <w:p>
            <w:pPr>
              <w:jc w:val="left"/>
            </w:pPr>
            <w:r>
              <w:rPr>
                <w:rFonts w:ascii="Arial" w:cs="Arial" w:eastAsia="Arial" w:hAnsi="Arial"/>
                <w:b/>
                <w:bCs/>
                <w:color w:val="374151"/>
                <w:sz w:val="19"/>
                <w:szCs w:val="19"/>
              </w:rPr>
              <w:t xml:space="preserve">Rule 4: Write exit thesis before buying</w:t>
            </w:r>
          </w:p>
        </w:tc>
        <w:tc>
          <w:tcPr>
            <w:tcW w:type="dxa" w:w="3500"/>
            <w:tcBorders>
              <w:top w:val="single" w:color="D1D5DB" w:sz="1"/>
              <w:left w:val="single" w:color="D1D5DB" w:sz="1"/>
              <w:bottom w:val="single" w:color="D1D5DB" w:sz="1"/>
              <w:right w:val="single" w:color="D1D5DB" w:sz="1"/>
            </w:tcBorders>
            <w:shd w:fill="FFFFFF" w:val="clear"/>
            <w:tcMar>
              <w:top w:type="dxa" w:w="80"/>
              <w:left w:type="dxa" w:w="120"/>
              <w:bottom w:type="dxa" w:w="80"/>
              <w:right w:type="dxa" w:w="120"/>
            </w:tcMar>
            <w:vAlign w:val="center"/>
          </w:tcPr>
          <w:p>
            <w:pPr>
              <w:jc w:val="left"/>
            </w:pPr>
            <w:r>
              <w:rPr>
                <w:rFonts w:ascii="Arial" w:cs="Arial" w:eastAsia="Arial" w:hAnsi="Arial"/>
                <w:b w:val="false"/>
                <w:bCs w:val="false"/>
                <w:color w:val="374151"/>
                <w:sz w:val="19"/>
                <w:szCs w:val="19"/>
              </w:rPr>
              <w:t xml:space="preserve">"I will sell when X breaks" — document it</w:t>
            </w:r>
          </w:p>
        </w:tc>
        <w:tc>
          <w:tcPr>
            <w:tcW w:type="dxa" w:w="3660"/>
            <w:tcBorders>
              <w:top w:val="single" w:color="D1D5DB" w:sz="1"/>
              <w:left w:val="single" w:color="D1D5DB" w:sz="1"/>
              <w:bottom w:val="single" w:color="D1D5DB" w:sz="1"/>
              <w:right w:val="single" w:color="D1D5DB" w:sz="1"/>
            </w:tcBorders>
            <w:shd w:fill="FFFFFF" w:val="clear"/>
            <w:tcMar>
              <w:top w:type="dxa" w:w="80"/>
              <w:left w:type="dxa" w:w="120"/>
              <w:bottom w:type="dxa" w:w="80"/>
              <w:right w:type="dxa" w:w="120"/>
            </w:tcMar>
            <w:vAlign w:val="center"/>
          </w:tcPr>
          <w:p>
            <w:pPr>
              <w:jc w:val="left"/>
            </w:pPr>
            <w:r>
              <w:rPr>
                <w:rFonts w:ascii="Arial" w:cs="Arial" w:eastAsia="Arial" w:hAnsi="Arial"/>
                <w:b w:val="false"/>
                <w:bCs w:val="false"/>
                <w:color w:val="374151"/>
                <w:sz w:val="19"/>
                <w:szCs w:val="19"/>
              </w:rPr>
              <w:t xml:space="preserve">Without this, emotion decides your exit. Emotion loses.</w:t>
            </w:r>
          </w:p>
        </w:tc>
      </w:tr>
      <w:tr>
        <w:tc>
          <w:tcPr>
            <w:tcW w:type="dxa" w:w="2200"/>
            <w:tcBorders>
              <w:top w:val="single" w:color="D1D5DB" w:sz="1"/>
              <w:left w:val="single" w:color="D1D5DB" w:sz="1"/>
              <w:bottom w:val="single" w:color="D1D5DB" w:sz="1"/>
              <w:right w:val="single" w:color="D1D5DB" w:sz="1"/>
            </w:tcBorders>
            <w:shd w:fill="F8FAFC" w:val="clear"/>
            <w:tcMar>
              <w:top w:type="dxa" w:w="80"/>
              <w:left w:type="dxa" w:w="120"/>
              <w:bottom w:type="dxa" w:w="80"/>
              <w:right w:type="dxa" w:w="120"/>
            </w:tcMar>
            <w:vAlign w:val="center"/>
          </w:tcPr>
          <w:p>
            <w:pPr>
              <w:jc w:val="left"/>
            </w:pPr>
            <w:r>
              <w:rPr>
                <w:rFonts w:ascii="Arial" w:cs="Arial" w:eastAsia="Arial" w:hAnsi="Arial"/>
                <w:b/>
                <w:bCs/>
                <w:color w:val="374151"/>
                <w:sz w:val="19"/>
                <w:szCs w:val="19"/>
              </w:rPr>
              <w:t xml:space="preserve">Rule 5: Never hold &gt; $60K in US ETFs</w:t>
            </w:r>
          </w:p>
        </w:tc>
        <w:tc>
          <w:tcPr>
            <w:tcW w:type="dxa" w:w="3500"/>
            <w:tcBorders>
              <w:top w:val="single" w:color="D1D5DB" w:sz="1"/>
              <w:left w:val="single" w:color="D1D5DB" w:sz="1"/>
              <w:bottom w:val="single" w:color="D1D5DB" w:sz="1"/>
              <w:right w:val="single" w:color="D1D5DB" w:sz="1"/>
            </w:tcBorders>
            <w:shd w:fill="F8FAFC" w:val="clear"/>
            <w:tcMar>
              <w:top w:type="dxa" w:w="80"/>
              <w:left w:type="dxa" w:w="120"/>
              <w:bottom w:type="dxa" w:w="80"/>
              <w:right w:type="dxa" w:w="120"/>
            </w:tcMar>
            <w:vAlign w:val="center"/>
          </w:tcPr>
          <w:p>
            <w:pPr>
              <w:jc w:val="left"/>
            </w:pPr>
            <w:r>
              <w:rPr>
                <w:rFonts w:ascii="Arial" w:cs="Arial" w:eastAsia="Arial" w:hAnsi="Arial"/>
                <w:b w:val="false"/>
                <w:bCs w:val="false"/>
                <w:color w:val="374151"/>
                <w:sz w:val="19"/>
                <w:szCs w:val="19"/>
              </w:rPr>
              <w:t xml:space="preserve">Switch to Ireland-domiciled equivalents above $60K</w:t>
            </w:r>
          </w:p>
        </w:tc>
        <w:tc>
          <w:tcPr>
            <w:tcW w:type="dxa" w:w="3660"/>
            <w:tcBorders>
              <w:top w:val="single" w:color="D1D5DB" w:sz="1"/>
              <w:left w:val="single" w:color="D1D5DB" w:sz="1"/>
              <w:bottom w:val="single" w:color="D1D5DB" w:sz="1"/>
              <w:right w:val="single" w:color="D1D5DB" w:sz="1"/>
            </w:tcBorders>
            <w:shd w:fill="F8FAFC" w:val="clear"/>
            <w:tcMar>
              <w:top w:type="dxa" w:w="80"/>
              <w:left w:type="dxa" w:w="120"/>
              <w:bottom w:type="dxa" w:w="80"/>
              <w:right w:type="dxa" w:w="120"/>
            </w:tcMar>
            <w:vAlign w:val="center"/>
          </w:tcPr>
          <w:p>
            <w:pPr>
              <w:jc w:val="left"/>
            </w:pPr>
            <w:r>
              <w:rPr>
                <w:rFonts w:ascii="Arial" w:cs="Arial" w:eastAsia="Arial" w:hAnsi="Arial"/>
                <w:b w:val="false"/>
                <w:bCs w:val="false"/>
                <w:color w:val="374151"/>
                <w:sz w:val="19"/>
                <w:szCs w:val="19"/>
              </w:rPr>
              <w:t xml:space="preserve">US estate tax of 40% applies to non-US residents</w:t>
            </w:r>
          </w:p>
        </w:tc>
      </w:tr>
    </w:tbl>
    <w:p>
      <w:r>
        <w:t xml:space="preserve"/>
      </w:r>
    </w:p>
    <w:p>
      <w:r>
        <w:br w:type="page"/>
      </w:r>
    </w:p>
    <w:p>
      <w:pPr>
        <w:pStyle w:val="Heading1"/>
        <w:spacing w:after="160" w:before="320"/>
      </w:pPr>
      <w:r>
        <w:rPr>
          <w:rFonts w:ascii="Arial" w:cs="Arial" w:eastAsia="Arial" w:hAnsi="Arial"/>
          <w:b/>
          <w:bCs/>
          <w:color w:val="0A0F1E"/>
          <w:sz w:val="40"/>
          <w:szCs w:val="40"/>
        </w:rPr>
        <w:t xml:space="preserve">8. 5-Year NRI Execution Roadmap</w:t>
      </w:r>
    </w:p>
    <w:p>
      <w:pPr>
        <w:spacing w:after="80" w:before="80"/>
        <w:jc w:val="left"/>
      </w:pPr>
      <w:r>
        <w:rPr>
          <w:rFonts w:ascii="Arial" w:cs="Arial" w:eastAsia="Arial" w:hAnsi="Arial"/>
          <w:b w:val="false"/>
          <w:bCs w:val="false"/>
          <w:i w:val="false"/>
          <w:iCs w:val="false"/>
          <w:color w:val="374151"/>
          <w:sz w:val="22"/>
          <w:szCs w:val="22"/>
        </w:rPr>
        <w:t xml:space="preserve">Concrete actions, not just targets. What to do each year — including the NRI-specific account setup that most miss entirely.</w:t>
      </w:r>
    </w:p>
    <w:p>
      <w:r>
        <w:t xml:space="preserve"/>
      </w:r>
    </w:p>
    <w:p>
      <w:pPr>
        <w:pStyle w:val="Heading2"/>
        <w:pBdr>
          <w:bottom w:val="single" w:color="0D6E4A" w:sz="4" w:space="4"/>
        </w:pBdr>
        <w:spacing w:after="120" w:before="240"/>
      </w:pPr>
      <w:r>
        <w:rPr>
          <w:rFonts w:ascii="Arial" w:cs="Arial" w:eastAsia="Arial" w:hAnsi="Arial"/>
          <w:b/>
          <w:bCs/>
          <w:color w:val="0D6E4A"/>
          <w:sz w:val="30"/>
          <w:szCs w:val="30"/>
        </w:rPr>
        <w:t xml:space="preserve">Year 1 (2026) — Infrastructure First</w:t>
      </w:r>
    </w:p>
    <w:p>
      <w:pPr>
        <w:pStyle w:val="ListParagraph"/>
        <w:numPr>
          <w:ilvl w:val="0"/>
          <w:numId w:val="2"/>
        </w:numPr>
        <w:spacing w:after="40" w:before="40"/>
      </w:pPr>
      <w:r>
        <w:rPr>
          <w:rFonts w:ascii="Arial" w:cs="Arial" w:eastAsia="Arial" w:hAnsi="Arial"/>
          <w:color w:val="374151"/>
          <w:sz w:val="21"/>
          <w:szCs w:val="21"/>
        </w:rPr>
        <w:t xml:space="preserve">Open IBKR Singapore account (~1 week process). This is your primary overseas investment hub.</w:t>
      </w:r>
    </w:p>
    <w:p>
      <w:pPr>
        <w:pStyle w:val="ListParagraph"/>
        <w:numPr>
          <w:ilvl w:val="0"/>
          <w:numId w:val="2"/>
        </w:numPr>
        <w:spacing w:after="40" w:before="40"/>
      </w:pPr>
      <w:r>
        <w:rPr>
          <w:rFonts w:ascii="Arial" w:cs="Arial" w:eastAsia="Arial" w:hAnsi="Arial"/>
          <w:color w:val="374151"/>
          <w:sz w:val="21"/>
          <w:szCs w:val="21"/>
        </w:rPr>
        <w:t xml:space="preserve">Open NRE Demat account in India (HDFC Securities NRI or Zerodha NRI are recommended).</w:t>
      </w:r>
    </w:p>
    <w:p>
      <w:pPr>
        <w:pStyle w:val="ListParagraph"/>
        <w:numPr>
          <w:ilvl w:val="0"/>
          <w:numId w:val="2"/>
        </w:numPr>
        <w:spacing w:after="40" w:before="40"/>
      </w:pPr>
      <w:r>
        <w:rPr>
          <w:rFonts w:ascii="Arial" w:cs="Arial" w:eastAsia="Arial" w:hAnsi="Arial"/>
          <w:color w:val="374151"/>
          <w:sz w:val="21"/>
          <w:szCs w:val="21"/>
        </w:rPr>
        <w:t xml:space="preserve">File W-8BEN with IBKR to reduce US dividend withholding from 30% to 15%.</w:t>
      </w:r>
    </w:p>
    <w:p>
      <w:pPr>
        <w:pStyle w:val="ListParagraph"/>
        <w:numPr>
          <w:ilvl w:val="0"/>
          <w:numId w:val="2"/>
        </w:numPr>
        <w:spacing w:after="40" w:before="40"/>
      </w:pPr>
      <w:r>
        <w:rPr>
          <w:rFonts w:ascii="Arial" w:cs="Arial" w:eastAsia="Arial" w:hAnsi="Arial"/>
          <w:color w:val="374151"/>
          <w:sz w:val="21"/>
          <w:szCs w:val="21"/>
        </w:rPr>
        <w:t xml:space="preserve">Deploy VOO + QQQ immediately. Do not wait for "better prices" — time in market beats timing.</w:t>
      </w:r>
    </w:p>
    <w:p>
      <w:pPr>
        <w:pStyle w:val="ListParagraph"/>
        <w:numPr>
          <w:ilvl w:val="0"/>
          <w:numId w:val="2"/>
        </w:numPr>
        <w:spacing w:after="40" w:before="40"/>
      </w:pPr>
      <w:r>
        <w:rPr>
          <w:rFonts w:ascii="Arial" w:cs="Arial" w:eastAsia="Arial" w:hAnsi="Arial"/>
          <w:color w:val="374151"/>
          <w:sz w:val="21"/>
          <w:szCs w:val="21"/>
        </w:rPr>
        <w:t xml:space="preserve">Stagger India (INDA/direct stocks) and SOXX entries over 3 months to average in.</w:t>
      </w:r>
    </w:p>
    <w:p>
      <w:pPr>
        <w:pStyle w:val="ListParagraph"/>
        <w:numPr>
          <w:ilvl w:val="0"/>
          <w:numId w:val="2"/>
        </w:numPr>
        <w:spacing w:after="40" w:before="40"/>
      </w:pPr>
      <w:r>
        <w:rPr>
          <w:rFonts w:ascii="Arial" w:cs="Arial" w:eastAsia="Arial" w:hAnsi="Arial"/>
          <w:color w:val="374151"/>
          <w:sz w:val="21"/>
          <w:szCs w:val="21"/>
        </w:rPr>
        <w:t xml:space="preserve">Add IAU. Park 5% cash in SGOV (T-bill ETF on IBKR earning ~5% yield).</w:t>
      </w:r>
    </w:p>
    <w:p>
      <w:pPr>
        <w:pStyle w:val="ListParagraph"/>
        <w:numPr>
          <w:ilvl w:val="0"/>
          <w:numId w:val="2"/>
        </w:numPr>
        <w:spacing w:after="40" w:before="40"/>
      </w:pPr>
      <w:r>
        <w:rPr>
          <w:rFonts w:ascii="Arial" w:cs="Arial" w:eastAsia="Arial" w:hAnsi="Arial"/>
          <w:color w:val="374151"/>
          <w:sz w:val="21"/>
          <w:szCs w:val="21"/>
        </w:rPr>
        <w:t xml:space="preserve">Write your exit thesis for every position before you buy. Keep it in a document.</w:t>
      </w:r>
    </w:p>
    <w:p>
      <w:pPr>
        <w:spacing w:after="80" w:before="80"/>
        <w:jc w:val="left"/>
      </w:pPr>
      <w:r>
        <w:rPr>
          <w:rFonts w:ascii="Arial" w:cs="Arial" w:eastAsia="Arial" w:hAnsi="Arial"/>
          <w:b w:val="false"/>
          <w:bCs w:val="false"/>
          <w:i/>
          <w:iCs/>
          <w:color w:val="64748B"/>
          <w:sz w:val="20"/>
          <w:szCs w:val="20"/>
        </w:rPr>
        <w:t xml:space="preserve">Expected portfolio year-end: $11,000–$12,500 (base) | $8,500 (if recession hits — buy more)</w:t>
      </w:r>
    </w:p>
    <w:p>
      <w:r>
        <w:t xml:space="preserve"/>
      </w:r>
    </w:p>
    <w:p>
      <w:pPr>
        <w:pStyle w:val="Heading2"/>
        <w:pBdr>
          <w:bottom w:val="single" w:color="1D4ED8" w:sz="4" w:space="4"/>
        </w:pBdr>
        <w:spacing w:after="120" w:before="240"/>
      </w:pPr>
      <w:r>
        <w:rPr>
          <w:rFonts w:ascii="Arial" w:cs="Arial" w:eastAsia="Arial" w:hAnsi="Arial"/>
          <w:b/>
          <w:bCs/>
          <w:color w:val="1D4ED8"/>
          <w:sz w:val="30"/>
          <w:szCs w:val="30"/>
        </w:rPr>
        <w:t xml:space="preserve">Year 2 (2027) — Survive and Accumulate</w:t>
      </w:r>
    </w:p>
    <w:p>
      <w:pPr>
        <w:pStyle w:val="ListParagraph"/>
        <w:numPr>
          <w:ilvl w:val="0"/>
          <w:numId w:val="2"/>
        </w:numPr>
        <w:spacing w:after="40" w:before="40"/>
      </w:pPr>
      <w:r>
        <w:rPr>
          <w:rFonts w:ascii="Arial" w:cs="Arial" w:eastAsia="Arial" w:hAnsi="Arial"/>
          <w:color w:val="374151"/>
          <w:sz w:val="21"/>
          <w:szCs w:val="21"/>
        </w:rPr>
        <w:t xml:space="preserve">This is the year most retail investors self-destruct. Recession fears will trigger selling instincts.</w:t>
      </w:r>
    </w:p>
    <w:p>
      <w:pPr>
        <w:pStyle w:val="ListParagraph"/>
        <w:numPr>
          <w:ilvl w:val="0"/>
          <w:numId w:val="2"/>
        </w:numPr>
        <w:spacing w:after="40" w:before="40"/>
      </w:pPr>
      <w:r>
        <w:rPr>
          <w:rFonts w:ascii="Arial" w:cs="Arial" w:eastAsia="Arial" w:hAnsi="Arial"/>
          <w:color w:val="374151"/>
          <w:sz w:val="21"/>
          <w:szCs w:val="21"/>
        </w:rPr>
        <w:t xml:space="preserve">Howard Marks: buy when others are fearful. Your 5% cash buffer was built for this exact moment.</w:t>
      </w:r>
    </w:p>
    <w:p>
      <w:pPr>
        <w:pStyle w:val="ListParagraph"/>
        <w:numPr>
          <w:ilvl w:val="0"/>
          <w:numId w:val="2"/>
        </w:numPr>
        <w:spacing w:after="40" w:before="40"/>
      </w:pPr>
      <w:r>
        <w:rPr>
          <w:rFonts w:ascii="Arial" w:cs="Arial" w:eastAsia="Arial" w:hAnsi="Arial"/>
          <w:color w:val="374151"/>
          <w:sz w:val="21"/>
          <w:szCs w:val="21"/>
        </w:rPr>
        <w:t xml:space="preserve">If India corrects 20%+: add to NRE Demat position. This is your home advantage over foreign investors.</w:t>
      </w:r>
    </w:p>
    <w:p>
      <w:pPr>
        <w:pStyle w:val="ListParagraph"/>
        <w:numPr>
          <w:ilvl w:val="0"/>
          <w:numId w:val="2"/>
        </w:numPr>
        <w:spacing w:after="40" w:before="40"/>
      </w:pPr>
      <w:r>
        <w:rPr>
          <w:rFonts w:ascii="Arial" w:cs="Arial" w:eastAsia="Arial" w:hAnsi="Arial"/>
          <w:color w:val="374151"/>
          <w:sz w:val="21"/>
          <w:szCs w:val="21"/>
        </w:rPr>
        <w:t xml:space="preserve">Reinvest all dividends automatically. Do not take them as cash — let them compound.</w:t>
      </w:r>
    </w:p>
    <w:p>
      <w:pPr>
        <w:pStyle w:val="ListParagraph"/>
        <w:numPr>
          <w:ilvl w:val="0"/>
          <w:numId w:val="2"/>
        </w:numPr>
        <w:spacing w:after="40" w:before="40"/>
      </w:pPr>
      <w:r>
        <w:rPr>
          <w:rFonts w:ascii="Arial" w:cs="Arial" w:eastAsia="Arial" w:hAnsi="Arial"/>
          <w:color w:val="374151"/>
          <w:sz w:val="21"/>
          <w:szCs w:val="21"/>
        </w:rPr>
        <w:t xml:space="preserve">Review portfolio every 6 months. Not monthly. Not daily. Check: did the thesis change, not the price.</w:t>
      </w:r>
    </w:p>
    <w:p>
      <w:pPr>
        <w:spacing w:after="80" w:before="80"/>
        <w:jc w:val="left"/>
      </w:pPr>
      <w:r>
        <w:rPr>
          <w:rFonts w:ascii="Arial" w:cs="Arial" w:eastAsia="Arial" w:hAnsi="Arial"/>
          <w:b w:val="false"/>
          <w:bCs w:val="false"/>
          <w:i/>
          <w:iCs/>
          <w:color w:val="64748B"/>
          <w:sz w:val="20"/>
          <w:szCs w:val="20"/>
        </w:rPr>
        <w:t xml:space="preserve">Expected portfolio: $13,000–$18,000 (base case)</w:t>
      </w:r>
    </w:p>
    <w:p>
      <w:r>
        <w:t xml:space="preserve"/>
      </w:r>
    </w:p>
    <w:p>
      <w:pPr>
        <w:pStyle w:val="Heading2"/>
        <w:pBdr>
          <w:bottom w:val="single" w:color="92400E" w:sz="4" w:space="4"/>
        </w:pBdr>
        <w:spacing w:after="120" w:before="240"/>
      </w:pPr>
      <w:r>
        <w:rPr>
          <w:rFonts w:ascii="Arial" w:cs="Arial" w:eastAsia="Arial" w:hAnsi="Arial"/>
          <w:b/>
          <w:bCs/>
          <w:color w:val="92400E"/>
          <w:sz w:val="30"/>
          <w:szCs w:val="30"/>
        </w:rPr>
        <w:t xml:space="preserve">Year 3 (2028) — The Compounding Inflection</w:t>
      </w:r>
    </w:p>
    <w:p>
      <w:pPr>
        <w:pStyle w:val="ListParagraph"/>
        <w:numPr>
          <w:ilvl w:val="0"/>
          <w:numId w:val="2"/>
        </w:numPr>
        <w:spacing w:after="40" w:before="40"/>
      </w:pPr>
      <w:r>
        <w:rPr>
          <w:rFonts w:ascii="Arial" w:cs="Arial" w:eastAsia="Arial" w:hAnsi="Arial"/>
          <w:color w:val="374151"/>
          <w:sz w:val="21"/>
          <w:szCs w:val="21"/>
        </w:rPr>
        <w:t xml:space="preserve">First visible compounding becomes obvious. This is why you held through Year 2.</w:t>
      </w:r>
    </w:p>
    <w:p>
      <w:pPr>
        <w:pStyle w:val="ListParagraph"/>
        <w:numPr>
          <w:ilvl w:val="0"/>
          <w:numId w:val="2"/>
        </w:numPr>
        <w:spacing w:after="40" w:before="40"/>
      </w:pPr>
      <w:r>
        <w:rPr>
          <w:rFonts w:ascii="Arial" w:cs="Arial" w:eastAsia="Arial" w:hAnsi="Arial"/>
          <w:color w:val="374151"/>
          <w:sz w:val="21"/>
          <w:szCs w:val="21"/>
        </w:rPr>
        <w:t xml:space="preserve">If SOXX has tripled, it may now be 25–30% of portfolio — trim back to 15% and redeploy into India or cash.</w:t>
      </w:r>
    </w:p>
    <w:p>
      <w:pPr>
        <w:pStyle w:val="ListParagraph"/>
        <w:numPr>
          <w:ilvl w:val="0"/>
          <w:numId w:val="2"/>
        </w:numPr>
        <w:spacing w:after="40" w:before="40"/>
      </w:pPr>
      <w:r>
        <w:rPr>
          <w:rFonts w:ascii="Arial" w:cs="Arial" w:eastAsia="Arial" w:hAnsi="Arial"/>
          <w:color w:val="374151"/>
          <w:sz w:val="21"/>
          <w:szCs w:val="21"/>
        </w:rPr>
        <w:t xml:space="preserve">India LTCG check: all Indian equity held 12+ months qualifies for 12.5% rate. Never sell before 12 months.</w:t>
      </w:r>
    </w:p>
    <w:p>
      <w:pPr>
        <w:pStyle w:val="ListParagraph"/>
        <w:numPr>
          <w:ilvl w:val="0"/>
          <w:numId w:val="2"/>
        </w:numPr>
        <w:spacing w:after="40" w:before="40"/>
      </w:pPr>
      <w:r>
        <w:rPr>
          <w:rFonts w:ascii="Arial" w:cs="Arial" w:eastAsia="Arial" w:hAnsi="Arial"/>
          <w:color w:val="374151"/>
          <w:sz w:val="21"/>
          <w:szCs w:val="21"/>
        </w:rPr>
        <w:t xml:space="preserve">Review whether your Malaysia residency situation is changing — this affects tax domicile strategy.</w:t>
      </w:r>
    </w:p>
    <w:p>
      <w:pPr>
        <w:spacing w:after="80" w:before="80"/>
        <w:jc w:val="left"/>
      </w:pPr>
      <w:r>
        <w:rPr>
          <w:rFonts w:ascii="Arial" w:cs="Arial" w:eastAsia="Arial" w:hAnsi="Arial"/>
          <w:b w:val="false"/>
          <w:bCs w:val="false"/>
          <w:i/>
          <w:iCs/>
          <w:color w:val="64748B"/>
          <w:sz w:val="20"/>
          <w:szCs w:val="20"/>
        </w:rPr>
        <w:t xml:space="preserve">Expected portfolio: $16,000–$24,000 (base) | $30,000+ possible if SOXX/India outperform</w:t>
      </w:r>
    </w:p>
    <w:p>
      <w:r>
        <w:t xml:space="preserve"/>
      </w:r>
    </w:p>
    <w:p>
      <w:pPr>
        <w:pStyle w:val="Heading2"/>
        <w:pBdr>
          <w:bottom w:val="single" w:color="6D28D9" w:sz="4" w:space="4"/>
        </w:pBdr>
        <w:spacing w:after="120" w:before="240"/>
      </w:pPr>
      <w:r>
        <w:rPr>
          <w:rFonts w:ascii="Arial" w:cs="Arial" w:eastAsia="Arial" w:hAnsi="Arial"/>
          <w:b/>
          <w:bCs/>
          <w:color w:val="6D28D9"/>
          <w:sz w:val="30"/>
          <w:szCs w:val="30"/>
        </w:rPr>
        <w:t xml:space="preserve">Year 4 (2029) — Protect and Rotate</w:t>
      </w:r>
    </w:p>
    <w:p>
      <w:pPr>
        <w:pStyle w:val="ListParagraph"/>
        <w:numPr>
          <w:ilvl w:val="0"/>
          <w:numId w:val="2"/>
        </w:numPr>
        <w:spacing w:after="40" w:before="40"/>
      </w:pPr>
      <w:r>
        <w:rPr>
          <w:rFonts w:ascii="Arial" w:cs="Arial" w:eastAsia="Arial" w:hAnsi="Arial"/>
          <w:color w:val="374151"/>
          <w:sz w:val="21"/>
          <w:szCs w:val="21"/>
        </w:rPr>
        <w:t xml:space="preserve">One year from goal. Begin protecting gains accumulated over 3 years.</w:t>
      </w:r>
    </w:p>
    <w:p>
      <w:pPr>
        <w:pStyle w:val="ListParagraph"/>
        <w:numPr>
          <w:ilvl w:val="0"/>
          <w:numId w:val="2"/>
        </w:numPr>
        <w:spacing w:after="40" w:before="40"/>
      </w:pPr>
      <w:r>
        <w:rPr>
          <w:rFonts w:ascii="Arial" w:cs="Arial" w:eastAsia="Arial" w:hAnsi="Arial"/>
          <w:color w:val="374151"/>
          <w:sz w:val="21"/>
          <w:szCs w:val="21"/>
        </w:rPr>
        <w:t xml:space="preserve">Shift 10–15% of aggressive bucket (SOXX, swing pick) into VOO or T-bills.</w:t>
      </w:r>
    </w:p>
    <w:p>
      <w:pPr>
        <w:pStyle w:val="ListParagraph"/>
        <w:numPr>
          <w:ilvl w:val="0"/>
          <w:numId w:val="2"/>
        </w:numPr>
        <w:spacing w:after="40" w:before="40"/>
      </w:pPr>
      <w:r>
        <w:rPr>
          <w:rFonts w:ascii="Arial" w:cs="Arial" w:eastAsia="Arial" w:hAnsi="Arial"/>
          <w:color w:val="374151"/>
          <w:sz w:val="21"/>
          <w:szCs w:val="21"/>
        </w:rPr>
        <w:t xml:space="preserve">If your US-domiciled portfolio now exceeds $60K: migrate to Ireland-domiciled ETFs (VUAA, CSPX on LSE).</w:t>
      </w:r>
    </w:p>
    <w:p>
      <w:pPr>
        <w:pStyle w:val="ListParagraph"/>
        <w:numPr>
          <w:ilvl w:val="0"/>
          <w:numId w:val="2"/>
        </w:numPr>
        <w:spacing w:after="40" w:before="40"/>
      </w:pPr>
      <w:r>
        <w:rPr>
          <w:rFonts w:ascii="Arial" w:cs="Arial" w:eastAsia="Arial" w:hAnsi="Arial"/>
          <w:color w:val="374151"/>
          <w:sz w:val="21"/>
          <w:szCs w:val="21"/>
        </w:rPr>
        <w:t xml:space="preserve">Keep 15% cash for final-year opportunistic moves if a late-cycle dip appears.</w:t>
      </w:r>
    </w:p>
    <w:p>
      <w:pPr>
        <w:spacing w:after="80" w:before="80"/>
        <w:jc w:val="left"/>
      </w:pPr>
      <w:r>
        <w:rPr>
          <w:rFonts w:ascii="Arial" w:cs="Arial" w:eastAsia="Arial" w:hAnsi="Arial"/>
          <w:b w:val="false"/>
          <w:bCs w:val="false"/>
          <w:i/>
          <w:iCs/>
          <w:color w:val="64748B"/>
          <w:sz w:val="20"/>
          <w:szCs w:val="20"/>
        </w:rPr>
        <w:t xml:space="preserve">Expected portfolio: $19,000–$32,000 (base) | $40,000+ stretch</w:t>
      </w:r>
    </w:p>
    <w:p>
      <w:r>
        <w:t xml:space="preserve"/>
      </w:r>
    </w:p>
    <w:p>
      <w:pPr>
        <w:pStyle w:val="Heading2"/>
        <w:pBdr>
          <w:bottom w:val="single" w:color="C9A84C" w:sz="4" w:space="4"/>
        </w:pBdr>
        <w:spacing w:after="120" w:before="240"/>
      </w:pPr>
      <w:r>
        <w:rPr>
          <w:rFonts w:ascii="Arial" w:cs="Arial" w:eastAsia="Arial" w:hAnsi="Arial"/>
          <w:b/>
          <w:bCs/>
          <w:color w:val="C9A84C"/>
          <w:sz w:val="30"/>
          <w:szCs w:val="30"/>
        </w:rPr>
        <w:t xml:space="preserve">Year 5 (2030) — Assess, Celebrate, Reinvest</w:t>
      </w:r>
    </w:p>
    <w:p>
      <w:pPr>
        <w:pStyle w:val="ListParagraph"/>
        <w:numPr>
          <w:ilvl w:val="0"/>
          <w:numId w:val="2"/>
        </w:numPr>
        <w:spacing w:after="40" w:before="40"/>
      </w:pPr>
      <w:r>
        <w:rPr>
          <w:rFonts w:ascii="Arial" w:cs="Arial" w:eastAsia="Arial" w:hAnsi="Arial"/>
          <w:color w:val="374151"/>
          <w:sz w:val="21"/>
          <w:szCs w:val="21"/>
        </w:rPr>
        <w:t xml:space="preserve">Do NOT sell everything just because 5 years is up. Tax implications on crystallising gains can be significant.</w:t>
      </w:r>
    </w:p>
    <w:p>
      <w:pPr>
        <w:pStyle w:val="ListParagraph"/>
        <w:numPr>
          <w:ilvl w:val="0"/>
          <w:numId w:val="2"/>
        </w:numPr>
        <w:spacing w:after="40" w:before="40"/>
      </w:pPr>
      <w:r>
        <w:rPr>
          <w:rFonts w:ascii="Arial" w:cs="Arial" w:eastAsia="Arial" w:hAnsi="Arial"/>
          <w:color w:val="374151"/>
          <w:sz w:val="21"/>
          <w:szCs w:val="21"/>
        </w:rPr>
        <w:t xml:space="preserve">Review each position: has the thesis played out or is there runway remaining?</w:t>
      </w:r>
    </w:p>
    <w:p>
      <w:pPr>
        <w:pStyle w:val="ListParagraph"/>
        <w:numPr>
          <w:ilvl w:val="0"/>
          <w:numId w:val="2"/>
        </w:numPr>
        <w:spacing w:after="40" w:before="40"/>
      </w:pPr>
      <w:r>
        <w:rPr>
          <w:rFonts w:ascii="Arial" w:cs="Arial" w:eastAsia="Arial" w:hAnsi="Arial"/>
          <w:color w:val="374151"/>
          <w:sz w:val="21"/>
          <w:szCs w:val="21"/>
        </w:rPr>
        <w:t xml:space="preserve">India story is 20 years — Jhunjhunwala said so. Why sell your best Indian positions now?</w:t>
      </w:r>
    </w:p>
    <w:p>
      <w:pPr>
        <w:pStyle w:val="ListParagraph"/>
        <w:numPr>
          <w:ilvl w:val="0"/>
          <w:numId w:val="2"/>
        </w:numPr>
        <w:spacing w:after="40" w:before="40"/>
      </w:pPr>
      <w:r>
        <w:rPr>
          <w:rFonts w:ascii="Arial" w:cs="Arial" w:eastAsia="Arial" w:hAnsi="Arial"/>
          <w:color w:val="374151"/>
          <w:sz w:val="21"/>
          <w:szCs w:val="21"/>
        </w:rPr>
        <w:t xml:space="preserve">Your VOO: never sell. Let it compound for life. It does not need managing.</w:t>
      </w:r>
    </w:p>
    <w:p>
      <w:pPr>
        <w:pStyle w:val="ListParagraph"/>
        <w:numPr>
          <w:ilvl w:val="0"/>
          <w:numId w:val="2"/>
        </w:numPr>
        <w:spacing w:after="40" w:before="40"/>
      </w:pPr>
      <w:r>
        <w:rPr>
          <w:rFonts w:ascii="Arial" w:cs="Arial" w:eastAsia="Arial" w:hAnsi="Arial"/>
          <w:color w:val="374151"/>
          <w:sz w:val="21"/>
          <w:szCs w:val="21"/>
        </w:rPr>
        <w:t xml:space="preserve">Swing pick: if it worked, celebrate and size down. If it failed, it was 5% of portfolio — you learned cheaply.</w:t>
      </w:r>
    </w:p>
    <w:p>
      <w:pPr>
        <w:pStyle w:val="ListParagraph"/>
        <w:numPr>
          <w:ilvl w:val="0"/>
          <w:numId w:val="2"/>
        </w:numPr>
        <w:spacing w:after="40" w:before="40"/>
      </w:pPr>
      <w:r>
        <w:rPr>
          <w:rFonts w:ascii="Arial" w:cs="Arial" w:eastAsia="Arial" w:hAnsi="Arial"/>
          <w:color w:val="374151"/>
          <w:sz w:val="21"/>
          <w:szCs w:val="21"/>
        </w:rPr>
        <w:t xml:space="preserve">File capital gains properly via NRE structure. Consider a CA with NRI expertise for the year-5 tax return.</w:t>
      </w:r>
    </w:p>
    <w:p>
      <w:pPr>
        <w:spacing w:after="80" w:before="80"/>
        <w:jc w:val="left"/>
      </w:pPr>
      <w:r>
        <w:rPr>
          <w:rFonts w:ascii="Arial" w:cs="Arial" w:eastAsia="Arial" w:hAnsi="Arial"/>
          <w:b/>
          <w:bCs/>
          <w:i w:val="false"/>
          <w:iCs w:val="false"/>
          <w:color w:val="0D6E4A"/>
          <w:sz w:val="20"/>
          <w:szCs w:val="20"/>
        </w:rPr>
        <w:t xml:space="preserve">Expected NET of taxes and fees: $19,500–$28,000 (base) | $38,000–$58,000 (bull case)</w:t>
      </w:r>
    </w:p>
    <w:p>
      <w:r>
        <w:t xml:space="preserve"/>
      </w:r>
    </w:p>
    <w:p>
      <w:r>
        <w:br w:type="page"/>
      </w:r>
    </w:p>
    <w:p>
      <w:pPr>
        <w:pStyle w:val="Heading1"/>
        <w:spacing w:after="160" w:before="320"/>
      </w:pPr>
      <w:r>
        <w:rPr>
          <w:rFonts w:ascii="Arial" w:cs="Arial" w:eastAsia="Arial" w:hAnsi="Arial"/>
          <w:b/>
          <w:bCs/>
          <w:color w:val="0A0F1E"/>
          <w:sz w:val="40"/>
          <w:szCs w:val="40"/>
        </w:rPr>
        <w:t xml:space="preserve">9. Quick Reference — The Rules at a Glance</w:t>
      </w:r>
    </w:p>
    <w:p>
      <w:r>
        <w:t xml:space="preserve"/>
      </w:r>
    </w:p>
    <w:p>
      <w:pPr>
        <w:pStyle w:val="Heading2"/>
        <w:pBdr>
          <w:bottom w:val="single" w:color="0D6E4A" w:sz="4" w:space="4"/>
        </w:pBdr>
        <w:spacing w:after="120" w:before="240"/>
      </w:pPr>
      <w:r>
        <w:rPr>
          <w:rFonts w:ascii="Arial" w:cs="Arial" w:eastAsia="Arial" w:hAnsi="Arial"/>
          <w:b/>
          <w:bCs/>
          <w:color w:val="0D6E4A"/>
          <w:sz w:val="30"/>
          <w:szCs w:val="30"/>
        </w:rPr>
        <w:t xml:space="preserve">Monthly 5-Minute Checklist</w:t>
      </w:r>
    </w:p>
    <w:p>
      <w:pPr>
        <w:pStyle w:val="ListParagraph"/>
        <w:numPr>
          <w:ilvl w:val="0"/>
          <w:numId w:val="3"/>
        </w:numPr>
        <w:spacing w:after="40" w:before="40"/>
      </w:pPr>
      <w:r>
        <w:rPr>
          <w:rFonts w:ascii="Arial" w:cs="Arial" w:eastAsia="Arial" w:hAnsi="Arial"/>
          <w:color w:val="0D6E4A"/>
          <w:sz w:val="21"/>
          <w:szCs w:val="21"/>
        </w:rPr>
        <w:t xml:space="preserve">Did any position THESIS (not price) fundamentally change?</w:t>
      </w:r>
    </w:p>
    <w:p>
      <w:pPr>
        <w:pStyle w:val="ListParagraph"/>
        <w:numPr>
          <w:ilvl w:val="0"/>
          <w:numId w:val="3"/>
        </w:numPr>
        <w:spacing w:after="40" w:before="40"/>
      </w:pPr>
      <w:r>
        <w:rPr>
          <w:rFonts w:ascii="Arial" w:cs="Arial" w:eastAsia="Arial" w:hAnsi="Arial"/>
          <w:color w:val="0D6E4A"/>
          <w:sz w:val="21"/>
          <w:szCs w:val="21"/>
        </w:rPr>
        <w:t xml:space="preserve">Has any position grown to &gt;20% of total portfolio? (If yes: trim to 15%)</w:t>
      </w:r>
    </w:p>
    <w:p>
      <w:pPr>
        <w:pStyle w:val="ListParagraph"/>
        <w:numPr>
          <w:ilvl w:val="0"/>
          <w:numId w:val="3"/>
        </w:numPr>
        <w:spacing w:after="40" w:before="40"/>
      </w:pPr>
      <w:r>
        <w:rPr>
          <w:rFonts w:ascii="Arial" w:cs="Arial" w:eastAsia="Arial" w:hAnsi="Arial"/>
          <w:color w:val="0D6E4A"/>
          <w:sz w:val="21"/>
          <w:szCs w:val="21"/>
        </w:rPr>
        <w:t xml:space="preserve">Any dividends received? (Reinvest automatically — do not leave idle)</w:t>
      </w:r>
    </w:p>
    <w:p>
      <w:pPr>
        <w:pStyle w:val="ListParagraph"/>
        <w:numPr>
          <w:ilvl w:val="0"/>
          <w:numId w:val="3"/>
        </w:numPr>
        <w:spacing w:after="40" w:before="40"/>
      </w:pPr>
      <w:r>
        <w:rPr>
          <w:rFonts w:ascii="Arial" w:cs="Arial" w:eastAsia="Arial" w:hAnsi="Arial"/>
          <w:color w:val="0D6E4A"/>
          <w:sz w:val="21"/>
          <w:szCs w:val="21"/>
        </w:rPr>
        <w:t xml:space="preserve">W-8BEN still valid with IBKR? (Must be renewed every 3 years)</w:t>
      </w:r>
    </w:p>
    <w:p>
      <w:pPr>
        <w:pStyle w:val="ListParagraph"/>
        <w:numPr>
          <w:ilvl w:val="0"/>
          <w:numId w:val="3"/>
        </w:numPr>
        <w:spacing w:after="40" w:before="40"/>
      </w:pPr>
      <w:r>
        <w:rPr>
          <w:rFonts w:ascii="Arial" w:cs="Arial" w:eastAsia="Arial" w:hAnsi="Arial"/>
          <w:color w:val="0D6E4A"/>
          <w:sz w:val="21"/>
          <w:szCs w:val="21"/>
        </w:rPr>
        <w:t xml:space="preserve">NRE account operational? (Check for unexpected TDS surprises)</w:t>
      </w:r>
    </w:p>
    <w:p>
      <w:pPr>
        <w:spacing w:after="80" w:before="80"/>
        <w:jc w:val="left"/>
      </w:pPr>
      <w:r>
        <w:rPr>
          <w:rFonts w:ascii="Arial" w:cs="Arial" w:eastAsia="Arial" w:hAnsi="Arial"/>
          <w:b/>
          <w:bCs/>
          <w:i w:val="false"/>
          <w:iCs w:val="false"/>
          <w:color w:val="0D6E4A"/>
          <w:sz w:val="22"/>
          <w:szCs w:val="22"/>
        </w:rPr>
        <w:t xml:space="preserve">If all five are fine: close the app. Go live your life. Time is your greatest investment edge.</w:t>
      </w:r>
    </w:p>
    <w:p>
      <w:r>
        <w:t xml:space="preserve"/>
      </w:r>
    </w:p>
    <w:p>
      <w:pPr>
        <w:pStyle w:val="Heading2"/>
        <w:pBdr>
          <w:bottom w:val="single" w:color="B91C1C" w:sz="4" w:space="4"/>
        </w:pBdr>
        <w:spacing w:after="120" w:before="240"/>
      </w:pPr>
      <w:r>
        <w:rPr>
          <w:rFonts w:ascii="Arial" w:cs="Arial" w:eastAsia="Arial" w:hAnsi="Arial"/>
          <w:b/>
          <w:bCs/>
          <w:color w:val="B91C1C"/>
          <w:sz w:val="30"/>
          <w:szCs w:val="30"/>
        </w:rPr>
        <w:t xml:space="preserve">The NRI Never-Do List</w:t>
      </w:r>
    </w:p>
    <w:p>
      <w:pPr>
        <w:pStyle w:val="ListParagraph"/>
        <w:numPr>
          <w:ilvl w:val="0"/>
          <w:numId w:val="4"/>
        </w:numPr>
        <w:spacing w:after="40" w:before="40"/>
      </w:pPr>
      <w:r>
        <w:rPr>
          <w:rFonts w:ascii="Arial" w:cs="Arial" w:eastAsia="Arial" w:hAnsi="Arial"/>
          <w:color w:val="B91C1C"/>
          <w:sz w:val="21"/>
          <w:szCs w:val="21"/>
        </w:rPr>
        <w:t xml:space="preserve">Never hold more than $60,000 in US-domiciled ETFs without estate tax planning</w:t>
      </w:r>
    </w:p>
    <w:p>
      <w:pPr>
        <w:pStyle w:val="ListParagraph"/>
        <w:numPr>
          <w:ilvl w:val="0"/>
          <w:numId w:val="4"/>
        </w:numPr>
        <w:spacing w:after="40" w:before="40"/>
      </w:pPr>
      <w:r>
        <w:rPr>
          <w:rFonts w:ascii="Arial" w:cs="Arial" w:eastAsia="Arial" w:hAnsi="Arial"/>
          <w:color w:val="B91C1C"/>
          <w:sz w:val="21"/>
          <w:szCs w:val="21"/>
        </w:rPr>
        <w:t xml:space="preserve">Never buy Indian Gold ETFs as NRI — taxed at full income slab rate</w:t>
      </w:r>
    </w:p>
    <w:p>
      <w:pPr>
        <w:pStyle w:val="ListParagraph"/>
        <w:numPr>
          <w:ilvl w:val="0"/>
          <w:numId w:val="4"/>
        </w:numPr>
        <w:spacing w:after="40" w:before="40"/>
      </w:pPr>
      <w:r>
        <w:rPr>
          <w:rFonts w:ascii="Arial" w:cs="Arial" w:eastAsia="Arial" w:hAnsi="Arial"/>
          <w:color w:val="B91C1C"/>
          <w:sz w:val="21"/>
          <w:szCs w:val="21"/>
        </w:rPr>
        <w:t xml:space="preserve">Never hold Indian equity via NRO when NRE is available</w:t>
      </w:r>
    </w:p>
    <w:p>
      <w:pPr>
        <w:pStyle w:val="ListParagraph"/>
        <w:numPr>
          <w:ilvl w:val="0"/>
          <w:numId w:val="4"/>
        </w:numPr>
        <w:spacing w:after="40" w:before="40"/>
      </w:pPr>
      <w:r>
        <w:rPr>
          <w:rFonts w:ascii="Arial" w:cs="Arial" w:eastAsia="Arial" w:hAnsi="Arial"/>
          <w:color w:val="B91C1C"/>
          <w:sz w:val="21"/>
          <w:szCs w:val="21"/>
        </w:rPr>
        <w:t xml:space="preserve">Never sell Indian equity before 12 months (20% vs 12.5% is a permanent wealth leak)</w:t>
      </w:r>
    </w:p>
    <w:p>
      <w:pPr>
        <w:pStyle w:val="ListParagraph"/>
        <w:numPr>
          <w:ilvl w:val="0"/>
          <w:numId w:val="4"/>
        </w:numPr>
        <w:spacing w:after="40" w:before="40"/>
      </w:pPr>
      <w:r>
        <w:rPr>
          <w:rFonts w:ascii="Arial" w:cs="Arial" w:eastAsia="Arial" w:hAnsi="Arial"/>
          <w:color w:val="B91C1C"/>
          <w:sz w:val="21"/>
          <w:szCs w:val="21"/>
        </w:rPr>
        <w:t xml:space="preserve">Never remit all foreign income to Malaysia without checking the 2024 tax rules</w:t>
      </w:r>
    </w:p>
    <w:p>
      <w:pPr>
        <w:pStyle w:val="ListParagraph"/>
        <w:numPr>
          <w:ilvl w:val="0"/>
          <w:numId w:val="4"/>
        </w:numPr>
        <w:spacing w:after="40" w:before="40"/>
      </w:pPr>
      <w:r>
        <w:rPr>
          <w:rFonts w:ascii="Arial" w:cs="Arial" w:eastAsia="Arial" w:hAnsi="Arial"/>
          <w:color w:val="B91C1C"/>
          <w:sz w:val="21"/>
          <w:szCs w:val="21"/>
        </w:rPr>
        <w:t xml:space="preserve">Never skip renewing W-8BEN with your broker — you silently revert to 30% withholding</w:t>
      </w:r>
    </w:p>
    <w:p>
      <w:pPr>
        <w:pStyle w:val="ListParagraph"/>
        <w:numPr>
          <w:ilvl w:val="0"/>
          <w:numId w:val="4"/>
        </w:numPr>
        <w:spacing w:after="40" w:before="40"/>
      </w:pPr>
      <w:r>
        <w:rPr>
          <w:rFonts w:ascii="Arial" w:cs="Arial" w:eastAsia="Arial" w:hAnsi="Arial"/>
          <w:color w:val="B91C1C"/>
          <w:sz w:val="21"/>
          <w:szCs w:val="21"/>
        </w:rPr>
        <w:t xml:space="preserve">Never use leverage. Never invest borrowed money. Never chase crypto with your core capital.</w:t>
      </w:r>
    </w:p>
    <w:p>
      <w:r>
        <w:t xml:space="preserve"/>
      </w:r>
    </w:p>
    <w:p>
      <w:r>
        <w:t xml:space="preserve"/>
      </w:r>
    </w:p>
    <w:p>
      <w:pPr>
        <w:pBdr>
          <w:bottom w:val="single" w:color="C9A84C" w:sz="3" w:space="1"/>
        </w:pBdr>
        <w:spacing w:after="120" w:before="120"/>
      </w:pPr>
      <w:r>
        <w:t xml:space="preserve"/>
      </w:r>
    </w:p>
    <w:p>
      <w:pPr>
        <w:spacing w:after="80" w:before="120"/>
      </w:pPr>
      <w:r>
        <w:rPr>
          <w:rFonts w:ascii="Arial" w:cs="Arial" w:eastAsia="Arial" w:hAnsi="Arial"/>
          <w:b/>
          <w:bCs/>
          <w:color w:val="B91C1C"/>
          <w:sz w:val="22"/>
          <w:szCs w:val="22"/>
        </w:rPr>
        <w:t xml:space="preserve">IMPORTANT DISCLAIMER</w:t>
      </w:r>
    </w:p>
    <w:p>
      <w:pPr>
        <w:spacing w:after="80" w:before="80"/>
        <w:jc w:val="left"/>
      </w:pPr>
      <w:r>
        <w:rPr>
          <w:rFonts w:ascii="Arial" w:cs="Arial" w:eastAsia="Arial" w:hAnsi="Arial"/>
          <w:b w:val="false"/>
          <w:bCs w:val="false"/>
          <w:i w:val="false"/>
          <w:iCs w:val="false"/>
          <w:color w:val="64748B"/>
          <w:sz w:val="19"/>
          <w:szCs w:val="19"/>
        </w:rPr>
        <w:t xml:space="preserve">This document is for educational and informational purposes only. It does not constitute financial, tax, legal, or investment advice. NRI tax rules are complex and subject to change. Past performance is not indicative of future results. Capital markets can and do lose significant value. Always consult a SEBI-registered investment advisor for Indian investments, a licensed financial advisor in Malaysia for cross-border tax structuring, and a qualified tax professional before making any investment decisions. The author accepts no liability for investment decisions made based on this content.</w:t>
      </w:r>
    </w:p>
    <w:sectPr>
      <w:headerReference w:type="default" r:id="rId7"/>
      <w:footerReference w:type="default" r:id="rId8"/>
      <w:pgSz w:w="12240" w:h="15840" w:orient="portrait"/>
      <w:pgMar w:top="1080" w:right="1080" w:bottom="1080" w:left="1080" w:header="708" w:footer="708" w:gutter="0"/>
      <w:pgNumType/>
      <w:docGrid w:linePitch="360"/>
    </w:sectPr>
  </w:body>
</w:document>
</file>

<file path=word/comments.xml><?xml version="1.0" encoding="utf-8"?>
<w:comments xmlns:cx="http://schemas.microsoft.com/office/drawing/2014/chartex" xmlns:cx1="http://schemas.microsoft.com/office/drawing/2015/9/8/chartex" xmlns:cx2="http://schemas.microsoft.com/office/drawing/2015/10/21/chartex" xmlns:cx3="http://schemas.microsoft.com/office/drawing/2016/5/9/chartex" xmlns:cx4="http://schemas.microsoft.com/office/drawing/2016/5/10/chartex" xmlns:cx5="http://schemas.microsoft.com/office/drawing/2016/5/11/chartex" xmlns:cx6="http://schemas.microsoft.com/office/drawing/2016/5/12/chartex" xmlns:cx7="http://schemas.microsoft.com/office/drawing/2016/5/13/chartex" xmlns:cx8="http://schemas.microsoft.com/office/drawing/2016/5/14/chartex" xmlns:mc="http://schemas.openxmlformats.org/markup-compatibility/2006" xmlns:aink="http://schemas.microsoft.com/office/drawing/2016/ink" xmlns:am3d="http://schemas.microsoft.com/office/drawing/2017/model3d" xmlns:o="urn:schemas-microsoft-com:office:office" xmlns:r="http://schemas.openxmlformats.org/officeDocument/2006/relationships" xmlns:m="http://schemas.openxmlformats.org/officeDocument/2006/math" xmlns:v="urn:schemas-microsoft-com:vml" xmlns:wp14="http://schemas.microsoft.com/office/word/2010/wordprocessingDrawing" xmlns:wp="http://schemas.openxmlformats.org/drawingml/2006/wordprocessingDrawing" xmlns:w10="urn:schemas-microsoft-com:office:word" xmlns:w="http://schemas.openxmlformats.org/wordprocessingml/2006/main" xmlns:w14="http://schemas.microsoft.com/office/word/2010/wordml" xmlns:w15="http://schemas.microsoft.com/office/word/2012/wordml" xmlns:w16cex="http://schemas.microsoft.com/office/word/2018/wordml/cex" xmlns:w16cid="http://schemas.microsoft.com/office/word/2016/wordml/cid" xmlns:w16="http://schemas.microsoft.com/office/word/2018/wordml" xmlns:w16sdtdh="http://schemas.microsoft.com/office/word/2020/wordml/sdtdatahash" xmlns:w16se="http://schemas.microsoft.com/office/word/2015/wordml/symex" xmlns:wpg="http://schemas.microsoft.com/office/word/2010/wordprocessingGroup" xmlns:wpi="http://schemas.microsoft.com/office/word/2010/wordprocessingInk" xmlns:wne="http://schemas.microsoft.com/office/word/2006/wordml" xmlns:wps="http://schemas.microsoft.com/office/word/2010/wordprocessingShape"/>
</file>

<file path=word/endnotes.xml><?xml version="1.0" encoding="utf-8"?>
<w:endnotes xmlns:wpc="http://schemas.microsoft.com/office/word/2010/wordprocessingCanvas" xmlns:mc="http://schemas.openxmlformats.org/markup-compatibility/2006" xmlns:o="urn:schemas-microsoft-com:office:office" xmlns:r="http://schemas.openxmlformats.org/officeDocument/2006/relationships" xmlns:m="http://schemas.openxmlformats.org/officeDocument/2006/math" xmlns:v="urn:schemas-microsoft-com:vml" xmlns:wp14="http://schemas.microsoft.com/office/word/2010/wordprocessingDrawing" xmlns:wp="http://schemas.openxmlformats.org/drawingml/2006/wordprocessingDrawing" xmlns:w10="urn:schemas-microsoft-com:office:word" xmlns:w="http://schemas.openxmlformats.org/wordprocessingml/2006/main" xmlns:w14="http://schemas.microsoft.com/office/word/2010/wordml" xmlns:w15="http://schemas.microsoft.com/office/word/2012/wordml" xmlns:wpg="http://schemas.microsoft.com/office/word/2010/wordprocessingGroup" xmlns:wpi="http://schemas.microsoft.com/office/word/2010/wordprocessingInk" xmlns:wne="http://schemas.microsoft.com/office/word/2006/wordml" xmlns:wps="http://schemas.microsoft.com/office/word/2010/wordprocessingShape" mc:Ignorable="w14 w15 wp14">
  <w:endnote w:type="separator" w:id="-1">
    <w:p>
      <w:pPr>
        <w:spacing w:after="0" w:line="240" w:lineRule="auto"/>
      </w:pPr>
      <w:r>
        <w:rPr>
          <w:rStyle w:val="EndnoteReference"/>
        </w:rPr>
        <w:endnoteRef/>
      </w:r>
      <w:r>
        <w:separator/>
      </w:r>
    </w:p>
  </w:endnote>
  <w:endnote w:type="continuationSeparator" w:id="0">
    <w:p>
      <w:pPr>
        <w:spacing w:after="0" w:line="240" w:lineRule="auto"/>
      </w:pPr>
      <w:r>
        <w:rPr>
          <w:rStyle w:val="EndnoteReference"/>
        </w:rPr>
        <w:endnoteRef/>
      </w:r>
      <w:r>
        <w:continuationSeparator/>
      </w:r>
    </w:p>
  </w:endnote>
</w:endnotes>
</file>

<file path=word/fontTable.xml><?xml version="1.0" encoding="utf-8"?>
<w:fonts xmlns:mc="http://schemas.openxmlformats.org/markup-compatibility/2006" xmlns:r="http://schemas.openxmlformats.org/officeDocument/2006/relationships" xmlns:w="http://schemas.openxmlformats.org/wordprocessingml/2006/main" xmlns:w14="http://schemas.microsoft.com/office/word/2010/wordml" xmlns:w15="http://schemas.microsoft.com/office/word/2012/wordml" xmlns:w16cex="http://schemas.microsoft.com/office/word/2018/wordml/cex" xmlns:w16cid="http://schemas.microsoft.com/office/word/2016/wordml/cid" xmlns:w16="http://schemas.microsoft.com/office/word/2018/wordml" xmlns:w16sdtdh="http://schemas.microsoft.com/office/word/2020/wordml/sdtdatahash" xmlns:w16se="http://schemas.microsoft.com/office/word/2015/wordml/symex" mc:Ignorable="w14 w15 w16se w16cid w16 w16cex w16sdtdh"/>
</file>

<file path=word/footer1.xml><?xml version="1.0" encoding="utf-8"?>
<w:ftr xmlns:wpc="http://schemas.microsoft.com/office/word/2010/wordprocessingCanvas" xmlns:mc="http://schemas.openxmlformats.org/markup-compatibility/2006" xmlns:o="urn:schemas-microsoft-com:office:office" xmlns:r="http://schemas.openxmlformats.org/officeDocument/2006/relationships" xmlns:m="http://schemas.openxmlformats.org/officeDocument/2006/math" xmlns:v="urn:schemas-microsoft-com:vml" xmlns:wp14="http://schemas.microsoft.com/office/word/2010/wordprocessingDrawing" xmlns:wp="http://schemas.openxmlformats.org/drawingml/2006/wordprocessingDrawing" xmlns:w10="urn:schemas-microsoft-com:office:word" xmlns:w="http://schemas.openxmlformats.org/wordprocessingml/2006/main" xmlns:w14="http://schemas.microsoft.com/office/word/2010/wordml" xmlns:w15="http://schemas.microsoft.com/office/word/2012/wordml" xmlns:wpg="http://schemas.microsoft.com/office/word/2010/wordprocessingGroup" xmlns:wpi="http://schemas.microsoft.com/office/word/2010/wordprocessingInk" xmlns:wne="http://schemas.microsoft.com/office/word/2006/wordml" xmlns:wps="http://schemas.microsoft.com/office/word/2010/wordprocessingShape">
  <w:p>
    <w:pPr>
      <w:pBdr>
        <w:top w:val="single" w:color="D1D5DB" w:sz="2" w:space="4"/>
      </w:pBdr>
      <w:jc w:val="center"/>
    </w:pPr>
    <w:r>
      <w:rPr>
        <w:rFonts w:ascii="Arial" w:cs="Arial" w:eastAsia="Arial" w:hAnsi="Arial"/>
        <w:color w:val="64748B"/>
        <w:sz w:val="16"/>
        <w:szCs w:val="16"/>
      </w:rPr>
      <w:t xml:space="preserve">Not financial advice. Always consult a licensed advisor.  |  Page </w:t>
    </w:r>
    <w:r>
      <w:rPr>
        <w:rFonts w:ascii="Arial" w:cs="Arial" w:eastAsia="Arial" w:hAnsi="Arial"/>
        <w:color w:val="64748B"/>
        <w:sz w:val="16"/>
        <w:szCs w:val="16"/>
      </w:rPr>
      <w:fldChar w:fldCharType="begin"/>
      <w:instrText xml:space="preserve">PAGE</w:instrText>
      <w:fldChar w:fldCharType="separate"/>
      <w:fldChar w:fldCharType="end"/>
    </w:r>
  </w:p>
</w:ftr>
</file>

<file path=word/footnotes.xml><?xml version="1.0" encoding="utf-8"?>
<w:footnotes xmlns:wpc="http://schemas.microsoft.com/office/word/2010/wordprocessingCanvas" xmlns:mc="http://schemas.openxmlformats.org/markup-compatibility/2006" xmlns:o="urn:schemas-microsoft-com:office:office" xmlns:r="http://schemas.openxmlformats.org/officeDocument/2006/relationships" xmlns:m="http://schemas.openxmlformats.org/officeDocument/2006/math" xmlns:v="urn:schemas-microsoft-com:vml" xmlns:wp14="http://schemas.microsoft.com/office/word/2010/wordprocessingDrawing" xmlns:wp="http://schemas.openxmlformats.org/drawingml/2006/wordprocessingDrawing" xmlns:w10="urn:schemas-microsoft-com:office:word" xmlns:w="http://schemas.openxmlformats.org/wordprocessingml/2006/main" xmlns:w14="http://schemas.microsoft.com/office/word/2010/wordml" xmlns:w15="http://schemas.microsoft.com/office/word/2012/wordml" xmlns:wpg="http://schemas.microsoft.com/office/word/2010/wordprocessingGroup" xmlns:wpi="http://schemas.microsoft.com/office/word/2010/wordprocessingInk" xmlns:wne="http://schemas.microsoft.com/office/word/2006/wordml" xmlns:wps="http://schemas.microsoft.com/office/word/2010/wordprocessingShape" mc:Ignorable="w14 w15 wp14">
  <w:footnote w:type="separator" w:id="-1">
    <w:p>
      <w:pPr>
        <w:spacing w:after="0" w:line="240" w:lineRule="auto"/>
      </w:pPr>
      <w:r>
        <w:rPr>
          <w:rStyle w:val="FootnoteReference"/>
        </w:rPr>
        <w:footnoteRef/>
      </w:r>
      <w:r>
        <w:separator/>
      </w:r>
    </w:p>
  </w:footnote>
  <w:footnote w:type="continuationSeparator" w:id="0">
    <w:p>
      <w:pPr>
        <w:spacing w:after="0" w:line="240" w:lineRule="auto"/>
      </w:pPr>
      <w:r>
        <w:rPr>
          <w:rStyle w:val="FootnoteReference"/>
        </w:rPr>
        <w:footnoteRef/>
      </w:r>
      <w:r>
        <w:continuationSeparator/>
      </w:r>
    </w:p>
  </w:footnote>
</w:footnotes>
</file>

<file path=word/header1.xml><?xml version="1.0" encoding="utf-8"?>
<w:hdr xmlns:wpc="http://schemas.microsoft.com/office/word/2010/wordprocessingCanvas" xmlns:mc="http://schemas.openxmlformats.org/markup-compatibility/2006" xmlns:o="urn:schemas-microsoft-com:office:office" xmlns:r="http://schemas.openxmlformats.org/officeDocument/2006/relationships" xmlns:m="http://schemas.openxmlformats.org/officeDocument/2006/math" xmlns:v="urn:schemas-microsoft-com:vml" xmlns:wp14="http://schemas.microsoft.com/office/word/2010/wordprocessingDrawing" xmlns:wp="http://schemas.openxmlformats.org/drawingml/2006/wordprocessingDrawing" xmlns:w10="urn:schemas-microsoft-com:office:word" xmlns:w="http://schemas.openxmlformats.org/wordprocessingml/2006/main" xmlns:w14="http://schemas.microsoft.com/office/word/2010/wordml" xmlns:w15="http://schemas.microsoft.com/office/word/2012/wordml" xmlns:wpg="http://schemas.microsoft.com/office/word/2010/wordprocessingGroup" xmlns:wpi="http://schemas.microsoft.com/office/word/2010/wordprocessingInk" xmlns:wne="http://schemas.microsoft.com/office/word/2006/wordml" xmlns:wps="http://schemas.microsoft.com/office/word/2010/wordprocessingShape" xmlns:cx="http://schemas.microsoft.com/office/drawing/2014/chartex" xmlns:cx1="http://schemas.microsoft.com/office/drawing/2015/9/8/chartex" xmlns:cx2="http://schemas.microsoft.com/office/drawing/2015/10/21/chartex" xmlns:cx3="http://schemas.microsoft.com/office/drawing/2016/5/9/chartex" xmlns:cx4="http://schemas.microsoft.com/office/drawing/2016/5/10/chartex" xmlns:cx5="http://schemas.microsoft.com/office/drawing/2016/5/11/chartex" xmlns:cx6="http://schemas.microsoft.com/office/drawing/2016/5/12/chartex" xmlns:cx7="http://schemas.microsoft.com/office/drawing/2016/5/13/chartex" xmlns:cx8="http://schemas.microsoft.com/office/drawing/2016/5/14/chartex" xmlns:w16cid="http://schemas.microsoft.com/office/word/2016/wordml/cid" xmlns:w16se="http://schemas.microsoft.com/office/word/2015/wordml/symex">
  <w:p>
    <w:pPr>
      <w:pBdr>
        <w:bottom w:val="single" w:color="C9A84C" w:sz="4" w:space="4"/>
      </w:pBdr>
      <w:jc w:val="right"/>
    </w:pPr>
    <w:r>
      <w:rPr>
        <w:rFonts w:ascii="Arial" w:cs="Arial" w:eastAsia="Arial" w:hAnsi="Arial"/>
        <w:color w:val="64748B"/>
        <w:sz w:val="18"/>
        <w:szCs w:val="18"/>
      </w:rPr>
      <w:t xml:space="preserve">Investment Genie  |  NRI Wealth Blueprint 2026  |  Confidential</w:t>
    </w:r>
  </w:p>
</w:hdr>
</file>

<file path=word/numbering.xml><?xml version="1.0" encoding="utf-8"?>
<w:numbering xmlns:wpc="http://schemas.microsoft.com/office/word/2010/wordprocessingCanvas" xmlns:mc="http://schemas.openxmlformats.org/markup-compatibility/2006" xmlns:o="urn:schemas-microsoft-com:office:office" xmlns:r="http://schemas.openxmlformats.org/officeDocument/2006/relationships" xmlns:m="http://schemas.openxmlformats.org/officeDocument/2006/math" xmlns:v="urn:schemas-microsoft-com:vml" xmlns:wp14="http://schemas.microsoft.com/office/word/2010/wordprocessingDrawing" xmlns:wp="http://schemas.openxmlformats.org/drawingml/2006/wordprocessingDrawing" xmlns:w10="urn:schemas-microsoft-com:office:word" xmlns:w="http://schemas.openxmlformats.org/wordprocessingml/2006/main" xmlns:w14="http://schemas.microsoft.com/office/word/2010/wordml" xmlns:w15="http://schemas.microsoft.com/office/word/2012/wordml" xmlns:wpg="http://schemas.microsoft.com/office/word/2010/wordprocessingGroup" xmlns:wpi="http://schemas.microsoft.com/office/word/2010/wordprocessingInk" xmlns:wne="http://schemas.microsoft.com/office/word/2006/wordml" xmlns:wps="http://schemas.microsoft.com/office/word/2010/wordprocessingShape" mc:Ignorable="w14 w15 wp14">
  <w:abstractNum w:abstractNumId="1" w15:restartNumberingAfterBreak="0">
    <w:multiLevelType w:val="hybridMultilevel"/>
    <w:lvl w:ilvl="0" w15:tentative="1">
      <w:start w:val="1"/>
      <w:numFmt w:val="bullet"/>
      <w:lvlText w:val="●"/>
      <w:lvlJc w:val="left"/>
      <w:pPr>
        <w:ind w:left="720" w:hanging="360"/>
      </w:pPr>
    </w:lvl>
    <w:lvl w:ilvl="1" w15:tentative="1">
      <w:start w:val="1"/>
      <w:numFmt w:val="bullet"/>
      <w:lvlText w:val="○"/>
      <w:lvlJc w:val="left"/>
      <w:pPr>
        <w:ind w:left="1440" w:hanging="360"/>
      </w:pPr>
    </w:lvl>
    <w:lvl w:ilvl="2" w15:tentative="1">
      <w:start w:val="1"/>
      <w:numFmt w:val="bullet"/>
      <w:lvlText w:val="■"/>
      <w:lvlJc w:val="left"/>
      <w:pPr>
        <w:ind w:left="2160" w:hanging="360"/>
      </w:pPr>
    </w:lvl>
    <w:lvl w:ilvl="3" w15:tentative="1">
      <w:start w:val="1"/>
      <w:numFmt w:val="bullet"/>
      <w:lvlText w:val="●"/>
      <w:lvlJc w:val="left"/>
      <w:pPr>
        <w:ind w:left="2880" w:hanging="360"/>
      </w:pPr>
    </w:lvl>
    <w:lvl w:ilvl="4" w15:tentative="1">
      <w:start w:val="1"/>
      <w:numFmt w:val="bullet"/>
      <w:lvlText w:val="○"/>
      <w:lvlJc w:val="left"/>
      <w:pPr>
        <w:ind w:left="3600" w:hanging="360"/>
      </w:pPr>
    </w:lvl>
    <w:lvl w:ilvl="5" w15:tentative="1">
      <w:start w:val="1"/>
      <w:numFmt w:val="bullet"/>
      <w:lvlText w:val="■"/>
      <w:lvlJc w:val="left"/>
      <w:pPr>
        <w:ind w:left="4320" w:hanging="360"/>
      </w:pPr>
    </w:lvl>
    <w:lvl w:ilvl="6" w15:tentative="1">
      <w:start w:val="1"/>
      <w:numFmt w:val="bullet"/>
      <w:lvlText w:val="●"/>
      <w:lvlJc w:val="left"/>
      <w:pPr>
        <w:ind w:left="5040" w:hanging="360"/>
      </w:pPr>
    </w:lvl>
    <w:lvl w:ilvl="7" w15:tentative="1">
      <w:start w:val="1"/>
      <w:numFmt w:val="bullet"/>
      <w:lvlText w:val="●"/>
      <w:lvlJc w:val="left"/>
      <w:pPr>
        <w:ind w:left="5760" w:hanging="360"/>
      </w:pPr>
    </w:lvl>
    <w:lvl w:ilvl="8" w15:tentative="1">
      <w:start w:val="1"/>
      <w:numFmt w:val="bullet"/>
      <w:lvlText w:val="●"/>
      <w:lvlJc w:val="left"/>
      <w:pPr>
        <w:ind w:left="6480" w:hanging="360"/>
      </w:pPr>
    </w:lvl>
  </w:abstractNum>
  <w:abstractNum w:abstractNumId="2" w15:restartNumberingAfterBreak="0">
    <w:multiLevelType w:val="hybridMultilevel"/>
    <w:lvl w:ilvl="0" w15:tentative="1">
      <w:start w:val="1"/>
      <w:numFmt w:val="bullet"/>
      <w:lvlText w:val="•"/>
      <w:lvlJc w:val="left"/>
      <w:pPr>
        <w:ind w:left="540" w:hanging="360"/>
      </w:pPr>
    </w:lvl>
  </w:abstractNum>
  <w:abstractNum w:abstractNumId="3" w15:restartNumberingAfterBreak="0">
    <w:multiLevelType w:val="hybridMultilevel"/>
    <w:lvl w:ilvl="0" w15:tentative="1">
      <w:start w:val="1"/>
      <w:numFmt w:val="bullet"/>
      <w:lvlText w:val="✓"/>
      <w:lvlJc w:val="left"/>
      <w:pPr>
        <w:ind w:left="540" w:hanging="360"/>
      </w:pPr>
    </w:lvl>
  </w:abstractNum>
  <w:abstractNum w:abstractNumId="4" w15:restartNumberingAfterBreak="0">
    <w:multiLevelType w:val="hybridMultilevel"/>
    <w:lvl w:ilvl="0" w15:tentative="1">
      <w:start w:val="1"/>
      <w:numFmt w:val="bullet"/>
      <w:lvlText w:val="✗"/>
      <w:lvlJc w:val="left"/>
      <w:pPr>
        <w:ind w:left="540" w:hanging="360"/>
      </w:pPr>
    </w:lvl>
  </w:abstractNum>
  <w:num w:numId="1">
    <w:abstractNumId w:val="1"/>
    <w:lvlOverride w:ilvl="0">
      <w:startOverride w:val="1"/>
    </w:lvlOverride>
  </w:num>
  <w:num w:numId="2">
    <w:abstractNumId w:val="2"/>
    <w:lvlOverride w:ilvl="0">
      <w:startOverride w:val="1"/>
    </w:lvlOverride>
  </w:num>
  <w:num w:numId="3">
    <w:abstractNumId w:val="3"/>
    <w:lvlOverride w:ilvl="0">
      <w:startOverride w:val="1"/>
    </w:lvlOverride>
  </w:num>
  <w:num w:numId="4">
    <w:abstractNumId w:val="4"/>
    <w:lvlOverride w:ilvl="0">
      <w:startOverride w:val="1"/>
    </w:lvlOverride>
  </w:num>
</w:numbering>
</file>

<file path=word/settings.xml><?xml version="1.0" encoding="utf-8"?>
<w:settings xmlns:wpc="http://schemas.microsoft.com/office/word/2010/wordprocessingCanvas" xmlns:mc="http://schemas.openxmlformats.org/markup-compatibility/2006" xmlns:o="urn:schemas-microsoft-com:office:office" xmlns:r="http://schemas.openxmlformats.org/officeDocument/2006/relationships" xmlns:m="http://schemas.openxmlformats.org/officeDocument/2006/math" xmlns:v="urn:schemas-microsoft-com:vml" xmlns:wp14="http://schemas.microsoft.com/office/word/2010/wordprocessingDrawing" xmlns:wp="http://schemas.openxmlformats.org/drawingml/2006/wordprocessingDrawing" xmlns:w10="urn:schemas-microsoft-com:office:word" xmlns:w="http://schemas.openxmlformats.org/wordprocessingml/2006/main" xmlns:w14="http://schemas.microsoft.com/office/word/2010/wordml" xmlns:w15="http://schemas.microsoft.com/office/word/2012/wordml" xmlns:wpg="http://schemas.microsoft.com/office/word/2010/wordprocessingGroup" xmlns:wpi="http://schemas.microsoft.com/office/word/2010/wordprocessingInk" xmlns:wne="http://schemas.microsoft.com/office/word/2006/wordml" xmlns:wps="http://schemas.microsoft.com/office/word/2010/wordprocessingShape" mc:Ignorable="w14 w15 wp14">
  <w:displayBackgroundShape/>
  <w:evenAndOddHeaders w:val="false"/>
  <w:compat>
    <w:compatSetting w:val="15" w:name="compatibilityMode" w:uri="http://schemas.microsoft.com/office/word"/>
  </w:compat>
</w:settings>
</file>

<file path=word/styles.xml><?xml version="1.0" encoding="utf-8"?>
<w:styles xmlns:mc="http://schemas.openxmlformats.org/markup-compatibility/2006" xmlns:r="http://schemas.openxmlformats.org/officeDocument/2006/relationships" xmlns:w="http://schemas.openxmlformats.org/wordprocessingml/2006/main" xmlns:w14="http://schemas.microsoft.com/office/word/2010/wordml" xmlns:w15="http://schemas.microsoft.com/office/word/2012/wordml" mc:Ignorable="w14 w15">
  <w:docDefaults>
    <w:rPrDefault>
      <w:rPr>
        <w:rFonts w:ascii="Arial" w:cs="Arial" w:eastAsia="Arial" w:hAnsi="Arial"/>
        <w:sz w:val="22"/>
        <w:szCs w:val="22"/>
      </w:rPr>
    </w:rPrDefault>
    <w:pPrDefault/>
  </w:docDefaults>
  <w:style w:type="paragraph" w:styleId="Title">
    <w:name w:val="Title"/>
    <w:basedOn w:val="Normal"/>
    <w:next w:val="Normal"/>
    <w:qFormat/>
    <w:rPr>
      <w:sz w:val="56"/>
      <w:szCs w:val="56"/>
    </w:rPr>
  </w:style>
  <w:style w:type="paragraph" w:styleId="Heading1">
    <w:name w:val="Heading 1"/>
    <w:basedOn w:val="Normal"/>
    <w:next w:val="Normal"/>
    <w:qFormat/>
    <w:rPr>
      <w:color w:val="2E74B5"/>
      <w:sz w:val="32"/>
      <w:szCs w:val="32"/>
    </w:rPr>
  </w:style>
  <w:style w:type="paragraph" w:styleId="Heading2">
    <w:name w:val="Heading 2"/>
    <w:basedOn w:val="Normal"/>
    <w:next w:val="Normal"/>
    <w:qFormat/>
    <w:rPr>
      <w:color w:val="2E74B5"/>
      <w:sz w:val="26"/>
      <w:szCs w:val="26"/>
    </w:rPr>
  </w:style>
  <w:style w:type="paragraph" w:styleId="Heading3">
    <w:name w:val="Heading 3"/>
    <w:basedOn w:val="Normal"/>
    <w:next w:val="Normal"/>
    <w:qFormat/>
    <w:rPr>
      <w:color w:val="1F4D78"/>
      <w:sz w:val="24"/>
      <w:szCs w:val="24"/>
    </w:rPr>
  </w:style>
  <w:style w:type="paragraph" w:styleId="Heading4">
    <w:name w:val="Heading 4"/>
    <w:basedOn w:val="Normal"/>
    <w:next w:val="Normal"/>
    <w:qFormat/>
    <w:rPr>
      <w:i/>
      <w:iCs/>
      <w:color w:val="2E74B5"/>
    </w:rPr>
  </w:style>
  <w:style w:type="paragraph" w:styleId="Heading5">
    <w:name w:val="Heading 5"/>
    <w:basedOn w:val="Normal"/>
    <w:next w:val="Normal"/>
    <w:qFormat/>
    <w:rPr>
      <w:color w:val="2E74B5"/>
    </w:rPr>
  </w:style>
  <w:style w:type="paragraph" w:styleId="Heading6">
    <w:name w:val="Heading 6"/>
    <w:basedOn w:val="Normal"/>
    <w:next w:val="Normal"/>
    <w:qFormat/>
    <w:rPr>
      <w:color w:val="1F4D78"/>
    </w:rPr>
  </w:style>
  <w:style w:type="paragraph" w:styleId="Strong">
    <w:name w:val="Strong"/>
    <w:basedOn w:val="Normal"/>
    <w:next w:val="Normal"/>
    <w:qFormat/>
    <w:rPr>
      <w:b/>
      <w:bCs/>
    </w:rPr>
  </w:style>
  <w:style w:type="paragraph" w:styleId="ListParagraph">
    <w:name w:val="List Paragraph"/>
    <w:basedOn w:val="Normal"/>
    <w:qFormat/>
  </w:style>
  <w:style w:type="character" w:styleId="Hyperlink">
    <w:name w:val="Hyperlink"/>
    <w:basedOn w:val="DefaultParagraphFont"/>
    <w:uiPriority w:val="99"/>
    <w:unhideWhenUsed/>
    <w:rPr>
      <w:color w:val="0563C1"/>
      <w:u w:val="single"/>
    </w:rPr>
  </w:style>
  <w:style w:type="character" w:styleId="FootnoteReference">
    <w:name w:val="footnote reference"/>
    <w:basedOn w:val="DefaultParagraphFont"/>
    <w:uiPriority w:val="99"/>
    <w:semiHidden/>
    <w:unhideWhenUsed/>
    <w:rPr>
      <w:vertAlign w:val="superscript"/>
    </w:rPr>
  </w:style>
  <w:style w:type="paragraph" w:styleId="FootnoteText">
    <w:name w:val="footnote text"/>
    <w:basedOn w:val="Normal"/>
    <w:link w:val="FootnoteTextChar"/>
    <w:uiPriority w:val="99"/>
    <w:semiHidden/>
    <w:unhideWhenUsed/>
    <w:pPr>
      <w:spacing w:after="0" w:line="240" w:lineRule="auto"/>
    </w:pPr>
    <w:rPr>
      <w:sz w:val="20"/>
      <w:szCs w:val="20"/>
    </w:rPr>
  </w:style>
  <w:style w:type="character" w:styleId="FootnoteTextChar">
    <w:name w:val="Footnote Text Char"/>
    <w:basedOn w:val="DefaultParagraphFont"/>
    <w:link w:val="FootnoteText"/>
    <w:uiPriority w:val="99"/>
    <w:semiHidden/>
    <w:unhideWhenUsed/>
    <w:rPr>
      <w:sz w:val="20"/>
      <w:szCs w:val="20"/>
    </w:rPr>
  </w:style>
  <w:style w:type="character" w:styleId="EndnoteReference">
    <w:name w:val="endnote reference"/>
    <w:basedOn w:val="DefaultParagraphFont"/>
    <w:uiPriority w:val="99"/>
    <w:semiHidden/>
    <w:unhideWhenUsed/>
    <w:rPr>
      <w:vertAlign w:val="superscript"/>
    </w:rPr>
  </w:style>
  <w:style w:type="paragraph" w:styleId="EndnoteText">
    <w:name w:val="endnote text"/>
    <w:basedOn w:val="Normal"/>
    <w:link w:val="EndnoteTextChar"/>
    <w:uiPriority w:val="99"/>
    <w:semiHidden/>
    <w:unhideWhenUsed/>
    <w:pPr>
      <w:spacing w:after="0" w:line="240" w:lineRule="auto"/>
    </w:pPr>
    <w:rPr>
      <w:sz w:val="20"/>
      <w:szCs w:val="20"/>
    </w:rPr>
  </w:style>
  <w:style w:type="character" w:styleId="EndnoteTextChar">
    <w:name w:val="Endnote Text Char"/>
    <w:basedOn w:val="DefaultParagraphFont"/>
    <w:link w:val="EndnoteText"/>
    <w:uiPriority w:val="99"/>
    <w:semiHidden/>
    <w:unhideWhenUsed/>
    <w:rPr>
      <w:sz w:val="20"/>
      <w:szCs w:val="20"/>
    </w:rPr>
  </w:style>
  <w:style w:type="paragraph" w:styleId="Heading1">
    <w:name w:val="Heading 1"/>
    <w:basedOn w:val="Normal"/>
    <w:next w:val="Normal"/>
    <w:qFormat/>
    <w:pPr>
      <w:spacing w:after="160" w:before="320"/>
      <w:outlineLvl w:val="0"/>
    </w:pPr>
    <w:rPr>
      <w:rFonts w:ascii="Arial" w:cs="Arial" w:eastAsia="Arial" w:hAnsi="Arial"/>
      <w:b/>
      <w:bCs/>
      <w:color w:val="0A0F1E"/>
      <w:sz w:val="40"/>
      <w:szCs w:val="40"/>
    </w:rPr>
  </w:style>
  <w:style w:type="paragraph" w:styleId="Heading2">
    <w:name w:val="Heading 2"/>
    <w:basedOn w:val="Normal"/>
    <w:next w:val="Normal"/>
    <w:qFormat/>
    <w:pPr>
      <w:spacing w:after="120" w:before="240"/>
      <w:outlineLvl w:val="1"/>
    </w:pPr>
    <w:rPr>
      <w:rFonts w:ascii="Arial" w:cs="Arial" w:eastAsia="Arial" w:hAnsi="Arial"/>
      <w:b/>
      <w:bCs/>
      <w:color w:val="0A0F1E"/>
      <w:sz w:val="30"/>
      <w:szCs w:val="30"/>
    </w:rPr>
  </w:style>
  <w:style w:type="paragraph" w:styleId="Heading3">
    <w:name w:val="Heading 3"/>
    <w:basedOn w:val="Normal"/>
    <w:next w:val="Normal"/>
    <w:qFormat/>
    <w:pPr>
      <w:spacing w:after="80" w:before="180"/>
      <w:outlineLvl w:val="2"/>
    </w:pPr>
    <w:rPr>
      <w:rFonts w:ascii="Arial" w:cs="Arial" w:eastAsia="Arial" w:hAnsi="Arial"/>
      <w:b/>
      <w:bCs/>
      <w:color w:val="1D4ED8"/>
      <w:sz w:val="26"/>
      <w:szCs w:val="26"/>
    </w:rPr>
  </w:style>
</w:styles>
</file>

<file path=word/_rels/comments.xml.rels><?xml version="1.0" encoding="UTF-8"?><Relationships xmlns="http://schemas.openxmlformats.org/package/2006/relationships"/>
</file>

<file path=word/_rels/document.xml.rels><?xml version="1.0" encoding="UTF-8"?><Relationships xmlns="http://schemas.openxmlformats.org/package/2006/relationships"><Relationship Id="rId1" Type="http://schemas.openxmlformats.org/officeDocument/2006/relationships/styles" Target="styles.xml"/><Relationship Id="rId2" Type="http://schemas.openxmlformats.org/officeDocument/2006/relationships/numbering" Target="numbering.xml"/><Relationship Id="rId3" Type="http://schemas.openxmlformats.org/officeDocument/2006/relationships/footnotes" Target="footnotes.xml"/><Relationship Id="rId4" Type="http://schemas.openxmlformats.org/officeDocument/2006/relationships/endnotes" Target="endnotes.xml"/><Relationship Id="rId5" Type="http://schemas.openxmlformats.org/officeDocument/2006/relationships/settings" Target="settings.xml"/><Relationship Id="rId6" Type="http://schemas.openxmlformats.org/officeDocument/2006/relationships/comments" Target="comments.xml"/><Relationship Id="rId7" Type="http://schemas.openxmlformats.org/officeDocument/2006/relationships/header" Target="header1.xml"/><Relationship Id="rId8" Type="http://schemas.openxmlformats.org/officeDocument/2006/relationships/footer" Target="footer1.xml"/><Relationship Id="rId9" Type="http://schemas.openxmlformats.org/officeDocument/2006/relationships/fontTable" Target="fontTable.xml"/></Relationships>
</file>

<file path=word/_rels/endnotes.xml.rels><?xml version="1.0" encoding="UTF-8"?><Relationships xmlns="http://schemas.openxmlformats.org/package/2006/relationships"/>
</file>

<file path=word/_rels/fontTable.xml.rels><?xml version="1.0" encoding="UTF-8"?><Relationships xmlns="http://schemas.openxmlformats.org/package/2006/relationships"/>
</file>

<file path=word/_rels/footer1.xml.rels><?xml version="1.0" encoding="UTF-8"?><Relationships xmlns="http://schemas.openxmlformats.org/package/2006/relationships"/>
</file>

<file path=word/_rels/footnotes.xml.rels><?xml version="1.0" encoding="UTF-8"?><Relationships xmlns="http://schemas.openxmlformats.org/package/2006/relationships"/>
</file>

<file path=word/_rels/header1.xml.rels><?xml version="1.0" encoding="UTF-8"?><Relationships xmlns="http://schemas.openxmlformats.org/package/2006/relationships"/>
</file>

<file path=docProps/app.xml><?xml version="1.0" encoding="utf-8"?>
<Properties xmlns="http://schemas.openxmlformats.org/officeDocument/2006/extended-properties" xmlns:vt="http://schemas.openxmlformats.org/officeDocument/2006/docPropsVTypes"/>
</file>

<file path=docProps/core.xml><?xml version="1.0" encoding="utf-8"?>
<cp:coreProperties xmlns:cp="http://schemas.openxmlformats.org/package/2006/metadata/core-properties" xmlns:dc="http://purl.org/dc/elements/1.1/" xmlns:dcterms="http://purl.org/dc/terms/" xmlns:dcmitype="http://purl.org/dc/dcmitype/" xmlns:xsi="http://www.w3.org/2001/XMLSchema-instance">
  <dc:creator>Un-named</dc:creator>
  <cp:lastModifiedBy>Un-named</cp:lastModifiedBy>
  <cp:revision>1</cp:revision>
  <dcterms:created xsi:type="dcterms:W3CDTF">2026-04-17T03:20:04.099Z</dcterms:created>
  <dcterms:modified xsi:type="dcterms:W3CDTF">2026-04-17T03:20:04.100Z</dcterms:modified>
</cp:coreProperties>
</file>

<file path=docProps/custom.xml><?xml version="1.0" encoding="utf-8"?>
<Properties xmlns="http://schemas.openxmlformats.org/officeDocument/2006/custom-properties" xmlns:vt="http://schemas.openxmlformats.org/officeDocument/2006/docPropsVTypes"/>
</file>