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BraunHagey &amp; Borden LLP</w:t>
      </w:r>
    </w:p>
    <w:p>
      <w:pPr>
        <w:spacing w:after="320"/>
        <w:jc w:val="center"/>
      </w:pPr>
      <w:r>
        <w:rPr>
          <w:rFonts w:ascii="Times New Roman" w:cs="Times New Roman" w:eastAsia="Times New Roman" w:hAnsi="Times New Roman"/>
          <w:b/>
          <w:bCs/>
          <w:sz w:val="28"/>
          <w:szCs w:val="28"/>
        </w:rPr>
        <w:t xml:space="preserve">Domain and Web Services Portfolio</w:t>
      </w:r>
    </w:p>
    <w:p>
      <w:pPr>
        <w:pStyle w:val="Heading1"/>
        <w:spacing w:after="140" w:before="280"/>
      </w:pPr>
      <w:r>
        <w:rPr>
          <w:rFonts w:ascii="Times New Roman" w:cs="Times New Roman" w:eastAsia="Times New Roman" w:hAnsi="Times New Roman"/>
          <w:b/>
          <w:bCs/>
          <w:sz w:val="26"/>
          <w:szCs w:val="26"/>
        </w:rPr>
        <w:t xml:space="preserve">Overview</w:t>
      </w:r>
    </w:p>
    <w:p>
      <w:pPr>
        <w:spacing w:after="160"/>
      </w:pPr>
      <w:r>
        <w:rPr>
          <w:rFonts w:ascii="Times New Roman" w:cs="Times New Roman" w:eastAsia="Times New Roman" w:hAnsi="Times New Roman"/>
          <w:sz w:val="24"/>
          <w:szCs w:val="24"/>
        </w:rPr>
        <w:t xml:space="preserve">The firm holds 34 domain registrations and 5 related services, all set to auto-renew on the Visa ending 9554 (exp. 7/2029). These registrations exist primarily to support the firm’s website and email. braunhagey.com is the firm’s live website and email domain. Nearly every other registration is a defensive one: a misspelling of “braunhagey” or the firm name under a different extension (.net, .org, .legal, and so on).</w:t>
      </w:r>
    </w:p>
    <w:p>
      <w:pPr>
        <w:pStyle w:val="Heading1"/>
        <w:spacing w:after="140" w:before="280"/>
      </w:pPr>
      <w:r>
        <w:rPr>
          <w:rFonts w:ascii="Times New Roman" w:cs="Times New Roman" w:eastAsia="Times New Roman" w:hAnsi="Times New Roman"/>
          <w:b/>
          <w:bCs/>
          <w:sz w:val="26"/>
          <w:szCs w:val="26"/>
        </w:rPr>
        <w:t xml:space="preserve">Why the Variations Matter</w:t>
      </w:r>
    </w:p>
    <w:p>
      <w:pPr>
        <w:spacing w:after="160"/>
      </w:pPr>
      <w:r>
        <w:rPr>
          <w:rFonts w:ascii="Times New Roman" w:cs="Times New Roman" w:eastAsia="Times New Roman" w:hAnsi="Times New Roman"/>
          <w:sz w:val="24"/>
          <w:szCs w:val="24"/>
        </w:rPr>
        <w:t xml:space="preserve">Every BraunHagey variation we don’t own is one an outsider can register. A bad actor holding a lookalike domain, such as brauhnagey.com or braunhagey.co, could send email that looks like it comes from the firm, put up a lookalike website, or catch messages that clients, courts, or opposing counsel send to a mistyped address. For a law firm, a spoofed address can lead to wire-fraud attempts on clients, leaks of confidential communications, and damage to the firm’s reputation.</w:t>
      </w:r>
    </w:p>
    <w:p>
      <w:pPr>
        <w:spacing w:after="160"/>
      </w:pPr>
      <w:r>
        <w:rPr>
          <w:rFonts w:ascii="Times New Roman" w:cs="Times New Roman" w:eastAsia="Times New Roman" w:hAnsi="Times New Roman"/>
          <w:sz w:val="24"/>
          <w:szCs w:val="24"/>
        </w:rPr>
        <w:t xml:space="preserve">Owning the variations ourselves shuts down those risks for a small yearly cost. We should keep buying full domains for the common variations of the firm name, including misspellings, transposed letters, phonetic spellings, and the major extensions, and renew the ones we already hold.</w:t>
      </w:r>
    </w:p>
    <w:p>
      <w:pPr>
        <w:pStyle w:val="Heading1"/>
        <w:spacing w:after="140" w:before="280"/>
      </w:pPr>
      <w:r>
        <w:rPr>
          <w:rFonts w:ascii="Times New Roman" w:cs="Times New Roman" w:eastAsia="Times New Roman" w:hAnsi="Times New Roman"/>
          <w:b/>
          <w:bCs/>
          <w:sz w:val="26"/>
          <w:szCs w:val="26"/>
        </w:rPr>
        <w:t xml:space="preserve">Primary Domains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rPr>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28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Plan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Renews</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braunhagey.com — Website Security Essential</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4/2/2027</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braunhagey.com</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Protection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8/12/2027</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braunhagey.net</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Protection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11/19/2035</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Microsoft 365 Email Essentials with Security — bhb@whistleblowertoolkit.net</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10/2/2027</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Website Security Basic — “New Account” (no domain assigned)</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3/7/2029</w:t>
            </w:r>
          </w:p>
        </w:tc>
      </w:tr>
    </w:tbl>
    <w:p>
      <w:pPr>
        <w:spacing w:after="80"/>
      </w:pPr>
    </w:p>
    <w:p>
      <w:pPr>
        <w:pStyle w:val="Heading1"/>
        <w:spacing w:after="140" w:before="280"/>
      </w:pPr>
      <w:r>
        <w:rPr>
          <w:rFonts w:ascii="Times New Roman" w:cs="Times New Roman" w:eastAsia="Times New Roman" w:hAnsi="Times New Roman"/>
          <w:b/>
          <w:bCs/>
          <w:sz w:val="26"/>
          <w:szCs w:val="26"/>
        </w:rPr>
        <w:t xml:space="preserve">Defensive Misspelling Registrations (All No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Renews</w:t>
            </w:r>
          </w:p>
        </w:tc>
        <w:tc>
          <w:tcPr>
            <w:tcW w:type="dxa" w:w="7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Domains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3/1/2027</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braunhgaey.com · brauhnagey.com · barunhagey.com · brawnhagey.com · braunhagye.com · braunhaegy.com · branhagey.com · braumhagey.com · braunhayey.com · breunhagey.com</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7/1/2027</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braunhageys.co</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7/2/2027</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brownhagey.com · braunhage.com · braunhagen.com · braunhager.com · braunhaty.com · braunhagy.com</w:t>
            </w:r>
          </w:p>
        </w:tc>
      </w:tr>
    </w:tbl>
    <w:p>
      <w:pPr>
        <w:spacing w:after="80"/>
      </w:pPr>
    </w:p>
    <w:p>
      <w:pPr>
        <w:pStyle w:val="Heading1"/>
        <w:spacing w:after="140" w:before="280"/>
      </w:pPr>
      <w:r>
        <w:rPr>
          <w:rFonts w:ascii="Times New Roman" w:cs="Times New Roman" w:eastAsia="Times New Roman" w:hAnsi="Times New Roman"/>
          <w:b/>
          <w:bCs/>
          <w:sz w:val="26"/>
          <w:szCs w:val="26"/>
        </w:rPr>
        <w:t xml:space="preserve">braunhagey Under Other Extensions (All No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Renews</w:t>
            </w:r>
          </w:p>
        </w:tc>
        <w:tc>
          <w:tcPr>
            <w:tcW w:type="dxa" w:w="7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Domains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7/1/2031</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.info · .live · .life · .org · .biz · .club · .me · .co · .xyz · .online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11/19/2035</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.legal · .lawyer</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listed</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.attorney</w:t>
            </w:r>
          </w:p>
        </w:tc>
      </w:tr>
    </w:tbl>
    <w:p>
      <w:pPr>
        <w:spacing w:after="80"/>
      </w:pPr>
    </w:p>
    <w:p>
      <w:pPr>
        <w:pStyle w:val="Heading1"/>
        <w:spacing w:after="140" w:before="280"/>
      </w:pPr>
      <w:r>
        <w:rPr>
          <w:rFonts w:ascii="Times New Roman" w:cs="Times New Roman" w:eastAsia="Times New Roman" w:hAnsi="Times New Roman"/>
          <w:b/>
          <w:bCs/>
          <w:sz w:val="26"/>
          <w:szCs w:val="26"/>
        </w:rPr>
        <w:t xml:space="preserve">animalwellfareapproved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rPr>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Domain</w:t>
            </w:r>
          </w:p>
        </w:tc>
        <w:tc>
          <w:tcPr>
            <w:tcW w:type="dxa" w:w="28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Plan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Renews</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animalwellfareapproved.com</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Ultimate Domain Protection &amp; Security; Website Security Basic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9/26/2027</w:t>
            </w:r>
          </w:p>
        </w:tc>
      </w:tr>
      <w:tr>
        <w:trPr>
          <w:cantSplit/>
        </w:trP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animalwellfareapproved.org</w:t>
            </w:r>
          </w:p>
        </w:tc>
        <w:tc>
          <w:tcPr>
            <w:tcW w:type="dxa" w:w="28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Ultimate Domain Protection &amp; Security; Website Security Basic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9/26/2027</w:t>
            </w:r>
          </w:p>
        </w:tc>
      </w:tr>
    </w:tbl>
    <w:p>
      <w:pPr>
        <w:spacing w:after="80"/>
      </w:pPr>
    </w:p>
    <w:p>
      <w:pPr>
        <w:pStyle w:val="Heading1"/>
        <w:spacing w:after="140" w:before="280"/>
      </w:pPr>
      <w:r>
        <w:rPr>
          <w:rFonts w:ascii="Times New Roman" w:cs="Times New Roman" w:eastAsia="Times New Roman" w:hAnsi="Times New Roman"/>
          <w:b/>
          <w:bCs/>
          <w:sz w:val="26"/>
          <w:szCs w:val="26"/>
        </w:rPr>
        <w:t xml:space="preserve">Recommendations</w:t>
      </w:r>
    </w:p>
    <w:p>
      <w:pPr>
        <w:pStyle w:val="ListParagraph"/>
        <w:numPr>
          <w:ilvl w:val="0"/>
          <w:numId w:val="2"/>
        </w:numPr>
        <w:spacing w:after="120"/>
      </w:pPr>
      <w:r>
        <w:rPr>
          <w:rFonts w:ascii="Times New Roman" w:cs="Times New Roman" w:eastAsia="Times New Roman" w:hAnsi="Times New Roman"/>
          <w:b/>
          <w:bCs/>
          <w:sz w:val="24"/>
          <w:szCs w:val="24"/>
        </w:rPr>
        <w:t xml:space="preserve">Keep and expand the variations. </w:t>
      </w:r>
      <w:r>
        <w:rPr>
          <w:rFonts w:ascii="Times New Roman" w:cs="Times New Roman" w:eastAsia="Times New Roman" w:hAnsi="Times New Roman"/>
          <w:sz w:val="24"/>
          <w:szCs w:val="24"/>
        </w:rPr>
        <w:t xml:space="preserve">Renew every defensive registration we hold, and buy additional common misspellings and extensions of the firm name as they come up.</w:t>
      </w:r>
    </w:p>
    <w:p>
      <w:pPr>
        <w:pStyle w:val="ListParagraph"/>
        <w:numPr>
          <w:ilvl w:val="0"/>
          <w:numId w:val="2"/>
        </w:numPr>
        <w:spacing w:after="120"/>
      </w:pPr>
      <w:r>
        <w:rPr>
          <w:rFonts w:ascii="Times New Roman" w:cs="Times New Roman" w:eastAsia="Times New Roman" w:hAnsi="Times New Roman"/>
          <w:b/>
          <w:bCs/>
          <w:sz w:val="24"/>
          <w:szCs w:val="24"/>
        </w:rPr>
        <w:t xml:space="preserve">Protect the primary domain. </w:t>
      </w:r>
      <w:r>
        <w:rPr>
          <w:rFonts w:ascii="Times New Roman" w:cs="Times New Roman" w:eastAsia="Times New Roman" w:hAnsi="Times New Roman"/>
          <w:sz w:val="24"/>
          <w:szCs w:val="24"/>
        </w:rPr>
        <w:t xml:space="preserve">braunhagey.com runs the firm’s website and email but has no domain protection. It is the one registration where a hijacking or a lapse would cause the most harm.</w:t>
      </w:r>
    </w:p>
    <w:p>
      <w:pPr>
        <w:pStyle w:val="ListParagraph"/>
        <w:numPr>
          <w:ilvl w:val="0"/>
          <w:numId w:val="2"/>
        </w:numPr>
        <w:spacing w:after="120"/>
      </w:pPr>
      <w:r>
        <w:rPr>
          <w:rFonts w:ascii="Times New Roman" w:cs="Times New Roman" w:eastAsia="Times New Roman" w:hAnsi="Times New Roman"/>
          <w:b/>
          <w:bCs/>
          <w:sz w:val="24"/>
          <w:szCs w:val="24"/>
        </w:rPr>
        <w:t xml:space="preserve">Update the payment card. </w:t>
      </w:r>
      <w:r>
        <w:rPr>
          <w:rFonts w:ascii="Times New Roman" w:cs="Times New Roman" w:eastAsia="Times New Roman" w:hAnsi="Times New Roman"/>
          <w:sz w:val="24"/>
          <w:szCs w:val="24"/>
        </w:rPr>
        <w:t xml:space="preserve">The Visa ending 9554 expires 7/2029, but 13 domains renew in 2031 or 2035. Those renewals will fail, and the domains could lapse, unless the card on file is updated.</w:t>
      </w:r>
    </w:p>
    <w:p>
      <w:pPr>
        <w:pStyle w:val="ListParagraph"/>
        <w:numPr>
          <w:ilvl w:val="0"/>
          <w:numId w:val="2"/>
        </w:numPr>
        <w:spacing w:after="120"/>
      </w:pPr>
      <w:r>
        <w:rPr>
          <w:rFonts w:ascii="Times New Roman" w:cs="Times New Roman" w:eastAsia="Times New Roman" w:hAnsi="Times New Roman"/>
          <w:b/>
          <w:bCs/>
          <w:sz w:val="24"/>
          <w:szCs w:val="24"/>
        </w:rPr>
        <w:t xml:space="preserve">Confirm the “animalwellfareapproved” spelling. </w:t>
      </w:r>
      <w:r>
        <w:rPr>
          <w:rFonts w:ascii="Times New Roman" w:cs="Times New Roman" w:eastAsia="Times New Roman" w:hAnsi="Times New Roman"/>
          <w:sz w:val="24"/>
          <w:szCs w:val="24"/>
        </w:rPr>
        <w:t xml:space="preserve">The usual spelling is “welfare” with one “l.” Confirm the double-“l” registration is intentional, and consider whether the correctly spelled domain should also be held.</w:t>
      </w:r>
    </w:p>
    <w:p>
      <w:pPr>
        <w:pStyle w:val="ListParagraph"/>
        <w:numPr>
          <w:ilvl w:val="0"/>
          <w:numId w:val="2"/>
        </w:numPr>
        <w:spacing w:after="120"/>
      </w:pPr>
      <w:r>
        <w:rPr>
          <w:rFonts w:ascii="Times New Roman" w:cs="Times New Roman" w:eastAsia="Times New Roman" w:hAnsi="Times New Roman"/>
          <w:b/>
          <w:bCs/>
          <w:sz w:val="24"/>
          <w:szCs w:val="24"/>
        </w:rPr>
        <w:t xml:space="preserve">Assign or cancel the unassigned security plan. </w:t>
      </w:r>
      <w:r>
        <w:rPr>
          <w:rFonts w:ascii="Times New Roman" w:cs="Times New Roman" w:eastAsia="Times New Roman" w:hAnsi="Times New Roman"/>
          <w:sz w:val="24"/>
          <w:szCs w:val="24"/>
        </w:rPr>
        <w:t xml:space="preserve">The Website Security Basic plan labeled “New Account” isn’t tied to a domain.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2026-10-28T16:13:51.679Z</dcterms:created>
  <dcterms:modified xsi:type="dcterms:W3CDTF">2026-10-28T16:13:51.688Z</dcterms:modified>
</cp:coreProperties>
</file>

<file path=docProps/custom.xml><?xml version="1.0" encoding="utf-8"?>
<Properties xmlns="http://schemas.openxmlformats.org/officeDocument/2006/custom-properties" xmlns:vt="http://schemas.openxmlformats.org/officeDocument/2006/docPropsVTypes"/>
</file>