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2026 Judges Court Address List</w:t>
      </w:r>
    </w:p>
    <w:p>
      <w:pPr>
        <w:pBdr>
          <w:bottom w:val="single" w:color="808080" w:sz="6" w:space="4"/>
        </w:pBdr>
        <w:spacing w:after="240"/>
      </w:pPr>
      <w:r>
        <w:rPr>
          <w:rFonts w:ascii="Arial" w:cs="Arial" w:eastAsia="Arial" w:hAnsi="Arial"/>
          <w:color w:val="404040"/>
          <w:sz w:val="22"/>
          <w:szCs w:val="22"/>
        </w:rPr>
        <w:t xml:space="preserve">Revision Notes — October 30, 2026</w:t>
      </w:r>
    </w:p>
    <w:p>
      <w:pPr>
        <w:spacing w:after="120"/>
      </w:pPr>
      <w:r>
        <w:rPr>
          <w:rFonts w:ascii="Arial" w:cs="Arial" w:eastAsia="Arial" w:hAnsi="Arial"/>
          <w:sz w:val="22"/>
          <w:szCs w:val="22"/>
        </w:rPr>
        <w:t xml:space="preserve">Source file: Final_2026_Judges_Court_Addresses_NY_ONLY.xlsx. Revised file: Final_2026_Judges_Court_Addresses_NY_ONLY_DRAFT-FOR-REVIEW.xlsx. A cell-by-cell list of every change is in the companion file Final_2026_Judges_Court_Addresses_NY_ONLY_DRAFT-FOR-REVIEW.xlsx.changes.csv.</w:t>
      </w:r>
    </w:p>
    <w:p>
      <w:pPr>
        <w:pStyle w:val="Heading2"/>
        <w:spacing w:after="120" w:before="240"/>
      </w:pPr>
      <w:r>
        <w:rPr>
          <w:rFonts w:ascii="Arial" w:cs="Arial" w:eastAsia="Arial" w:hAnsi="Arial"/>
          <w:b/>
          <w:bCs/>
          <w:sz w:val="24"/>
          <w:szCs w:val="24"/>
        </w:rPr>
        <w:t xml:space="preserve">1. Open Items</w:t>
      </w:r>
    </w:p>
    <w:p>
      <w:pPr>
        <w:pStyle w:val="ListParagraph"/>
        <w:numPr>
          <w:ilvl w:val="0"/>
          <w:numId w:val="2"/>
        </w:numPr>
        <w:spacing w:after="80"/>
      </w:pPr>
      <w:r>
        <w:rPr>
          <w:rFonts w:ascii="Arial" w:cs="Arial" w:eastAsia="Arial" w:hAnsi="Arial"/>
          <w:sz w:val="22"/>
          <w:szCs w:val="22"/>
        </w:rPr>
        <w:t xml:space="preserve">Missing addresses (273 rows). Most SDNY and EDNY rows, nearly all D.N.J., D. Conn., N.D. Ill., D.D.C., Supreme Court, and N.Y. Court of Appeals rows, plus several E.D. Tex. and E.D. Pa. rows, have no street, city, state, or zip. Rows 143, 180, and 184 have the state only. The original workbook with the courthouse-address tab is needed to fill these in.</w:t>
      </w:r>
    </w:p>
    <w:p>
      <w:pPr>
        <w:pStyle w:val="ListParagraph"/>
        <w:numPr>
          <w:ilvl w:val="0"/>
          <w:numId w:val="2"/>
        </w:numPr>
        <w:spacing w:after="80"/>
      </w:pPr>
      <w:r>
        <w:rPr>
          <w:rFonts w:ascii="Arial" w:cs="Arial" w:eastAsia="Arial" w:hAnsi="Arial"/>
          <w:sz w:val="22"/>
          <w:szCs w:val="22"/>
        </w:rPr>
        <w:t xml:space="preserve">Row 53 (Gary R. Jones, SDNY Magistrate Judge). Address is 401 SE First Avenue, Gainesville, FL. Confirm this is intended.</w:t>
      </w:r>
    </w:p>
    <w:p>
      <w:pPr>
        <w:pStyle w:val="ListParagraph"/>
        <w:numPr>
          <w:ilvl w:val="0"/>
          <w:numId w:val="2"/>
        </w:numPr>
        <w:spacing w:after="80"/>
      </w:pPr>
      <w:r>
        <w:rPr>
          <w:rFonts w:ascii="Arial" w:cs="Arial" w:eastAsia="Arial" w:hAnsi="Arial"/>
          <w:sz w:val="22"/>
          <w:szCs w:val="22"/>
        </w:rPr>
        <w:t xml:space="preserve">Rows 305 and 321 (Amarillo). Row 305 reads "205 SE 5th Avenue, Room 123"; row 321 reads "205 SE 5th Street." One is wrong; neither was changed.</w:t>
      </w:r>
    </w:p>
    <w:p>
      <w:pPr>
        <w:pStyle w:val="ListParagraph"/>
        <w:numPr>
          <w:ilvl w:val="0"/>
          <w:numId w:val="2"/>
        </w:numPr>
        <w:spacing w:after="80"/>
      </w:pPr>
      <w:r>
        <w:rPr>
          <w:rFonts w:ascii="Arial" w:cs="Arial" w:eastAsia="Arial" w:hAnsi="Arial"/>
          <w:sz w:val="22"/>
          <w:szCs w:val="22"/>
        </w:rPr>
        <w:t xml:space="preserve">Rows 425 to 448 (Fifth Circuit). Building reads "F. Edward Herbert Building." Likely "Hébert"; left unchanged until confirmed.</w:t>
      </w:r>
    </w:p>
    <w:p>
      <w:pPr>
        <w:pStyle w:val="ListParagraph"/>
        <w:numPr>
          <w:ilvl w:val="0"/>
          <w:numId w:val="2"/>
        </w:numPr>
        <w:spacing w:after="80"/>
      </w:pPr>
      <w:r>
        <w:rPr>
          <w:rFonts w:ascii="Arial" w:cs="Arial" w:eastAsia="Arial" w:hAnsi="Arial"/>
          <w:sz w:val="22"/>
          <w:szCs w:val="22"/>
        </w:rPr>
        <w:t xml:space="preserve">Scope. The file is titled "NY ONLY" but also lists D.N.J., D. Conn., E.D. Pa., N.D. Ill., D.D.C., N.D. Tex., E.D. Tex., the Supreme Court, and eight circuits. N.D.N.Y. and W.D.N.Y. are not included. Decide whether to keep all rows and rename the file, or trim to New York courts.</w:t>
      </w:r>
    </w:p>
    <w:p>
      <w:pPr>
        <w:pStyle w:val="ListParagraph"/>
        <w:numPr>
          <w:ilvl w:val="0"/>
          <w:numId w:val="2"/>
        </w:numPr>
        <w:spacing w:after="80"/>
      </w:pPr>
      <w:r>
        <w:rPr>
          <w:rFonts w:ascii="Arial" w:cs="Arial" w:eastAsia="Arial" w:hAnsi="Arial"/>
          <w:sz w:val="22"/>
          <w:szCs w:val="22"/>
        </w:rPr>
        <w:t xml:space="preserve">Judge roster. Titles, senior status, and recent appointments have not been checked against the court websites.</w:t>
      </w:r>
    </w:p>
    <w:p>
      <w:pPr>
        <w:pStyle w:val="Heading2"/>
        <w:spacing w:after="120" w:before="240"/>
      </w:pPr>
      <w:r>
        <w:rPr>
          <w:rFonts w:ascii="Arial" w:cs="Arial" w:eastAsia="Arial" w:hAnsi="Arial"/>
          <w:b/>
          <w:bCs/>
          <w:sz w:val="24"/>
          <w:szCs w:val="24"/>
        </w:rPr>
        <w:t xml:space="preserve">2. Changes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cantSplit/>
          <w:tblHeader/>
        </w:trPr>
        <w:tc>
          <w:tcPr>
            <w:tcW w:type="dxa" w:w="2400"/>
            <w:shd w:fill="D9D9D9" w:val="clear"/>
            <w:tcMar>
              <w:top w:type="dxa" w:w="60"/>
              <w:left w:type="dxa" w:w="100"/>
              <w:bottom w:type="dxa" w:w="60"/>
              <w:right w:type="dxa" w:w="100"/>
            </w:tcMar>
          </w:tcPr>
          <w:p>
            <w:r>
              <w:rPr>
                <w:rFonts w:ascii="Arial" w:cs="Arial" w:eastAsia="Arial" w:hAnsi="Arial"/>
                <w:b/>
                <w:bCs/>
                <w:sz w:val="20"/>
                <w:szCs w:val="20"/>
              </w:rPr>
              <w:t xml:space="preserve">Change</w:t>
            </w:r>
          </w:p>
        </w:tc>
        <w:tc>
          <w:tcPr>
            <w:tcW w:type="dxa" w:w="1500"/>
            <w:shd w:fill="D9D9D9" w:val="clear"/>
            <w:tcMar>
              <w:top w:type="dxa" w:w="60"/>
              <w:left w:type="dxa" w:w="100"/>
              <w:bottom w:type="dxa" w:w="60"/>
              <w:right w:type="dxa" w:w="100"/>
            </w:tcMar>
          </w:tcPr>
          <w:p>
            <w:r>
              <w:rPr>
                <w:rFonts w:ascii="Arial" w:cs="Arial" w:eastAsia="Arial" w:hAnsi="Arial"/>
                <w:b/>
                <w:bCs/>
                <w:sz w:val="20"/>
                <w:szCs w:val="20"/>
              </w:rPr>
              <w:t xml:space="preserve">Rows / cells</w:t>
            </w:r>
          </w:p>
        </w:tc>
        <w:tc>
          <w:tcPr>
            <w:tcW w:type="dxa" w:w="5460"/>
            <w:shd w:fill="D9D9D9" w:val="clear"/>
            <w:tcMar>
              <w:top w:type="dxa" w:w="60"/>
              <w:left w:type="dxa" w:w="100"/>
              <w:bottom w:type="dxa" w:w="60"/>
              <w:right w:type="dxa" w:w="100"/>
            </w:tcMar>
          </w:tcPr>
          <w:p>
            <w:r>
              <w:rPr>
                <w:rFonts w:ascii="Arial" w:cs="Arial" w:eastAsia="Arial" w:hAnsi="Arial"/>
                <w:b/>
                <w:bCs/>
                <w:sz w:val="20"/>
                <w:szCs w:val="20"/>
              </w:rPr>
              <w:t xml:space="preserve">Detail</w:t>
            </w:r>
          </w:p>
        </w:tc>
      </w:tr>
      <w:tr>
        <w:trPr>
          <w:cantSplit/>
          <w:tblHeader w:val="false"/>
        </w:trPr>
        <w:tc>
          <w:tcPr>
            <w:tcW w:type="dxa" w:w="2400"/>
            <w:tcMar>
              <w:top w:type="dxa" w:w="60"/>
              <w:left w:type="dxa" w:w="100"/>
              <w:bottom w:type="dxa" w:w="60"/>
              <w:right w:type="dxa" w:w="100"/>
            </w:tcMar>
          </w:tcPr>
          <w:p>
            <w:r>
              <w:rPr>
                <w:rFonts w:ascii="Arial" w:cs="Arial" w:eastAsia="Arial" w:hAnsi="Arial"/>
                <w:b w:val="false"/>
                <w:bCs w:val="false"/>
                <w:sz w:val="20"/>
                <w:szCs w:val="20"/>
              </w:rPr>
              <w:t xml:space="preserve">Broken address formulas removed</w:t>
            </w:r>
          </w:p>
        </w:tc>
        <w:tc>
          <w:tcPr>
            <w:tcW w:type="dxa" w:w="1500"/>
            <w:tcMar>
              <w:top w:type="dxa" w:w="60"/>
              <w:left w:type="dxa" w:w="100"/>
              <w:bottom w:type="dxa" w:w="60"/>
              <w:right w:type="dxa" w:w="100"/>
            </w:tcMar>
          </w:tcPr>
          <w:p>
            <w:r>
              <w:rPr>
                <w:rFonts w:ascii="Arial" w:cs="Arial" w:eastAsia="Arial" w:hAnsi="Arial"/>
                <w:b w:val="false"/>
                <w:bCs w:val="false"/>
                <w:sz w:val="20"/>
                <w:szCs w:val="20"/>
              </w:rPr>
              <w:t xml:space="preserve">273 rows (1,089 cells)</w:t>
            </w:r>
          </w:p>
        </w:tc>
        <w:tc>
          <w:tcPr>
            <w:tcW w:type="dxa" w:w="5460"/>
            <w:tcMar>
              <w:top w:type="dxa" w:w="60"/>
              <w:left w:type="dxa" w:w="100"/>
              <w:bottom w:type="dxa" w:w="60"/>
              <w:right w:type="dxa" w:w="100"/>
            </w:tcMar>
          </w:tcPr>
          <w:p>
            <w:r>
              <w:rPr>
                <w:rFonts w:ascii="Arial" w:cs="Arial" w:eastAsia="Arial" w:hAnsi="Arial"/>
                <w:b w:val="false"/>
                <w:bCs w:val="false"/>
                <w:sz w:val="20"/>
                <w:szCs w:val="20"/>
              </w:rPr>
              <w:t xml:space="preserve">Street, City, State, and Zip used an XLOOKUP pointing to a deleted range and displayed #REF!. Those cells are now blank. The addresses cannot be restored from this file.</w:t>
            </w:r>
          </w:p>
        </w:tc>
      </w:tr>
      <w:tr>
        <w:trPr>
          <w:cantSplit/>
          <w:tblHeader w:val="false"/>
        </w:trPr>
        <w:tc>
          <w:tcPr>
            <w:tcW w:type="dxa" w:w="2400"/>
            <w:tcMar>
              <w:top w:type="dxa" w:w="60"/>
              <w:left w:type="dxa" w:w="100"/>
              <w:bottom w:type="dxa" w:w="60"/>
              <w:right w:type="dxa" w:w="100"/>
            </w:tcMar>
          </w:tcPr>
          <w:p>
            <w:r>
              <w:rPr>
                <w:rFonts w:ascii="Arial" w:cs="Arial" w:eastAsia="Arial" w:hAnsi="Arial"/>
                <w:b w:val="false"/>
                <w:bCs w:val="false"/>
                <w:sz w:val="20"/>
                <w:szCs w:val="20"/>
              </w:rPr>
              <w:t xml:space="preserve">Circuit court label</w:t>
            </w:r>
          </w:p>
        </w:tc>
        <w:tc>
          <w:tcPr>
            <w:tcW w:type="dxa" w:w="1500"/>
            <w:tcMar>
              <w:top w:type="dxa" w:w="60"/>
              <w:left w:type="dxa" w:w="100"/>
              <w:bottom w:type="dxa" w:w="60"/>
              <w:right w:type="dxa" w:w="100"/>
            </w:tcMar>
          </w:tcPr>
          <w:p>
            <w:r>
              <w:rPr>
                <w:rFonts w:ascii="Arial" w:cs="Arial" w:eastAsia="Arial" w:hAnsi="Arial"/>
                <w:b w:val="false"/>
                <w:bCs w:val="false"/>
                <w:sz w:val="20"/>
                <w:szCs w:val="20"/>
              </w:rPr>
              <w:t xml:space="preserve">187 rows</w:t>
            </w:r>
          </w:p>
        </w:tc>
        <w:tc>
          <w:tcPr>
            <w:tcW w:type="dxa" w:w="5460"/>
            <w:tcMar>
              <w:top w:type="dxa" w:w="60"/>
              <w:left w:type="dxa" w:w="100"/>
              <w:bottom w:type="dxa" w:w="60"/>
              <w:right w:type="dxa" w:w="100"/>
            </w:tcMar>
          </w:tcPr>
          <w:p>
            <w:r>
              <w:rPr>
                <w:rFonts w:ascii="Arial" w:cs="Arial" w:eastAsia="Arial" w:hAnsi="Arial"/>
                <w:b w:val="false"/>
                <w:bCs w:val="false"/>
                <w:sz w:val="20"/>
                <w:szCs w:val="20"/>
              </w:rPr>
              <w:t xml:space="preserve">Column A changed from "Federal Circuit" to "U.S. Court of Appeals." These rows are the 1st through 8th and 11th Circuits, not the Federal Circuit.</w:t>
            </w:r>
          </w:p>
        </w:tc>
      </w:tr>
      <w:tr>
        <w:trPr>
          <w:cantSplit/>
          <w:tblHeader w:val="false"/>
        </w:trPr>
        <w:tc>
          <w:tcPr>
            <w:tcW w:type="dxa" w:w="2400"/>
            <w:tcMar>
              <w:top w:type="dxa" w:w="60"/>
              <w:left w:type="dxa" w:w="100"/>
              <w:bottom w:type="dxa" w:w="60"/>
              <w:right w:type="dxa" w:w="100"/>
            </w:tcMar>
          </w:tcPr>
          <w:p>
            <w:r>
              <w:rPr>
                <w:rFonts w:ascii="Arial" w:cs="Arial" w:eastAsia="Arial" w:hAnsi="Arial"/>
                <w:b w:val="false"/>
                <w:bCs w:val="false"/>
                <w:sz w:val="20"/>
                <w:szCs w:val="20"/>
              </w:rPr>
              <w:t xml:space="preserve">Circuit address layout</w:t>
            </w:r>
          </w:p>
        </w:tc>
        <w:tc>
          <w:tcPr>
            <w:tcW w:type="dxa" w:w="1500"/>
            <w:tcMar>
              <w:top w:type="dxa" w:w="60"/>
              <w:left w:type="dxa" w:w="100"/>
              <w:bottom w:type="dxa" w:w="60"/>
              <w:right w:type="dxa" w:w="100"/>
            </w:tcMar>
          </w:tcPr>
          <w:p>
            <w:r>
              <w:rPr>
                <w:rFonts w:ascii="Arial" w:cs="Arial" w:eastAsia="Arial" w:hAnsi="Arial"/>
                <w:b w:val="false"/>
                <w:bCs w:val="false"/>
                <w:sz w:val="20"/>
                <w:szCs w:val="20"/>
              </w:rPr>
              <w:t xml:space="preserve">169 rows</w:t>
            </w:r>
          </w:p>
        </w:tc>
        <w:tc>
          <w:tcPr>
            <w:tcW w:type="dxa" w:w="5460"/>
            <w:tcMar>
              <w:top w:type="dxa" w:w="60"/>
              <w:left w:type="dxa" w:w="100"/>
              <w:bottom w:type="dxa" w:w="60"/>
              <w:right w:type="dxa" w:w="100"/>
            </w:tcMar>
          </w:tcPr>
          <w:p>
            <w:r>
              <w:rPr>
                <w:rFonts w:ascii="Arial" w:cs="Arial" w:eastAsia="Arial" w:hAnsi="Arial"/>
                <w:b w:val="false"/>
                <w:bCs w:val="false"/>
                <w:sz w:val="20"/>
                <w:szCs w:val="20"/>
              </w:rPr>
              <w:t xml:space="preserve">Column E now holds the street address and column F the building and suite, matching the district-court rows. Fourth Circuit rows already followed this layout.</w:t>
            </w:r>
          </w:p>
        </w:tc>
      </w:tr>
      <w:tr>
        <w:trPr>
          <w:cantSplit/>
          <w:tblHeader w:val="false"/>
        </w:trPr>
        <w:tc>
          <w:tcPr>
            <w:tcW w:type="dxa" w:w="2400"/>
            <w:tcMar>
              <w:top w:type="dxa" w:w="60"/>
              <w:left w:type="dxa" w:w="100"/>
              <w:bottom w:type="dxa" w:w="60"/>
              <w:right w:type="dxa" w:w="100"/>
            </w:tcMar>
          </w:tcPr>
          <w:p>
            <w:r>
              <w:rPr>
                <w:rFonts w:ascii="Arial" w:cs="Arial" w:eastAsia="Arial" w:hAnsi="Arial"/>
                <w:b w:val="false"/>
                <w:bCs w:val="false"/>
                <w:sz w:val="20"/>
                <w:szCs w:val="20"/>
              </w:rPr>
              <w:t xml:space="preserve">Zip codes</w:t>
            </w:r>
          </w:p>
        </w:tc>
        <w:tc>
          <w:tcPr>
            <w:tcW w:type="dxa" w:w="1500"/>
            <w:tcMar>
              <w:top w:type="dxa" w:w="60"/>
              <w:left w:type="dxa" w:w="100"/>
              <w:bottom w:type="dxa" w:w="60"/>
              <w:right w:type="dxa" w:w="100"/>
            </w:tcMar>
          </w:tcPr>
          <w:p>
            <w:r>
              <w:rPr>
                <w:rFonts w:ascii="Arial" w:cs="Arial" w:eastAsia="Arial" w:hAnsi="Arial"/>
                <w:b w:val="false"/>
                <w:bCs w:val="false"/>
                <w:sz w:val="20"/>
                <w:szCs w:val="20"/>
              </w:rPr>
              <w:t xml:space="preserve">164 cells</w:t>
            </w:r>
          </w:p>
        </w:tc>
        <w:tc>
          <w:tcPr>
            <w:tcW w:type="dxa" w:w="5460"/>
            <w:tcMar>
              <w:top w:type="dxa" w:w="60"/>
              <w:left w:type="dxa" w:w="100"/>
              <w:bottom w:type="dxa" w:w="60"/>
              <w:right w:type="dxa" w:w="100"/>
            </w:tcMar>
          </w:tcPr>
          <w:p>
            <w:r>
              <w:rPr>
                <w:rFonts w:ascii="Arial" w:cs="Arial" w:eastAsia="Arial" w:hAnsi="Arial"/>
                <w:b w:val="false"/>
                <w:bCs w:val="false"/>
                <w:sz w:val="20"/>
                <w:szCs w:val="20"/>
              </w:rPr>
              <w:t xml:space="preserve">Converted from numbers to text so leading zeros display (e.g., Boston 02210).</w:t>
            </w:r>
          </w:p>
        </w:tc>
      </w:tr>
      <w:tr>
        <w:trPr>
          <w:cantSplit/>
          <w:tblHeader w:val="false"/>
        </w:trPr>
        <w:tc>
          <w:tcPr>
            <w:tcW w:type="dxa" w:w="2400"/>
            <w:tcMar>
              <w:top w:type="dxa" w:w="60"/>
              <w:left w:type="dxa" w:w="100"/>
              <w:bottom w:type="dxa" w:w="60"/>
              <w:right w:type="dxa" w:w="100"/>
            </w:tcMar>
          </w:tcPr>
          <w:p>
            <w:r>
              <w:rPr>
                <w:rFonts w:ascii="Arial" w:cs="Arial" w:eastAsia="Arial" w:hAnsi="Arial"/>
                <w:b w:val="false"/>
                <w:bCs w:val="false"/>
                <w:sz w:val="20"/>
                <w:szCs w:val="20"/>
              </w:rPr>
              <w:t xml:space="preserve">E.D. Pa. court name</w:t>
            </w:r>
          </w:p>
        </w:tc>
        <w:tc>
          <w:tcPr>
            <w:tcW w:type="dxa" w:w="1500"/>
            <w:tcMar>
              <w:top w:type="dxa" w:w="60"/>
              <w:left w:type="dxa" w:w="100"/>
              <w:bottom w:type="dxa" w:w="60"/>
              <w:right w:type="dxa" w:w="100"/>
            </w:tcMar>
          </w:tcPr>
          <w:p>
            <w:r>
              <w:rPr>
                <w:rFonts w:ascii="Arial" w:cs="Arial" w:eastAsia="Arial" w:hAnsi="Arial"/>
                <w:b w:val="false"/>
                <w:bCs w:val="false"/>
                <w:sz w:val="20"/>
                <w:szCs w:val="20"/>
              </w:rPr>
              <w:t xml:space="preserve">35 rows</w:t>
            </w:r>
          </w:p>
        </w:tc>
        <w:tc>
          <w:tcPr>
            <w:tcW w:type="dxa" w:w="5460"/>
            <w:tcMar>
              <w:top w:type="dxa" w:w="60"/>
              <w:left w:type="dxa" w:w="100"/>
              <w:bottom w:type="dxa" w:w="60"/>
              <w:right w:type="dxa" w:w="100"/>
            </w:tcMar>
          </w:tcPr>
          <w:p>
            <w:r>
              <w:rPr>
                <w:rFonts w:ascii="Arial" w:cs="Arial" w:eastAsia="Arial" w:hAnsi="Arial"/>
                <w:b w:val="false"/>
                <w:bCs w:val="false"/>
                <w:sz w:val="20"/>
                <w:szCs w:val="20"/>
              </w:rPr>
              <w:t xml:space="preserve">Room numbers had been folded into the court name (e.g., "10614 U.S. Courthouse"). Court name is now "U.S. Courthouse"; the room number moved to column F where it was not already there.</w:t>
            </w:r>
          </w:p>
        </w:tc>
      </w:tr>
      <w:tr>
        <w:trPr>
          <w:cantSplit/>
          <w:tblHeader w:val="false"/>
        </w:trPr>
        <w:tc>
          <w:tcPr>
            <w:tcW w:type="dxa" w:w="2400"/>
            <w:tcMar>
              <w:top w:type="dxa" w:w="60"/>
              <w:left w:type="dxa" w:w="100"/>
              <w:bottom w:type="dxa" w:w="60"/>
              <w:right w:type="dxa" w:w="100"/>
            </w:tcMar>
          </w:tcPr>
          <w:p>
            <w:r>
              <w:rPr>
                <w:rFonts w:ascii="Arial" w:cs="Arial" w:eastAsia="Arial" w:hAnsi="Arial"/>
                <w:b w:val="false"/>
                <w:bCs w:val="false"/>
                <w:sz w:val="20"/>
                <w:szCs w:val="20"/>
              </w:rPr>
              <w:t xml:space="preserve">Judge titles</w:t>
            </w:r>
          </w:p>
        </w:tc>
        <w:tc>
          <w:tcPr>
            <w:tcW w:type="dxa" w:w="1500"/>
            <w:tcMar>
              <w:top w:type="dxa" w:w="60"/>
              <w:left w:type="dxa" w:w="100"/>
              <w:bottom w:type="dxa" w:w="60"/>
              <w:right w:type="dxa" w:w="100"/>
            </w:tcMar>
          </w:tcPr>
          <w:p>
            <w:r>
              <w:rPr>
                <w:rFonts w:ascii="Arial" w:cs="Arial" w:eastAsia="Arial" w:hAnsi="Arial"/>
                <w:b w:val="false"/>
                <w:bCs w:val="false"/>
                <w:sz w:val="20"/>
                <w:szCs w:val="20"/>
              </w:rPr>
              <w:t xml:space="preserve">13 rows</w:t>
            </w:r>
          </w:p>
        </w:tc>
        <w:tc>
          <w:tcPr>
            <w:tcW w:type="dxa" w:w="5460"/>
            <w:tcMar>
              <w:top w:type="dxa" w:w="60"/>
              <w:left w:type="dxa" w:w="100"/>
              <w:bottom w:type="dxa" w:w="60"/>
              <w:right w:type="dxa" w:w="100"/>
            </w:tcMar>
          </w:tcPr>
          <w:p>
            <w:r>
              <w:rPr>
                <w:rFonts w:ascii="Arial" w:cs="Arial" w:eastAsia="Arial" w:hAnsi="Arial"/>
                <w:b w:val="false"/>
                <w:bCs w:val="false"/>
                <w:sz w:val="20"/>
                <w:szCs w:val="20"/>
              </w:rPr>
              <w:t xml:space="preserve">D.D.C., N.D. Tex., and E.D. Tex. "Chief Judge" and "Senior Judge" changed to "Chief District Judge" and "Senior District Judge" to match the rest of the list.</w:t>
            </w:r>
          </w:p>
        </w:tc>
      </w:tr>
      <w:tr>
        <w:trPr>
          <w:cantSplit/>
          <w:tblHeader w:val="false"/>
        </w:trPr>
        <w:tc>
          <w:tcPr>
            <w:tcW w:type="dxa" w:w="2400"/>
            <w:tcMar>
              <w:top w:type="dxa" w:w="60"/>
              <w:left w:type="dxa" w:w="100"/>
              <w:bottom w:type="dxa" w:w="60"/>
              <w:right w:type="dxa" w:w="100"/>
            </w:tcMar>
          </w:tcPr>
          <w:p>
            <w:r>
              <w:rPr>
                <w:rFonts w:ascii="Arial" w:cs="Arial" w:eastAsia="Arial" w:hAnsi="Arial"/>
                <w:b w:val="false"/>
                <w:bCs w:val="false"/>
                <w:sz w:val="20"/>
                <w:szCs w:val="20"/>
              </w:rPr>
              <w:t xml:space="preserve">Typo</w:t>
            </w:r>
          </w:p>
        </w:tc>
        <w:tc>
          <w:tcPr>
            <w:tcW w:type="dxa" w:w="1500"/>
            <w:tcMar>
              <w:top w:type="dxa" w:w="60"/>
              <w:left w:type="dxa" w:w="100"/>
              <w:bottom w:type="dxa" w:w="60"/>
              <w:right w:type="dxa" w:w="100"/>
            </w:tcMar>
          </w:tcPr>
          <w:p>
            <w:r>
              <w:rPr>
                <w:rFonts w:ascii="Arial" w:cs="Arial" w:eastAsia="Arial" w:hAnsi="Arial"/>
                <w:b w:val="false"/>
                <w:bCs w:val="false"/>
                <w:sz w:val="20"/>
                <w:szCs w:val="20"/>
              </w:rPr>
              <w:t xml:space="preserve">Row 175</w:t>
            </w:r>
          </w:p>
        </w:tc>
        <w:tc>
          <w:tcPr>
            <w:tcW w:type="dxa" w:w="5460"/>
            <w:tcMar>
              <w:top w:type="dxa" w:w="60"/>
              <w:left w:type="dxa" w:w="100"/>
              <w:bottom w:type="dxa" w:w="60"/>
              <w:right w:type="dxa" w:w="100"/>
            </w:tcMar>
          </w:tcPr>
          <w:p>
            <w:r>
              <w:rPr>
                <w:rFonts w:ascii="Arial" w:cs="Arial" w:eastAsia="Arial" w:hAnsi="Arial"/>
                <w:b w:val="false"/>
                <w:bCs w:val="false"/>
                <w:sz w:val="20"/>
                <w:szCs w:val="20"/>
              </w:rPr>
              <w:t xml:space="preserve">"Courtoom 2" corrected to "Courtroom 2."</w:t>
            </w:r>
          </w:p>
        </w:tc>
      </w:tr>
      <w:tr>
        <w:trPr>
          <w:cantSplit/>
          <w:tblHeader w:val="false"/>
        </w:trPr>
        <w:tc>
          <w:tcPr>
            <w:tcW w:type="dxa" w:w="2400"/>
            <w:tcMar>
              <w:top w:type="dxa" w:w="60"/>
              <w:left w:type="dxa" w:w="100"/>
              <w:bottom w:type="dxa" w:w="60"/>
              <w:right w:type="dxa" w:w="100"/>
            </w:tcMar>
          </w:tcPr>
          <w:p>
            <w:r>
              <w:rPr>
                <w:rFonts w:ascii="Arial" w:cs="Arial" w:eastAsia="Arial" w:hAnsi="Arial"/>
                <w:b w:val="false"/>
                <w:bCs w:val="false"/>
                <w:sz w:val="20"/>
                <w:szCs w:val="20"/>
              </w:rPr>
              <w:t xml:space="preserve">Empty row</w:t>
            </w:r>
          </w:p>
        </w:tc>
        <w:tc>
          <w:tcPr>
            <w:tcW w:type="dxa" w:w="1500"/>
            <w:tcMar>
              <w:top w:type="dxa" w:w="60"/>
              <w:left w:type="dxa" w:w="100"/>
              <w:bottom w:type="dxa" w:w="60"/>
              <w:right w:type="dxa" w:w="100"/>
            </w:tcMar>
          </w:tcPr>
          <w:p>
            <w:r>
              <w:rPr>
                <w:rFonts w:ascii="Arial" w:cs="Arial" w:eastAsia="Arial" w:hAnsi="Arial"/>
                <w:b w:val="false"/>
                <w:bCs w:val="false"/>
                <w:sz w:val="20"/>
                <w:szCs w:val="20"/>
              </w:rPr>
              <w:t xml:space="preserve">Row 531</w:t>
            </w:r>
          </w:p>
        </w:tc>
        <w:tc>
          <w:tcPr>
            <w:tcW w:type="dxa" w:w="5460"/>
            <w:tcMar>
              <w:top w:type="dxa" w:w="60"/>
              <w:left w:type="dxa" w:w="100"/>
              <w:bottom w:type="dxa" w:w="60"/>
              <w:right w:type="dxa" w:w="100"/>
            </w:tcMar>
          </w:tcPr>
          <w:p>
            <w:r>
              <w:rPr>
                <w:rFonts w:ascii="Arial" w:cs="Arial" w:eastAsia="Arial" w:hAnsi="Arial"/>
                <w:b w:val="false"/>
                <w:bCs w:val="false"/>
                <w:sz w:val="20"/>
                <w:szCs w:val="20"/>
              </w:rPr>
              <w:t xml:space="preserve">Blank trailing row deleted.</w:t>
            </w:r>
          </w:p>
        </w:tc>
      </w:tr>
    </w:tbl>
    <w:p>
      <w:pPr>
        <w:pStyle w:val="Heading2"/>
        <w:spacing w:after="120" w:before="240"/>
      </w:pPr>
      <w:r>
        <w:rPr>
          <w:rFonts w:ascii="Arial" w:cs="Arial" w:eastAsia="Arial" w:hAnsi="Arial"/>
          <w:b/>
          <w:bCs/>
          <w:sz w:val="24"/>
          <w:szCs w:val="24"/>
        </w:rPr>
        <w:t xml:space="preserve">3. Left As Is</w:t>
      </w:r>
    </w:p>
    <w:p>
      <w:pPr>
        <w:pStyle w:val="ListParagraph"/>
        <w:numPr>
          <w:ilvl w:val="0"/>
          <w:numId w:val="2"/>
        </w:numPr>
        <w:spacing w:after="80"/>
      </w:pPr>
      <w:r>
        <w:rPr>
          <w:rFonts w:ascii="Arial" w:cs="Arial" w:eastAsia="Arial" w:hAnsi="Arial"/>
          <w:sz w:val="22"/>
          <w:szCs w:val="22"/>
        </w:rPr>
        <w:t xml:space="preserve">Room formats within EDNY ("N 626," "Courtroom 10B S," "1214 South," "304N") and D.N.J. ("PO 8," "PO No. 2," "PO 05," "#4, PO") were left as entered because the intended meaning is not always clear.</w:t>
      </w:r>
    </w:p>
    <w:p>
      <w:pPr>
        <w:pStyle w:val="ListParagraph"/>
        <w:numPr>
          <w:ilvl w:val="0"/>
          <w:numId w:val="2"/>
        </w:numPr>
        <w:spacing w:after="80"/>
      </w:pPr>
      <w:r>
        <w:rPr>
          <w:rFonts w:ascii="Arial" w:cs="Arial" w:eastAsia="Arial" w:hAnsi="Arial"/>
          <w:sz w:val="22"/>
          <w:szCs w:val="22"/>
        </w:rPr>
        <w:t xml:space="preserve">Fifteen judges with no room or courtroom listed (rows 49, 54, 75, 92, 143, 147, 162, 163, 165, 167, 326, 330, 333, 334, 338), plus the Supreme Court, N.Y. Court of Appeals, and D.D.C. rows.</w:t>
      </w:r>
    </w:p>
    <w:p>
      <w:pPr>
        <w:pStyle w:val="ListParagraph"/>
        <w:numPr>
          <w:ilvl w:val="0"/>
          <w:numId w:val="2"/>
        </w:numPr>
        <w:spacing w:after="80"/>
      </w:pPr>
      <w:r>
        <w:rPr>
          <w:rFonts w:ascii="Arial" w:cs="Arial" w:eastAsia="Arial" w:hAnsi="Arial"/>
          <w:sz w:val="22"/>
          <w:szCs w:val="22"/>
        </w:rPr>
        <w:t xml:space="preserve">Column J (Circuit No.) remains blank for district-court rows.</w:t>
      </w:r>
    </w:p>
    <w:p>
      <w:pPr>
        <w:pStyle w:val="ListParagraph"/>
        <w:numPr>
          <w:ilvl w:val="0"/>
          <w:numId w:val="2"/>
        </w:numPr>
        <w:spacing w:after="80"/>
      </w:pPr>
      <w:r>
        <w:rPr>
          <w:rFonts w:ascii="Arial" w:cs="Arial" w:eastAsia="Arial" w:hAnsi="Arial"/>
          <w:sz w:val="22"/>
          <w:szCs w:val="22"/>
        </w:rPr>
        <w:t xml:space="preserve">The 9th, 10th, D.C., and Federal Circuits are not in the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2026-10-30T19:53:30.267Z</dcterms:created>
  <dcterms:modified xsi:type="dcterms:W3CDTF">2026-10-30T19:53:30.267Z</dcterms:modified>
</cp:coreProperties>
</file>

<file path=docProps/custom.xml><?xml version="1.0" encoding="utf-8"?>
<Properties xmlns="http://schemas.openxmlformats.org/officeDocument/2006/custom-properties" xmlns:vt="http://schemas.openxmlformats.org/officeDocument/2006/docPropsVTypes"/>
</file>