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FARM FOOD FRIENDS GUILD</w:t>
      </w:r>
    </w:p>
    <w:p>
      <w:pPr>
        <w:spacing w:after="100"/>
        <w:jc w:val="center"/>
      </w:pPr>
      <w:r>
        <w:rPr>
          <w:i/>
          <w:iCs/>
          <w:color w:val="4A7C59"/>
          <w:sz w:val="28"/>
          <w:szCs w:val="28"/>
        </w:rPr>
        <w:t xml:space="preserve">Healthy Soils Grant Application Outline</w:t>
      </w:r>
    </w:p>
    <w:p>
      <w:pPr>
        <w:spacing w:after="400"/>
        <w:jc w:val="center"/>
      </w:pPr>
      <w:r>
        <w:rPr>
          <w:color w:val="666666"/>
          <w:sz w:val="24"/>
          <w:szCs w:val="24"/>
        </w:rPr>
        <w:t xml:space="preserve">Biomass to Farm: Building Soil Through Regional Cooperation</w:t>
      </w:r>
    </w:p>
    <w:p>
      <w:pPr>
        <w:spacing w:before="200" w:after="400"/>
        <w:jc w:val="center"/>
      </w:pPr>
      <w:r>
        <w:rPr>
          <w:i/>
          <w:iCs/>
          <w:sz w:val="26"/>
          <w:szCs w:val="26"/>
        </w:rPr>
        <w:t xml:space="preserve">"We must grow soil before we can grow food."</w:t>
      </w:r>
    </w:p>
    <w:p>
      <w:pPr>
        <w:spacing w:after="400"/>
        <w:jc w:val="center"/>
      </w:pPr>
      <w:r>
        <w:rPr>
          <w:color w:val="666666"/>
          <w:sz w:val="22"/>
          <w:szCs w:val="22"/>
        </w:rPr>
        <w:t xml:space="preserve">— John Jeavons, Grow Biointensive Method</w:t>
      </w:r>
    </w:p>
    <w:p>
      <w:pPr>
        <w:pStyle w:val="Heading1"/>
      </w:pPr>
      <w:r>
        <w:t xml:space="preserve">1. EXECUTIVE SUMMARY</w:t>
      </w:r>
    </w:p>
    <w:p>
      <w:pPr>
        <w:spacing w:after="200"/>
      </w:pPr>
      <w:r>
        <w:t xml:space="preserve">The Farm Food Friends Guild is a coalition of farmers and land stewards in Clarke and Loudoun Counties proposing a regional </w:t>
      </w:r>
      <w:r>
        <w:rPr>
          <w:b/>
          <w:bCs/>
        </w:rPr>
        <w:t xml:space="preserve">Biomass to Farm Soil Building Initiative</w:t>
      </w:r>
      <w:r>
        <w:t xml:space="preserve">. This $50,000 project addresses three interconnected regional crises: the overgrowth of invasive species creating wildfire hazards, the degradation of farmland soils from decades of conventional agriculture, and the lack of shared equipment infrastructure for small and beginning farmers.</w:t>
      </w:r>
    </w:p>
    <w:p>
      <w:pPr>
        <w:spacing w:after="200"/>
      </w:pPr>
      <w:r>
        <w:t xml:space="preserve">Our innovative approach transforms the problem of woody biomass waste—from invasive species removal and forest management—into the solution for soil regeneration through an integrated system of </w:t>
      </w:r>
      <w:r>
        <w:rPr>
          <w:b/>
          <w:bCs/>
        </w:rPr>
        <w:t xml:space="preserve">mulching, composting, and biochar production</w:t>
      </w:r>
      <w:r>
        <w:t xml:space="preserve">. The shared equipment cooperative model makes these soil-building resources accessible to farmers who cannot individually afford commercial-scale processing equipment.</w:t>
      </w:r>
    </w:p>
    <w:p>
      <w:pPr>
        <w:pStyle w:val="Heading1"/>
      </w:pPr>
      <w:r>
        <w:t xml:space="preserve">2. THE REGIONAL CRISIS</w:t>
      </w:r>
    </w:p>
    <w:p>
      <w:pPr>
        <w:pStyle w:val="Heading2"/>
      </w:pPr>
      <w:r>
        <w:t xml:space="preserve">2.1 Invasive Species &amp; Wildfire Risk</w:t>
      </w:r>
    </w:p>
    <w:p>
      <w:pPr>
        <w:spacing w:after="200"/>
      </w:pPr>
      <w:r>
        <w:t xml:space="preserve">Clarke and Loudoun Counties face a growing crisis of invasive plant species that the Loudoun Invasive Removal Alliance (LIRA) describes as a </w:t>
      </w:r>
      <w:r>
        <w:rPr>
          <w:i/>
          <w:iCs/>
        </w:rPr>
        <w:t xml:space="preserve">"direct threat to safety,"</w:t>
      </w:r>
      <w:r>
        <w:t xml:space="preserve"> with species like Japanese Stiltgrass introducing heightened wildfire risks, particularly during fall drought conditions. Over 86 HOAs representing 229,000+ residents have joined LIRA's effort to combat this escalating threat.</w:t>
      </w:r>
    </w:p>
    <w:p>
      <w:pPr>
        <w:pStyle w:val="ListParagraph"/>
        <w:numPr>
          <w:ilvl w:val="0"/>
          <w:numId w:val="2"/>
        </w:numPr>
      </w:pPr>
      <w:r>
        <w:t xml:space="preserve">Japanese Stiltgrass creates fire corridors through its dry fall biomass</w:t>
      </w:r>
    </w:p>
    <w:p>
      <w:pPr>
        <w:pStyle w:val="ListParagraph"/>
        <w:numPr>
          <w:ilvl w:val="0"/>
          <w:numId w:val="2"/>
        </w:numPr>
      </w:pPr>
      <w:r>
        <w:t xml:space="preserve">Honeysuckle, English Ivy, and Bradford Pears smother native ecosystems</w:t>
      </w:r>
    </w:p>
    <w:p>
      <w:pPr>
        <w:pStyle w:val="ListParagraph"/>
        <w:numPr>
          <w:ilvl w:val="0"/>
          <w:numId w:val="2"/>
        </w:numPr>
      </w:pPr>
      <w:r>
        <w:t xml:space="preserve">Emerald Ash Borer has killed thousands of trees, creating standing dead fuel loads</w:t>
      </w:r>
    </w:p>
    <w:p>
      <w:pPr>
        <w:pStyle w:val="ListParagraph"/>
        <w:numPr>
          <w:ilvl w:val="0"/>
          <w:numId w:val="2"/>
        </w:numPr>
        <w:spacing w:after="200"/>
      </w:pPr>
      <w:r>
        <w:t xml:space="preserve">Current removal efforts generate massive woody debris with no productive outlet</w:t>
      </w:r>
    </w:p>
    <w:p>
      <w:pPr>
        <w:pStyle w:val="Heading2"/>
      </w:pPr>
      <w:r>
        <w:t xml:space="preserve">2.2 Soil Degradation on Farmland</w:t>
      </w:r>
    </w:p>
    <w:p>
      <w:pPr>
        <w:spacing w:after="200"/>
      </w:pPr>
      <w:r>
        <w:t xml:space="preserve">Decades of conventional tillage, synthetic inputs, and monocropping have depleted organic matter across regional farmland. NRCS Virginia reports that 27% of phosphorus and 60% of nitrogen entering the Chesapeake Bay originates from cropland. Farmers need affordable access to organic amendments—mulch, compost, and biochar—to rebuild soil biology and reduce nutrient runoff.</w:t>
      </w:r>
    </w:p>
    <w:p>
      <w:pPr>
        <w:pStyle w:val="Heading2"/>
      </w:pPr>
      <w:r>
        <w:t xml:space="preserve">2.3 Equipment Access Gap</w:t>
      </w:r>
    </w:p>
    <w:p>
      <w:pPr>
        <w:spacing w:after="200"/>
      </w:pPr>
      <w:r>
        <w:t xml:space="preserve">Small and beginning farmers cannot afford $15,000-$40,000 commercial chippers, tub grinders, or biochar kilns. Rental costs of $240-$350/day make consistent soil-building prohibitively expensive. This equipment gap prevents farmers from converting on-site woody debris into valuable soil amendments.</w:t>
      </w:r>
    </w:p>
    <w:p>
      <w:pPr>
        <w:pStyle w:val="Heading1"/>
      </w:pPr>
      <w:r>
        <w:t xml:space="preserve">3. THE SOLUTION: BIOMASS TO FARM</w:t>
      </w:r>
    </w:p>
    <w:p>
      <w:pPr>
        <w:spacing w:after="200"/>
      </w:pPr>
      <w:r>
        <w:t xml:space="preserve">The Farm Food Friends Guild will establish a </w:t>
      </w:r>
      <w:r>
        <w:rPr>
          <w:b/>
          <w:bCs/>
        </w:rPr>
        <w:t xml:space="preserve">shared equipment cooperative and mobile processing service</w:t>
      </w:r>
      <w:r>
        <w:t xml:space="preserve"> that transforms regional biomass waste into three soil-building outputs:</w:t>
      </w:r>
    </w:p>
    <w:p>
      <w:pPr>
        <w:pStyle w:val="Heading3"/>
      </w:pPr>
      <w:r>
        <w:t xml:space="preserve">MULCH</w:t>
      </w:r>
    </w:p>
    <w:p>
      <w:pPr>
        <w:spacing w:after="150"/>
      </w:pPr>
      <w:r>
        <w:t xml:space="preserve">Fresh wood chips for pathway mulching, sheet mulching, and weed suppression. Protects soil surface, retains moisture, feeds soil fungi.</w:t>
      </w:r>
    </w:p>
    <w:p>
      <w:pPr>
        <w:pStyle w:val="Heading3"/>
      </w:pPr>
      <w:r>
        <w:t xml:space="preserve">COMPOST</w:t>
      </w:r>
    </w:p>
    <w:p>
      <w:pPr>
        <w:spacing w:after="150"/>
      </w:pPr>
      <w:r>
        <w:t xml:space="preserve">Aged wood chip compost blended with nitrogen sources (farm manures, food scraps). Restores soil organic matter, feeds bacterial communities.</w:t>
      </w:r>
    </w:p>
    <w:p>
      <w:pPr>
        <w:pStyle w:val="Heading3"/>
      </w:pPr>
      <w:r>
        <w:t xml:space="preserve">BIOCHAR</w:t>
      </w:r>
    </w:p>
    <w:p>
      <w:pPr>
        <w:spacing w:after="200"/>
      </w:pPr>
      <w:r>
        <w:t xml:space="preserve">Carbon-stable char produced through pyrolysis. Sequesters carbon for 100-1000+ years, increases water retention, provides habitat for beneficial microbes. Creates eligibility for carbon credit programs.</w:t>
      </w:r>
    </w:p>
    <w:p>
      <w:pPr>
        <w:pStyle w:val="Heading1"/>
      </w:pPr>
      <w:r>
        <w:t xml:space="preserve">4. HOW IT WORKS</w:t>
      </w:r>
    </w:p>
    <w:p>
      <w:pPr>
        <w:pStyle w:val="Heading2"/>
      </w:pPr>
      <w:r>
        <w:t xml:space="preserve">4.1 Biomass Collection Network</w:t>
      </w:r>
    </w:p>
    <w:p>
      <w:pPr>
        <w:pStyle w:val="ListParagraph"/>
        <w:numPr>
          <w:ilvl w:val="0"/>
          <w:numId w:val="3"/>
        </w:numPr>
      </w:pPr>
      <w:r>
        <w:rPr>
          <w:b/>
          <w:bCs/>
        </w:rPr>
        <w:t xml:space="preserve">Partner with invasive removal projects </w:t>
      </w:r>
      <w:r>
        <w:t xml:space="preserve">(LIRA, SWCDs, municipal programs) to receive woody debris</w:t>
      </w:r>
    </w:p>
    <w:p>
      <w:pPr>
        <w:pStyle w:val="ListParagraph"/>
        <w:numPr>
          <w:ilvl w:val="0"/>
          <w:numId w:val="3"/>
        </w:numPr>
      </w:pPr>
      <w:r>
        <w:rPr>
          <w:b/>
          <w:bCs/>
        </w:rPr>
        <w:t xml:space="preserve">Coordinate with tree services and arborists </w:t>
      </w:r>
      <w:r>
        <w:t xml:space="preserve">to redirect chips from landfills</w:t>
      </w:r>
    </w:p>
    <w:p>
      <w:pPr>
        <w:pStyle w:val="ListParagraph"/>
        <w:numPr>
          <w:ilvl w:val="0"/>
          <w:numId w:val="3"/>
        </w:numPr>
      </w:pPr>
      <w:r>
        <w:rPr>
          <w:b/>
          <w:bCs/>
        </w:rPr>
        <w:t xml:space="preserve">Collect on-farm woody debris </w:t>
      </w:r>
      <w:r>
        <w:t xml:space="preserve">from guild member properties</w:t>
      </w:r>
    </w:p>
    <w:p>
      <w:pPr>
        <w:pStyle w:val="ListParagraph"/>
        <w:numPr>
          <w:ilvl w:val="0"/>
          <w:numId w:val="3"/>
        </w:numPr>
        <w:spacing w:after="200"/>
      </w:pPr>
      <w:r>
        <w:rPr>
          <w:b/>
          <w:bCs/>
        </w:rPr>
        <w:t xml:space="preserve">Accept community yard waste </w:t>
      </w:r>
      <w:r>
        <w:t xml:space="preserve">at designated processing events</w:t>
      </w:r>
    </w:p>
    <w:p>
      <w:pPr>
        <w:pStyle w:val="Heading2"/>
      </w:pPr>
      <w:r>
        <w:t xml:space="preserve">4.2 Processing Operations</w:t>
      </w:r>
    </w:p>
    <w:p>
      <w:pPr>
        <w:spacing w:after="100"/>
      </w:pPr>
      <w:r>
        <w:rPr>
          <w:b/>
          <w:bCs/>
        </w:rPr>
        <w:t xml:space="preserve">Hub Location: </w:t>
      </w:r>
      <w:r>
        <w:t xml:space="preserve">Georgetown University's Calcagnini Contemplative Center (Clarke County) will serve as the primary processing and demonstration site, with mobile equipment traveling to member farms.</w:t>
      </w:r>
    </w:p>
    <w:p>
      <w:pPr>
        <w:spacing w:after="200"/>
      </w:pPr>
      <w:r>
        <w:rPr>
          <w:b/>
          <w:bCs/>
        </w:rPr>
        <w:t xml:space="preserve">Mobile Service Days: </w:t>
      </w:r>
      <w:r>
        <w:t xml:space="preserve">Equipment rotates to member farms on scheduled days for on-site processing of accumulated biomass.</w:t>
      </w:r>
    </w:p>
    <w:p>
      <w:pPr>
        <w:pStyle w:val="Heading2"/>
      </w:pPr>
      <w:r>
        <w:t xml:space="preserve">4.3 Distribution Model</w:t>
      </w:r>
    </w:p>
    <w:p>
      <w:pPr>
        <w:pStyle w:val="ListParagraph"/>
        <w:numPr>
          <w:ilvl w:val="0"/>
          <w:numId w:val="2"/>
        </w:numPr>
      </w:pPr>
      <w:r>
        <w:rPr>
          <w:b/>
          <w:bCs/>
        </w:rPr>
        <w:t xml:space="preserve">Guild Members: </w:t>
      </w:r>
      <w:r>
        <w:t xml:space="preserve">Free access to processed materials; pay small equipment fee for mobile service</w:t>
      </w:r>
    </w:p>
    <w:p>
      <w:pPr>
        <w:pStyle w:val="ListParagraph"/>
        <w:numPr>
          <w:ilvl w:val="0"/>
          <w:numId w:val="2"/>
        </w:numPr>
      </w:pPr>
      <w:r>
        <w:rPr>
          <w:b/>
          <w:bCs/>
        </w:rPr>
        <w:t xml:space="preserve">Non-Member Farms: </w:t>
      </w:r>
      <w:r>
        <w:t xml:space="preserve">Pay per cubic yard for materials; revenue supports equipment maintenance</w:t>
      </w:r>
    </w:p>
    <w:p>
      <w:pPr>
        <w:pStyle w:val="ListParagraph"/>
        <w:numPr>
          <w:ilvl w:val="0"/>
          <w:numId w:val="2"/>
        </w:numPr>
        <w:spacing w:after="200"/>
      </w:pPr>
      <w:r>
        <w:rPr>
          <w:b/>
          <w:bCs/>
        </w:rPr>
        <w:t xml:space="preserve">Community Gardens/Schools: </w:t>
      </w:r>
      <w:r>
        <w:t xml:space="preserve">Donated materials support educational outreach mission</w:t>
      </w:r>
    </w:p>
    <w:p>
      <w:pPr>
        <w:pStyle w:val="Heading1"/>
      </w:pPr>
      <w:r>
        <w:t xml:space="preserve">5. EQUIPMENT &amp; BUDGET</w:t>
      </w:r>
    </w:p>
    <w:p>
      <w:pPr>
        <w:spacing w:after="200"/>
      </w:pPr>
      <w:r>
        <w:rPr>
          <w:b/>
          <w:bCs/>
          <w:sz w:val="28"/>
          <w:szCs w:val="28"/>
        </w:rPr>
        <w:t xml:space="preserve">Grant Request: $50,000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00"/>
      </w:tblGrid>
      <w:tr>
        <w:trPr>
          <w:tblHeader/>
        </w:trPr>
        <w:tc>
          <w:tcPr>
            <w:tcW w:type="dxa" w:w="4500"/>
            <w:tcBorders>
              <w:top w:val="single" w:color="2E5339" w:sz="1"/>
              <w:left w:val="single" w:color="2E5339" w:sz="1"/>
              <w:bottom w:val="single" w:color="2E5339" w:sz="1"/>
              <w:right w:val="single" w:color="2E5339" w:sz="1"/>
            </w:tcBorders>
            <w:shd w:fill="2E5339" w:val="clear"/>
          </w:tcPr>
          <w:p>
            <w:r>
              <w:rPr>
                <w:b/>
                <w:bCs/>
                <w:color w:val="FFFFFF"/>
              </w:rPr>
              <w:t xml:space="preserve">EQUIPMENT ITEM</w:t>
            </w:r>
          </w:p>
        </w:tc>
        <w:tc>
          <w:tcPr>
            <w:tcW w:type="dxa" w:w="2000"/>
            <w:tcBorders>
              <w:top w:val="single" w:color="2E5339" w:sz="1"/>
              <w:left w:val="single" w:color="2E5339" w:sz="1"/>
              <w:bottom w:val="single" w:color="2E5339" w:sz="1"/>
              <w:right w:val="single" w:color="2E5339" w:sz="1"/>
            </w:tcBorders>
            <w:shd w:fill="2E5339" w:val="clear"/>
          </w:tcPr>
          <w:p>
            <w:pPr>
              <w:jc w:val="right"/>
            </w:pPr>
            <w:r>
              <w:rPr>
                <w:b/>
                <w:bCs/>
                <w:color w:val="FFFFFF"/>
              </w:rPr>
              <w:t xml:space="preserve">COST</w:t>
            </w:r>
          </w:p>
        </w:tc>
        <w:tc>
          <w:tcPr>
            <w:tcW w:type="dxa" w:w="2500"/>
            <w:tcBorders>
              <w:top w:val="single" w:color="2E5339" w:sz="1"/>
              <w:left w:val="single" w:color="2E5339" w:sz="1"/>
              <w:bottom w:val="single" w:color="2E5339" w:sz="1"/>
              <w:right w:val="single" w:color="2E5339" w:sz="1"/>
            </w:tcBorders>
            <w:shd w:fill="2E5339" w:val="clear"/>
          </w:tcPr>
          <w:p>
            <w:r>
              <w:rPr>
                <w:b/>
                <w:bCs/>
                <w:color w:val="FFFFFF"/>
              </w:rPr>
              <w:t xml:space="preserve">PURPOSE</w:t>
            </w:r>
          </w:p>
        </w:tc>
      </w:tr>
      <w:tr>
        <w:tc>
          <w:tcPr>
            <w:tcW w:type="dxa" w:w="4500"/>
            <w:tcBorders>
              <w:top w:val="single" w:color="CCCCCC" w:sz="1"/>
              <w:left w:val="single" w:color="CCCCCC" w:sz="1"/>
              <w:bottom w:val="single" w:color="CCCCCC" w:sz="1"/>
              <w:right w:val="single" w:color="CCCCCC" w:sz="1"/>
            </w:tcBorders>
          </w:tcPr>
          <w:p>
            <w:r>
              <w:t xml:space="preserve">Commercial PTO Wood Chipper (8-9" capacity)</w:t>
            </w:r>
          </w:p>
        </w:tc>
        <w:tc>
          <w:tcPr>
            <w:tcW w:type="dxa" w:w="2000"/>
            <w:tcBorders>
              <w:top w:val="single" w:color="CCCCCC" w:sz="1"/>
              <w:left w:val="single" w:color="CCCCCC" w:sz="1"/>
              <w:bottom w:val="single" w:color="CCCCCC" w:sz="1"/>
              <w:right w:val="single" w:color="CCCCCC" w:sz="1"/>
            </w:tcBorders>
          </w:tcPr>
          <w:p>
            <w:pPr>
              <w:jc w:val="right"/>
            </w:pPr>
            <w:r>
              <w:t xml:space="preserve">$18,000</w:t>
            </w:r>
          </w:p>
        </w:tc>
        <w:tc>
          <w:tcPr>
            <w:tcW w:type="dxa" w:w="2500"/>
            <w:tcBorders>
              <w:top w:val="single" w:color="CCCCCC" w:sz="1"/>
              <w:left w:val="single" w:color="CCCCCC" w:sz="1"/>
              <w:bottom w:val="single" w:color="CCCCCC" w:sz="1"/>
              <w:right w:val="single" w:color="CCCCCC" w:sz="1"/>
            </w:tcBorders>
          </w:tcPr>
          <w:p>
            <w:r>
              <w:t xml:space="preserve">Mulch production</w:t>
            </w:r>
          </w:p>
        </w:tc>
      </w:tr>
      <w:tr>
        <w:tc>
          <w:tcPr>
            <w:tcW w:type="dxa" w:w="4500"/>
            <w:tcBorders>
              <w:top w:val="single" w:color="CCCCCC" w:sz="1"/>
              <w:left w:val="single" w:color="CCCCCC" w:sz="1"/>
              <w:bottom w:val="single" w:color="CCCCCC" w:sz="1"/>
              <w:right w:val="single" w:color="CCCCCC" w:sz="1"/>
            </w:tcBorders>
            <w:shd w:fill="F5F5F5" w:val="clear"/>
          </w:tcPr>
          <w:p>
            <w:r>
              <w:t xml:space="preserve">Biochar Kiln System (Ring of Fire or Big Box style)</w:t>
            </w:r>
          </w:p>
        </w:tc>
        <w:tc>
          <w:tcPr>
            <w:tcW w:type="dxa" w:w="2000"/>
            <w:tcBorders>
              <w:top w:val="single" w:color="CCCCCC" w:sz="1"/>
              <w:left w:val="single" w:color="CCCCCC" w:sz="1"/>
              <w:bottom w:val="single" w:color="CCCCCC" w:sz="1"/>
              <w:right w:val="single" w:color="CCCCCC" w:sz="1"/>
            </w:tcBorders>
            <w:shd w:fill="F5F5F5" w:val="clear"/>
          </w:tcPr>
          <w:p>
            <w:pPr>
              <w:jc w:val="right"/>
            </w:pPr>
            <w:r>
              <w:t xml:space="preserve">$8,000</w:t>
            </w:r>
          </w:p>
        </w:tc>
        <w:tc>
          <w:tcPr>
            <w:tcW w:type="dxa" w:w="2500"/>
            <w:tcBorders>
              <w:top w:val="single" w:color="CCCCCC" w:sz="1"/>
              <w:left w:val="single" w:color="CCCCCC" w:sz="1"/>
              <w:bottom w:val="single" w:color="CCCCCC" w:sz="1"/>
              <w:right w:val="single" w:color="CCCCCC" w:sz="1"/>
            </w:tcBorders>
            <w:shd w:fill="F5F5F5" w:val="clear"/>
          </w:tcPr>
          <w:p>
            <w:r>
              <w:t xml:space="preserve">Biochar production</w:t>
            </w:r>
          </w:p>
        </w:tc>
      </w:tr>
      <w:tr>
        <w:tc>
          <w:tcPr>
            <w:tcW w:type="dxa" w:w="4500"/>
            <w:tcBorders>
              <w:top w:val="single" w:color="CCCCCC" w:sz="1"/>
              <w:left w:val="single" w:color="CCCCCC" w:sz="1"/>
              <w:bottom w:val="single" w:color="CCCCCC" w:sz="1"/>
              <w:right w:val="single" w:color="CCCCCC" w:sz="1"/>
            </w:tcBorders>
          </w:tcPr>
          <w:p>
            <w:r>
              <w:t xml:space="preserve">Compost Turner/Aerator Attachment</w:t>
            </w:r>
          </w:p>
        </w:tc>
        <w:tc>
          <w:tcPr>
            <w:tcW w:type="dxa" w:w="2000"/>
            <w:tcBorders>
              <w:top w:val="single" w:color="CCCCCC" w:sz="1"/>
              <w:left w:val="single" w:color="CCCCCC" w:sz="1"/>
              <w:bottom w:val="single" w:color="CCCCCC" w:sz="1"/>
              <w:right w:val="single" w:color="CCCCCC" w:sz="1"/>
            </w:tcBorders>
          </w:tcPr>
          <w:p>
            <w:pPr>
              <w:jc w:val="right"/>
            </w:pPr>
            <w:r>
              <w:t xml:space="preserve">$5,000</w:t>
            </w:r>
          </w:p>
        </w:tc>
        <w:tc>
          <w:tcPr>
            <w:tcW w:type="dxa" w:w="2500"/>
            <w:tcBorders>
              <w:top w:val="single" w:color="CCCCCC" w:sz="1"/>
              <w:left w:val="single" w:color="CCCCCC" w:sz="1"/>
              <w:bottom w:val="single" w:color="CCCCCC" w:sz="1"/>
              <w:right w:val="single" w:color="CCCCCC" w:sz="1"/>
            </w:tcBorders>
          </w:tcPr>
          <w:p>
            <w:r>
              <w:t xml:space="preserve">Compost management</w:t>
            </w:r>
          </w:p>
        </w:tc>
      </w:tr>
      <w:tr>
        <w:tc>
          <w:tcPr>
            <w:tcW w:type="dxa" w:w="4500"/>
            <w:tcBorders>
              <w:top w:val="single" w:color="CCCCCC" w:sz="1"/>
              <w:left w:val="single" w:color="CCCCCC" w:sz="1"/>
              <w:bottom w:val="single" w:color="CCCCCC" w:sz="1"/>
              <w:right w:val="single" w:color="CCCCCC" w:sz="1"/>
            </w:tcBorders>
            <w:shd w:fill="F5F5F5" w:val="clear"/>
          </w:tcPr>
          <w:p>
            <w:r>
              <w:t xml:space="preserve">Equipment Trailer (for mobile operations)</w:t>
            </w:r>
          </w:p>
        </w:tc>
        <w:tc>
          <w:tcPr>
            <w:tcW w:type="dxa" w:w="2000"/>
            <w:tcBorders>
              <w:top w:val="single" w:color="CCCCCC" w:sz="1"/>
              <w:left w:val="single" w:color="CCCCCC" w:sz="1"/>
              <w:bottom w:val="single" w:color="CCCCCC" w:sz="1"/>
              <w:right w:val="single" w:color="CCCCCC" w:sz="1"/>
            </w:tcBorders>
            <w:shd w:fill="F5F5F5" w:val="clear"/>
          </w:tcPr>
          <w:p>
            <w:pPr>
              <w:jc w:val="right"/>
            </w:pPr>
            <w:r>
              <w:t xml:space="preserve">$6,000</w:t>
            </w:r>
          </w:p>
        </w:tc>
        <w:tc>
          <w:tcPr>
            <w:tcW w:type="dxa" w:w="2500"/>
            <w:tcBorders>
              <w:top w:val="single" w:color="CCCCCC" w:sz="1"/>
              <w:left w:val="single" w:color="CCCCCC" w:sz="1"/>
              <w:bottom w:val="single" w:color="CCCCCC" w:sz="1"/>
              <w:right w:val="single" w:color="CCCCCC" w:sz="1"/>
            </w:tcBorders>
            <w:shd w:fill="F5F5F5" w:val="clear"/>
          </w:tcPr>
          <w:p>
            <w:r>
              <w:t xml:space="preserve">Equipment transport</w:t>
            </w:r>
          </w:p>
        </w:tc>
      </w:tr>
      <w:tr>
        <w:tc>
          <w:tcPr>
            <w:tcW w:type="dxa" w:w="4500"/>
            <w:tcBorders>
              <w:top w:val="single" w:color="CCCCCC" w:sz="1"/>
              <w:left w:val="single" w:color="CCCCCC" w:sz="1"/>
              <w:bottom w:val="single" w:color="CCCCCC" w:sz="1"/>
              <w:right w:val="single" w:color="CCCCCC" w:sz="1"/>
            </w:tcBorders>
          </w:tcPr>
          <w:p>
            <w:r>
              <w:t xml:space="preserve">Soil Testing Kits &amp; Monitoring Equipment</w:t>
            </w:r>
          </w:p>
        </w:tc>
        <w:tc>
          <w:tcPr>
            <w:tcW w:type="dxa" w:w="2000"/>
            <w:tcBorders>
              <w:top w:val="single" w:color="CCCCCC" w:sz="1"/>
              <w:left w:val="single" w:color="CCCCCC" w:sz="1"/>
              <w:bottom w:val="single" w:color="CCCCCC" w:sz="1"/>
              <w:right w:val="single" w:color="CCCCCC" w:sz="1"/>
            </w:tcBorders>
          </w:tcPr>
          <w:p>
            <w:pPr>
              <w:jc w:val="right"/>
            </w:pPr>
            <w:r>
              <w:t xml:space="preserve">$3,000</w:t>
            </w:r>
          </w:p>
        </w:tc>
        <w:tc>
          <w:tcPr>
            <w:tcW w:type="dxa" w:w="2500"/>
            <w:tcBorders>
              <w:top w:val="single" w:color="CCCCCC" w:sz="1"/>
              <w:left w:val="single" w:color="CCCCCC" w:sz="1"/>
              <w:bottom w:val="single" w:color="CCCCCC" w:sz="1"/>
              <w:right w:val="single" w:color="CCCCCC" w:sz="1"/>
            </w:tcBorders>
          </w:tcPr>
          <w:p>
            <w:r>
              <w:t xml:space="preserve">Soil health assessment</w:t>
            </w:r>
          </w:p>
        </w:tc>
      </w:tr>
      <w:tr>
        <w:tc>
          <w:tcPr>
            <w:tcW w:type="dxa" w:w="4500"/>
            <w:tcBorders>
              <w:top w:val="single" w:color="CCCCCC" w:sz="1"/>
              <w:left w:val="single" w:color="CCCCCC" w:sz="1"/>
              <w:bottom w:val="single" w:color="CCCCCC" w:sz="1"/>
              <w:right w:val="single" w:color="CCCCCC" w:sz="1"/>
            </w:tcBorders>
            <w:shd w:fill="F5F5F5" w:val="clear"/>
          </w:tcPr>
          <w:p>
            <w:r>
              <w:t xml:space="preserve">Safety Equipment &amp; PPE</w:t>
            </w:r>
          </w:p>
        </w:tc>
        <w:tc>
          <w:tcPr>
            <w:tcW w:type="dxa" w:w="2000"/>
            <w:tcBorders>
              <w:top w:val="single" w:color="CCCCCC" w:sz="1"/>
              <w:left w:val="single" w:color="CCCCCC" w:sz="1"/>
              <w:bottom w:val="single" w:color="CCCCCC" w:sz="1"/>
              <w:right w:val="single" w:color="CCCCCC" w:sz="1"/>
            </w:tcBorders>
            <w:shd w:fill="F5F5F5" w:val="clear"/>
          </w:tcPr>
          <w:p>
            <w:pPr>
              <w:jc w:val="right"/>
            </w:pPr>
            <w:r>
              <w:t xml:space="preserve">$2,000</w:t>
            </w:r>
          </w:p>
        </w:tc>
        <w:tc>
          <w:tcPr>
            <w:tcW w:type="dxa" w:w="2500"/>
            <w:tcBorders>
              <w:top w:val="single" w:color="CCCCCC" w:sz="1"/>
              <w:left w:val="single" w:color="CCCCCC" w:sz="1"/>
              <w:bottom w:val="single" w:color="CCCCCC" w:sz="1"/>
              <w:right w:val="single" w:color="CCCCCC" w:sz="1"/>
            </w:tcBorders>
            <w:shd w:fill="F5F5F5" w:val="clear"/>
          </w:tcPr>
          <w:p>
            <w:r>
              <w:t xml:space="preserve">Operator safety</w:t>
            </w:r>
          </w:p>
        </w:tc>
      </w:tr>
      <w:tr>
        <w:tc>
          <w:tcPr>
            <w:tcW w:type="dxa" w:w="4500"/>
            <w:tcBorders>
              <w:top w:val="single" w:color="CCCCCC" w:sz="1"/>
              <w:left w:val="single" w:color="CCCCCC" w:sz="1"/>
              <w:bottom w:val="single" w:color="CCCCCC" w:sz="1"/>
              <w:right w:val="single" w:color="CCCCCC" w:sz="1"/>
            </w:tcBorders>
          </w:tcPr>
          <w:p>
            <w:r>
              <w:t xml:space="preserve">Educational Materials &amp; Field Day Costs</w:t>
            </w:r>
          </w:p>
        </w:tc>
        <w:tc>
          <w:tcPr>
            <w:tcW w:type="dxa" w:w="2000"/>
            <w:tcBorders>
              <w:top w:val="single" w:color="CCCCCC" w:sz="1"/>
              <w:left w:val="single" w:color="CCCCCC" w:sz="1"/>
              <w:bottom w:val="single" w:color="CCCCCC" w:sz="1"/>
              <w:right w:val="single" w:color="CCCCCC" w:sz="1"/>
            </w:tcBorders>
          </w:tcPr>
          <w:p>
            <w:pPr>
              <w:jc w:val="right"/>
            </w:pPr>
            <w:r>
              <w:t xml:space="preserve">$4,000</w:t>
            </w:r>
          </w:p>
        </w:tc>
        <w:tc>
          <w:tcPr>
            <w:tcW w:type="dxa" w:w="2500"/>
            <w:tcBorders>
              <w:top w:val="single" w:color="CCCCCC" w:sz="1"/>
              <w:left w:val="single" w:color="CCCCCC" w:sz="1"/>
              <w:bottom w:val="single" w:color="CCCCCC" w:sz="1"/>
              <w:right w:val="single" w:color="CCCCCC" w:sz="1"/>
            </w:tcBorders>
          </w:tcPr>
          <w:p>
            <w:r>
              <w:t xml:space="preserve">Outreach component</w:t>
            </w:r>
          </w:p>
        </w:tc>
      </w:tr>
      <w:tr>
        <w:tc>
          <w:tcPr>
            <w:tcW w:type="dxa" w:w="4500"/>
            <w:tcBorders>
              <w:top w:val="single" w:color="CCCCCC" w:sz="1"/>
              <w:left w:val="single" w:color="CCCCCC" w:sz="1"/>
              <w:bottom w:val="single" w:color="CCCCCC" w:sz="1"/>
              <w:right w:val="single" w:color="CCCCCC" w:sz="1"/>
            </w:tcBorders>
            <w:shd w:fill="F5F5F5" w:val="clear"/>
          </w:tcPr>
          <w:p>
            <w:r>
              <w:t xml:space="preserve">Maintenance Reserve &amp; Consumables</w:t>
            </w:r>
          </w:p>
        </w:tc>
        <w:tc>
          <w:tcPr>
            <w:tcW w:type="dxa" w:w="2000"/>
            <w:tcBorders>
              <w:top w:val="single" w:color="CCCCCC" w:sz="1"/>
              <w:left w:val="single" w:color="CCCCCC" w:sz="1"/>
              <w:bottom w:val="single" w:color="CCCCCC" w:sz="1"/>
              <w:right w:val="single" w:color="CCCCCC" w:sz="1"/>
            </w:tcBorders>
            <w:shd w:fill="F5F5F5" w:val="clear"/>
          </w:tcPr>
          <w:p>
            <w:pPr>
              <w:jc w:val="right"/>
            </w:pPr>
            <w:r>
              <w:t xml:space="preserve">$4,000</w:t>
            </w:r>
          </w:p>
        </w:tc>
        <w:tc>
          <w:tcPr>
            <w:tcW w:type="dxa" w:w="2500"/>
            <w:tcBorders>
              <w:top w:val="single" w:color="CCCCCC" w:sz="1"/>
              <w:left w:val="single" w:color="CCCCCC" w:sz="1"/>
              <w:bottom w:val="single" w:color="CCCCCC" w:sz="1"/>
              <w:right w:val="single" w:color="CCCCCC" w:sz="1"/>
            </w:tcBorders>
            <w:shd w:fill="F5F5F5" w:val="clear"/>
          </w:tcPr>
          <w:p>
            <w:r>
              <w:t xml:space="preserve">Long-term sustainability</w:t>
            </w:r>
          </w:p>
        </w:tc>
      </w:tr>
      <w:tr>
        <w:tc>
          <w:tcPr>
            <w:tcW w:type="dxa" w:w="4500"/>
            <w:tcBorders>
              <w:top w:val="single" w:color="2E5339" w:sz="2"/>
              <w:left w:val="single" w:color="2E5339" w:sz="2"/>
              <w:bottom w:val="single" w:color="2E5339" w:sz="2"/>
              <w:right w:val="single" w:color="2E5339" w:sz="2"/>
            </w:tcBorders>
            <w:shd w:fill="E8F0E8" w:val="clear"/>
          </w:tcPr>
          <w:p>
            <w:r>
              <w:rPr>
                <w:b/>
                <w:bCs/>
              </w:rPr>
              <w:t xml:space="preserve">TOTAL</w:t>
            </w:r>
          </w:p>
        </w:tc>
        <w:tc>
          <w:tcPr>
            <w:tcW w:type="dxa" w:w="2000"/>
            <w:tcBorders>
              <w:top w:val="single" w:color="2E5339" w:sz="2"/>
              <w:left w:val="single" w:color="2E5339" w:sz="2"/>
              <w:bottom w:val="single" w:color="2E5339" w:sz="2"/>
              <w:right w:val="single" w:color="2E5339" w:sz="2"/>
            </w:tcBorders>
            <w:shd w:fill="E8F0E8" w:val="clear"/>
          </w:tcPr>
          <w:p>
            <w:pPr>
              <w:jc w:val="right"/>
            </w:pPr>
            <w:r>
              <w:rPr>
                <w:b/>
                <w:bCs/>
              </w:rPr>
              <w:t xml:space="preserve">$50,000</w:t>
            </w:r>
          </w:p>
        </w:tc>
        <w:tc>
          <w:tcPr>
            <w:tcW w:type="dxa" w:w="2500"/>
            <w:tcBorders>
              <w:top w:val="single" w:color="2E5339" w:sz="2"/>
              <w:left w:val="single" w:color="2E5339" w:sz="2"/>
              <w:bottom w:val="single" w:color="2E5339" w:sz="2"/>
              <w:right w:val="single" w:color="2E5339" w:sz="2"/>
            </w:tcBorders>
            <w:shd w:fill="E8F0E8" w:val="clear"/>
          </w:tcPr>
          <w:p>
            <w:r>
              <w:rPr>
                <w:b/>
                <w:bCs/>
              </w:rPr>
              <w:t xml:space="preserve"/>
            </w:r>
          </w:p>
        </w:tc>
      </w:tr>
    </w:tbl>
    <w:p>
      <w:pPr>
        <w:pStyle w:val="Heading1"/>
        <w:spacing w:before="400"/>
      </w:pPr>
      <w:r>
        <w:t xml:space="preserve">6. ADDRESSING SOIL HEALTH PRINCIPLES</w:t>
      </w:r>
    </w:p>
    <w:p>
      <w:pPr>
        <w:spacing w:after="200"/>
      </w:pPr>
      <w:r>
        <w:t xml:space="preserve">This project directly addresses all four NRCS soil health principles:</w:t>
      </w:r>
    </w:p>
    <w:p>
      <w:pPr>
        <w:pStyle w:val="Heading3"/>
      </w:pPr>
      <w:r>
        <w:t xml:space="preserve">Maximize Diversity</w:t>
      </w:r>
    </w:p>
    <w:p>
      <w:pPr>
        <w:spacing w:after="150"/>
      </w:pPr>
      <w:r>
        <w:t xml:space="preserve">Biochar and compost applications support diverse soil microbial communities. The char's porous structure provides habitat for bacteria, fungi, and beneficial microorganisms that drive nutrient cycling.</w:t>
      </w:r>
    </w:p>
    <w:p>
      <w:pPr>
        <w:pStyle w:val="Heading3"/>
      </w:pPr>
      <w:r>
        <w:t xml:space="preserve">Minimize Disturbance</w:t>
      </w:r>
    </w:p>
    <w:p>
      <w:pPr>
        <w:spacing w:after="150"/>
      </w:pPr>
      <w:r>
        <w:t xml:space="preserve">Surface-applied mulch protects soil structure without tillage. Biochar, once incorporated, remains stable for centuries—eliminating need for repeated applications and associated disturbance.</w:t>
      </w:r>
    </w:p>
    <w:p>
      <w:pPr>
        <w:pStyle w:val="Heading3"/>
      </w:pPr>
      <w:r>
        <w:t xml:space="preserve">Maximize Soil Cover</w:t>
      </w:r>
    </w:p>
    <w:p>
      <w:pPr>
        <w:spacing w:after="150"/>
      </w:pPr>
      <w:r>
        <w:t xml:space="preserve">Wood chip mulch provides year-round soil coverage, suppressing weeds, moderating temperature extremes, and preventing erosion. The mulch layer also feeds soil life as it decomposes.</w:t>
      </w:r>
    </w:p>
    <w:p>
      <w:pPr>
        <w:pStyle w:val="Heading3"/>
      </w:pPr>
      <w:r>
        <w:t xml:space="preserve">Maximize Living Roots</w:t>
      </w:r>
    </w:p>
    <w:p>
      <w:pPr>
        <w:spacing w:after="200"/>
      </w:pPr>
      <w:r>
        <w:t xml:space="preserve">Improved soil structure from biochar and compost applications increases water infiltration and retention, supporting deeper and more extensive root systems in subsequent crops and cover crops.</w:t>
      </w:r>
    </w:p>
    <w:p>
      <w:pPr>
        <w:pStyle w:val="Heading1"/>
      </w:pPr>
      <w:r>
        <w:t xml:space="preserve">7. WHY TRADITIONAL PROGRAMS DON'T FIT</w:t>
      </w:r>
    </w:p>
    <w:p>
      <w:pPr>
        <w:spacing w:after="200"/>
      </w:pPr>
      <w:r>
        <w:t xml:space="preserve">This project fills critical gaps not addressed by existing cost-share programs:</w:t>
      </w:r>
    </w:p>
    <w:p>
      <w:pPr>
        <w:pStyle w:val="ListParagraph"/>
        <w:numPr>
          <w:ilvl w:val="0"/>
          <w:numId w:val="2"/>
        </w:numPr>
      </w:pPr>
      <w:r>
        <w:rPr>
          <w:b/>
          <w:bCs/>
        </w:rPr>
        <w:t xml:space="preserve">EQIP/VACS: </w:t>
      </w:r>
      <w:r>
        <w:t xml:space="preserve">Do not fund shared equipment cooperatives or biochar production infrastructure</w:t>
      </w:r>
    </w:p>
    <w:p>
      <w:pPr>
        <w:pStyle w:val="ListParagraph"/>
        <w:numPr>
          <w:ilvl w:val="0"/>
          <w:numId w:val="2"/>
        </w:numPr>
      </w:pPr>
      <w:r>
        <w:rPr>
          <w:b/>
          <w:bCs/>
        </w:rPr>
        <w:t xml:space="preserve">No existing biomass collection network: </w:t>
      </w:r>
      <w:r>
        <w:t xml:space="preserve">This creates the infrastructure to connect invasive removal efforts with farms</w:t>
      </w:r>
    </w:p>
    <w:p>
      <w:pPr>
        <w:pStyle w:val="ListParagraph"/>
        <w:numPr>
          <w:ilvl w:val="0"/>
          <w:numId w:val="2"/>
        </w:numPr>
      </w:pPr>
      <w:r>
        <w:rPr>
          <w:b/>
          <w:bCs/>
        </w:rPr>
        <w:t xml:space="preserve">Cooperative model: </w:t>
      </w:r>
      <w:r>
        <w:t xml:space="preserve">Traditional programs fund individual farms; this serves a regional network</w:t>
      </w:r>
    </w:p>
    <w:p>
      <w:pPr>
        <w:pStyle w:val="ListParagraph"/>
        <w:numPr>
          <w:ilvl w:val="0"/>
          <w:numId w:val="2"/>
        </w:numPr>
        <w:spacing w:after="200"/>
      </w:pPr>
      <w:r>
        <w:rPr>
          <w:b/>
          <w:bCs/>
        </w:rPr>
        <w:t xml:space="preserve">Innovation focus: </w:t>
      </w:r>
      <w:r>
        <w:t xml:space="preserve">Biochar production and carbon sequestration represent emerging practices not yet mainstream in Virginia programs</w:t>
      </w:r>
    </w:p>
    <w:p>
      <w:pPr>
        <w:pStyle w:val="Heading1"/>
      </w:pPr>
      <w:r>
        <w:t xml:space="preserve">8. THE FARM FOOD FRIENDS GUILD</w:t>
      </w:r>
    </w:p>
    <w:p>
      <w:pPr>
        <w:pStyle w:val="Heading2"/>
      </w:pPr>
      <w:r>
        <w:t xml:space="preserve">8.1 Founding Members</w:t>
      </w:r>
    </w:p>
    <w:p>
      <w:pPr>
        <w:spacing w:after="100"/>
      </w:pPr>
      <w:r>
        <w:t xml:space="preserve">[To be completed with 3-5 participating farm entities from Clarke and Loudoun Counties]</w:t>
      </w:r>
    </w:p>
    <w:p>
      <w:pPr>
        <w:pStyle w:val="ListParagraph"/>
        <w:numPr>
          <w:ilvl w:val="0"/>
          <w:numId w:val="2"/>
        </w:numPr>
      </w:pPr>
      <w:r>
        <w:t xml:space="preserve">Farm 1: [Name, Location, Acreage, Primary Focus]</w:t>
      </w:r>
    </w:p>
    <w:p>
      <w:pPr>
        <w:pStyle w:val="ListParagraph"/>
        <w:numPr>
          <w:ilvl w:val="0"/>
          <w:numId w:val="2"/>
        </w:numPr>
      </w:pPr>
      <w:r>
        <w:t xml:space="preserve">Farm 2: [Name, Location, Acreage, Primary Focus]</w:t>
      </w:r>
    </w:p>
    <w:p>
      <w:pPr>
        <w:pStyle w:val="ListParagraph"/>
        <w:numPr>
          <w:ilvl w:val="0"/>
          <w:numId w:val="2"/>
        </w:numPr>
      </w:pPr>
      <w:r>
        <w:t xml:space="preserve">Farm 3: [Name, Location, Acreage, Primary Focus]</w:t>
      </w:r>
    </w:p>
    <w:p>
      <w:pPr>
        <w:pStyle w:val="ListParagraph"/>
        <w:numPr>
          <w:ilvl w:val="0"/>
          <w:numId w:val="2"/>
        </w:numPr>
        <w:spacing w:after="200"/>
      </w:pPr>
      <w:r>
        <w:t xml:space="preserve">Georgetown CCC: 55 acres, educational center serving as hub</w:t>
      </w:r>
    </w:p>
    <w:p>
      <w:pPr>
        <w:pStyle w:val="Heading2"/>
      </w:pPr>
      <w:r>
        <w:t xml:space="preserve">8.2 Alternative: REGEN 8 Working Group</w:t>
      </w:r>
    </w:p>
    <w:p>
      <w:pPr>
        <w:spacing w:after="200"/>
      </w:pPr>
      <w:r>
        <w:t xml:space="preserve">If the guild structure proves challenging, this project could operate through the REGEN 8 regenerative agriculture working group as a focused Clarke/Loudoun initiative within that existing network.</w:t>
      </w:r>
    </w:p>
    <w:p>
      <w:pPr>
        <w:pStyle w:val="Heading1"/>
      </w:pPr>
      <w:r>
        <w:t xml:space="preserve">9. COMMUNICATION &amp; OUTREACH PLAN</w:t>
      </w:r>
    </w:p>
    <w:p>
      <w:pPr>
        <w:pStyle w:val="Heading2"/>
      </w:pPr>
      <w:r>
        <w:t xml:space="preserve">9.1 Field Days &amp; Demonstrations</w:t>
      </w:r>
    </w:p>
    <w:p>
      <w:pPr>
        <w:pStyle w:val="ListParagraph"/>
        <w:numPr>
          <w:ilvl w:val="0"/>
          <w:numId w:val="2"/>
        </w:numPr>
      </w:pPr>
      <w:r>
        <w:rPr>
          <w:b/>
          <w:bCs/>
        </w:rPr>
        <w:t xml:space="preserve">Quarterly Biochar Burns: </w:t>
      </w:r>
      <w:r>
        <w:t xml:space="preserve">Public demonstrations of kiln operation at the Contemplative Center</w:t>
      </w:r>
    </w:p>
    <w:p>
      <w:pPr>
        <w:pStyle w:val="ListParagraph"/>
        <w:numPr>
          <w:ilvl w:val="0"/>
          <w:numId w:val="2"/>
        </w:numPr>
      </w:pPr>
      <w:r>
        <w:rPr>
          <w:b/>
          <w:bCs/>
        </w:rPr>
        <w:t xml:space="preserve">Annual Soil Health Field Day: </w:t>
      </w:r>
      <w:r>
        <w:t xml:space="preserve">Partner with SWCD and VCE for hands-on workshops</w:t>
      </w:r>
    </w:p>
    <w:p>
      <w:pPr>
        <w:pStyle w:val="ListParagraph"/>
        <w:numPr>
          <w:ilvl w:val="0"/>
          <w:numId w:val="2"/>
        </w:numPr>
        <w:spacing w:after="200"/>
      </w:pPr>
      <w:r>
        <w:rPr>
          <w:b/>
          <w:bCs/>
        </w:rPr>
        <w:t xml:space="preserve">Mobile Equipment Demo Days: </w:t>
      </w:r>
      <w:r>
        <w:t xml:space="preserve">Host processing events at member farms open to neighbors</w:t>
      </w:r>
    </w:p>
    <w:p>
      <w:pPr>
        <w:pStyle w:val="Heading2"/>
      </w:pPr>
      <w:r>
        <w:t xml:space="preserve">9.2 Case Study Development</w:t>
      </w:r>
    </w:p>
    <w:p>
      <w:pPr>
        <w:spacing w:after="200"/>
      </w:pPr>
      <w:r>
        <w:t xml:space="preserve">Document soil health improvements through before/after testing, photograph transformations, and publish results through Virginia Soil Health Coalition networks and Guild social media channels.</w:t>
      </w:r>
    </w:p>
    <w:p>
      <w:pPr>
        <w:pStyle w:val="Heading2"/>
      </w:pPr>
      <w:r>
        <w:t xml:space="preserve">9.3 Partner Engagement</w:t>
      </w:r>
    </w:p>
    <w:p>
      <w:pPr>
        <w:pStyle w:val="ListParagraph"/>
        <w:numPr>
          <w:ilvl w:val="0"/>
          <w:numId w:val="2"/>
        </w:numPr>
      </w:pPr>
      <w:r>
        <w:t xml:space="preserve">Loudoun Invasive Removal Alliance (LIRA)</w:t>
      </w:r>
    </w:p>
    <w:p>
      <w:pPr>
        <w:pStyle w:val="ListParagraph"/>
        <w:numPr>
          <w:ilvl w:val="0"/>
          <w:numId w:val="2"/>
        </w:numPr>
      </w:pPr>
      <w:r>
        <w:t xml:space="preserve">Clarke County SWCD / Loudoun County SWCD</w:t>
      </w:r>
    </w:p>
    <w:p>
      <w:pPr>
        <w:pStyle w:val="ListParagraph"/>
        <w:numPr>
          <w:ilvl w:val="0"/>
          <w:numId w:val="2"/>
        </w:numPr>
      </w:pPr>
      <w:r>
        <w:t xml:space="preserve">Virginia Cooperative Extension - Loudoun Master Gardeners</w:t>
      </w:r>
    </w:p>
    <w:p>
      <w:pPr>
        <w:pStyle w:val="ListParagraph"/>
        <w:numPr>
          <w:ilvl w:val="0"/>
          <w:numId w:val="2"/>
        </w:numPr>
      </w:pPr>
      <w:r>
        <w:t xml:space="preserve">Virginia Biological Farming Association</w:t>
      </w:r>
    </w:p>
    <w:p>
      <w:pPr>
        <w:pStyle w:val="ListParagraph"/>
        <w:numPr>
          <w:ilvl w:val="0"/>
          <w:numId w:val="2"/>
        </w:numPr>
        <w:spacing w:after="200"/>
      </w:pPr>
      <w:r>
        <w:t xml:space="preserve">Blue Ridge PRISM (invasive species network)</w:t>
      </w:r>
    </w:p>
    <w:p>
      <w:pPr>
        <w:pStyle w:val="Heading1"/>
      </w:pPr>
      <w:r>
        <w:t xml:space="preserve">10. SOIL HEALTH ASSESSMENT PLAN</w:t>
      </w:r>
    </w:p>
    <w:p>
      <w:pPr>
        <w:pStyle w:val="Heading2"/>
      </w:pPr>
      <w:r>
        <w:t xml:space="preserve">10.1 Baseline Testing (Year 1, Q1)</w:t>
      </w:r>
    </w:p>
    <w:p>
      <w:pPr>
        <w:pStyle w:val="ListParagraph"/>
        <w:numPr>
          <w:ilvl w:val="0"/>
          <w:numId w:val="2"/>
        </w:numPr>
      </w:pPr>
      <w:r>
        <w:t xml:space="preserve">Soil organic matter percentage</w:t>
      </w:r>
    </w:p>
    <w:p>
      <w:pPr>
        <w:pStyle w:val="ListParagraph"/>
        <w:numPr>
          <w:ilvl w:val="0"/>
          <w:numId w:val="2"/>
        </w:numPr>
      </w:pPr>
      <w:r>
        <w:t xml:space="preserve">Aggregate stability (slake test)</w:t>
      </w:r>
    </w:p>
    <w:p>
      <w:pPr>
        <w:pStyle w:val="ListParagraph"/>
        <w:numPr>
          <w:ilvl w:val="0"/>
          <w:numId w:val="2"/>
        </w:numPr>
      </w:pPr>
      <w:r>
        <w:t xml:space="preserve">Water infiltration rate</w:t>
      </w:r>
    </w:p>
    <w:p>
      <w:pPr>
        <w:pStyle w:val="ListParagraph"/>
        <w:numPr>
          <w:ilvl w:val="0"/>
          <w:numId w:val="2"/>
        </w:numPr>
      </w:pPr>
      <w:r>
        <w:t xml:space="preserve">Biological activity (CO2 burst test)</w:t>
      </w:r>
    </w:p>
    <w:p>
      <w:pPr>
        <w:pStyle w:val="ListParagraph"/>
        <w:numPr>
          <w:ilvl w:val="0"/>
          <w:numId w:val="2"/>
        </w:numPr>
        <w:spacing w:after="200"/>
      </w:pPr>
      <w:r>
        <w:t xml:space="preserve">Photo documentation of soil structure</w:t>
      </w:r>
    </w:p>
    <w:p>
      <w:pPr>
        <w:pStyle w:val="Heading2"/>
      </w:pPr>
      <w:r>
        <w:t xml:space="preserve">10.2 Ongoing Monitoring</w:t>
      </w:r>
    </w:p>
    <w:p>
      <w:pPr>
        <w:pStyle w:val="ListParagraph"/>
        <w:numPr>
          <w:ilvl w:val="0"/>
          <w:numId w:val="2"/>
        </w:numPr>
      </w:pPr>
      <w:r>
        <w:t xml:space="preserve">Visual soil assessments at each amendment application</w:t>
      </w:r>
    </w:p>
    <w:p>
      <w:pPr>
        <w:pStyle w:val="ListParagraph"/>
        <w:numPr>
          <w:ilvl w:val="0"/>
          <w:numId w:val="2"/>
        </w:numPr>
      </w:pPr>
      <w:r>
        <w:t xml:space="preserve">Annual comparative soil tests at all participating farms</w:t>
      </w:r>
    </w:p>
    <w:p>
      <w:pPr>
        <w:pStyle w:val="ListParagraph"/>
        <w:numPr>
          <w:ilvl w:val="0"/>
          <w:numId w:val="2"/>
        </w:numPr>
        <w:spacing w:after="200"/>
      </w:pPr>
      <w:r>
        <w:t xml:space="preserve">Track cubic yards of amendments produced and distributed</w:t>
      </w:r>
    </w:p>
    <w:p>
      <w:pPr>
        <w:pStyle w:val="Heading1"/>
      </w:pPr>
      <w:r>
        <w:t xml:space="preserve">11. PROJECT TIMELINE (2-Year Grant Period)</w:t>
      </w:r>
    </w:p>
    <w:p>
      <w:pPr>
        <w:pStyle w:val="Heading2"/>
      </w:pPr>
      <w:r>
        <w:t xml:space="preserve">Year 1</w:t>
      </w:r>
    </w:p>
    <w:p>
      <w:pPr>
        <w:pStyle w:val="ListParagraph"/>
        <w:numPr>
          <w:ilvl w:val="0"/>
          <w:numId w:val="4"/>
        </w:numPr>
      </w:pPr>
      <w:r>
        <w:rPr>
          <w:b/>
          <w:bCs/>
        </w:rPr>
        <w:t xml:space="preserve">Q1: </w:t>
      </w:r>
      <w:r>
        <w:t xml:space="preserve">Equipment procurement, baseline soil testing, guild structure formalization</w:t>
      </w:r>
    </w:p>
    <w:p>
      <w:pPr>
        <w:pStyle w:val="ListParagraph"/>
        <w:numPr>
          <w:ilvl w:val="0"/>
          <w:numId w:val="4"/>
        </w:numPr>
      </w:pPr>
      <w:r>
        <w:rPr>
          <w:b/>
          <w:bCs/>
        </w:rPr>
        <w:t xml:space="preserve">Q2: </w:t>
      </w:r>
      <w:r>
        <w:t xml:space="preserve">Equipment training, first processing events, establish collection partnerships</w:t>
      </w:r>
    </w:p>
    <w:p>
      <w:pPr>
        <w:pStyle w:val="ListParagraph"/>
        <w:numPr>
          <w:ilvl w:val="0"/>
          <w:numId w:val="4"/>
        </w:numPr>
      </w:pPr>
      <w:r>
        <w:rPr>
          <w:b/>
          <w:bCs/>
        </w:rPr>
        <w:t xml:space="preserve">Q3: </w:t>
      </w:r>
      <w:r>
        <w:t xml:space="preserve">First biochar production cycle, summer field day</w:t>
      </w:r>
    </w:p>
    <w:p>
      <w:pPr>
        <w:pStyle w:val="ListParagraph"/>
        <w:numPr>
          <w:ilvl w:val="0"/>
          <w:numId w:val="4"/>
        </w:numPr>
        <w:spacing w:after="200"/>
      </w:pPr>
      <w:r>
        <w:rPr>
          <w:b/>
          <w:bCs/>
        </w:rPr>
        <w:t xml:space="preserve">Q4: </w:t>
      </w:r>
      <w:r>
        <w:t xml:space="preserve">Fall demonstration events, amendment applications to member farms</w:t>
      </w:r>
    </w:p>
    <w:p>
      <w:pPr>
        <w:pStyle w:val="Heading2"/>
      </w:pPr>
      <w:r>
        <w:t xml:space="preserve">Year 2</w:t>
      </w:r>
    </w:p>
    <w:p>
      <w:pPr>
        <w:pStyle w:val="ListParagraph"/>
        <w:numPr>
          <w:ilvl w:val="0"/>
          <w:numId w:val="4"/>
        </w:numPr>
      </w:pPr>
      <w:r>
        <w:rPr>
          <w:b/>
          <w:bCs/>
        </w:rPr>
        <w:t xml:space="preserve">Q1-Q2: </w:t>
      </w:r>
      <w:r>
        <w:t xml:space="preserve">Expanded processing operations, second round of soil testing</w:t>
      </w:r>
    </w:p>
    <w:p>
      <w:pPr>
        <w:pStyle w:val="ListParagraph"/>
        <w:numPr>
          <w:ilvl w:val="0"/>
          <w:numId w:val="4"/>
        </w:numPr>
      </w:pPr>
      <w:r>
        <w:rPr>
          <w:b/>
          <w:bCs/>
        </w:rPr>
        <w:t xml:space="preserve">Q3: </w:t>
      </w:r>
      <w:r>
        <w:t xml:space="preserve">Major field day with VSHC partnership, case study publication</w:t>
      </w:r>
    </w:p>
    <w:p>
      <w:pPr>
        <w:pStyle w:val="ListParagraph"/>
        <w:numPr>
          <w:ilvl w:val="0"/>
          <w:numId w:val="4"/>
        </w:numPr>
        <w:spacing w:after="200"/>
      </w:pPr>
      <w:r>
        <w:rPr>
          <w:b/>
          <w:bCs/>
        </w:rPr>
        <w:t xml:space="preserve">Q4: </w:t>
      </w:r>
      <w:r>
        <w:t xml:space="preserve">Final soil assessments, project documentation, sustainability plan for ongoing operations</w:t>
      </w:r>
    </w:p>
    <w:p>
      <w:pPr>
        <w:pStyle w:val="Heading1"/>
      </w:pPr>
      <w:r>
        <w:t xml:space="preserve">12. LONG-TERM SUSTAINABILITY</w:t>
      </w:r>
    </w:p>
    <w:p>
      <w:pPr>
        <w:spacing w:after="200"/>
      </w:pPr>
      <w:r>
        <w:t xml:space="preserve">The grant establishes infrastructure that continues beyond the funding period:</w:t>
      </w:r>
    </w:p>
    <w:p>
      <w:pPr>
        <w:pStyle w:val="ListParagraph"/>
        <w:numPr>
          <w:ilvl w:val="0"/>
          <w:numId w:val="2"/>
        </w:numPr>
      </w:pPr>
      <w:r>
        <w:rPr>
          <w:b/>
          <w:bCs/>
        </w:rPr>
        <w:t xml:space="preserve">Equipment longevity: </w:t>
      </w:r>
      <w:r>
        <w:t xml:space="preserve">Commercial equipment has 10-15+ year lifespan with maintenance</w:t>
      </w:r>
    </w:p>
    <w:p>
      <w:pPr>
        <w:pStyle w:val="ListParagraph"/>
        <w:numPr>
          <w:ilvl w:val="0"/>
          <w:numId w:val="2"/>
        </w:numPr>
      </w:pPr>
      <w:r>
        <w:rPr>
          <w:b/>
          <w:bCs/>
        </w:rPr>
        <w:t xml:space="preserve">Fee-for-service: </w:t>
      </w:r>
      <w:r>
        <w:t xml:space="preserve">Non-member fees and processing charges fund ongoing operations</w:t>
      </w:r>
    </w:p>
    <w:p>
      <w:pPr>
        <w:pStyle w:val="ListParagraph"/>
        <w:numPr>
          <w:ilvl w:val="0"/>
          <w:numId w:val="2"/>
        </w:numPr>
      </w:pPr>
      <w:r>
        <w:rPr>
          <w:b/>
          <w:bCs/>
        </w:rPr>
        <w:t xml:space="preserve">Carbon credit potential: </w:t>
      </w:r>
      <w:r>
        <w:t xml:space="preserve">Biochar production creates future revenue through carbon markets</w:t>
      </w:r>
    </w:p>
    <w:p>
      <w:pPr>
        <w:pStyle w:val="ListParagraph"/>
        <w:numPr>
          <w:ilvl w:val="0"/>
          <w:numId w:val="2"/>
        </w:numPr>
        <w:spacing w:after="200"/>
      </w:pPr>
      <w:r>
        <w:rPr>
          <w:b/>
          <w:bCs/>
        </w:rPr>
        <w:t xml:space="preserve">Membership growth: </w:t>
      </w:r>
      <w:r>
        <w:t xml:space="preserve">Demonstrated success attracts additional farms to the cooperative</w:t>
      </w:r>
    </w:p>
    <w:p>
      <w:pPr>
        <w:pStyle w:val="Heading1"/>
      </w:pPr>
      <w:r>
        <w:t xml:space="preserve">13. APPLICANT INFORMATION</w:t>
      </w:r>
    </w:p>
    <w:p>
      <w:pPr>
        <w:pStyle w:val="Heading2"/>
      </w:pPr>
      <w:r>
        <w:t xml:space="preserve">Primary Contact</w:t>
      </w:r>
    </w:p>
    <w:p>
      <w:r>
        <w:rPr>
          <w:b/>
          <w:bCs/>
        </w:rPr>
        <w:t xml:space="preserve">Name: </w:t>
      </w:r>
      <w:r>
        <w:t xml:space="preserve">Bruce Weaver</w:t>
      </w:r>
    </w:p>
    <w:p>
      <w:r>
        <w:rPr>
          <w:b/>
          <w:bCs/>
        </w:rPr>
        <w:t xml:space="preserve">Role: </w:t>
      </w:r>
      <w:r>
        <w:t xml:space="preserve">Guild Coordinator / Caretaker, Calcagnini Contemplative Center</w:t>
      </w:r>
    </w:p>
    <w:p>
      <w:r>
        <w:rPr>
          <w:b/>
          <w:bCs/>
        </w:rPr>
        <w:t xml:space="preserve">Email: </w:t>
      </w:r>
      <w:r>
        <w:t xml:space="preserve">ecohood@gmail.com</w:t>
      </w:r>
    </w:p>
    <w:p>
      <w:r>
        <w:rPr>
          <w:b/>
          <w:bCs/>
        </w:rPr>
        <w:t xml:space="preserve">Phone: </w:t>
      </w:r>
      <w:r>
        <w:t xml:space="preserve">[To be added]</w:t>
      </w:r>
    </w:p>
    <w:p>
      <w:pPr>
        <w:spacing w:after="200"/>
      </w:pPr>
      <w:r>
        <w:rPr>
          <w:b/>
          <w:bCs/>
        </w:rPr>
        <w:t xml:space="preserve">Hub Location: </w:t>
      </w:r>
      <w:r>
        <w:t xml:space="preserve">Georgetown University Calcagnini Contemplative Center, Clarke County, VA</w:t>
      </w:r>
    </w:p>
    <w:p>
      <w:pPr>
        <w:pStyle w:val="Heading2"/>
      </w:pPr>
      <w:r>
        <w:t xml:space="preserve">Applicant Qualifications</w:t>
      </w:r>
    </w:p>
    <w:p>
      <w:pPr>
        <w:pStyle w:val="ListParagraph"/>
        <w:numPr>
          <w:ilvl w:val="0"/>
          <w:numId w:val="2"/>
        </w:numPr>
      </w:pPr>
      <w:r>
        <w:t xml:space="preserve">30+ years facilities and land stewardship experience</w:t>
      </w:r>
    </w:p>
    <w:p>
      <w:pPr>
        <w:pStyle w:val="ListParagraph"/>
        <w:numPr>
          <w:ilvl w:val="0"/>
          <w:numId w:val="2"/>
        </w:numPr>
      </w:pPr>
      <w:r>
        <w:t xml:space="preserve">U.S. Air Force veteran</w:t>
      </w:r>
    </w:p>
    <w:p>
      <w:pPr>
        <w:pStyle w:val="ListParagraph"/>
        <w:numPr>
          <w:ilvl w:val="0"/>
          <w:numId w:val="2"/>
        </w:numPr>
      </w:pPr>
      <w:r>
        <w:t xml:space="preserve">Current land manager for 55-acre contemplative center</w:t>
      </w:r>
    </w:p>
    <w:p>
      <w:pPr>
        <w:pStyle w:val="ListParagraph"/>
        <w:numPr>
          <w:ilvl w:val="0"/>
          <w:numId w:val="2"/>
        </w:numPr>
        <w:spacing w:after="200"/>
      </w:pPr>
      <w:r>
        <w:t xml:space="preserve">Developer of Eden Regeneration Project vision for integrated land stewardship</w:t>
      </w:r>
    </w:p>
    <w:p>
      <w:pPr>
        <w:pStyle w:val="Heading1"/>
      </w:pPr>
      <w:r>
        <w:t xml:space="preserve">CLOSING STATEMENT</w:t>
      </w:r>
    </w:p>
    <w:p>
      <w:pPr>
        <w:spacing w:after="200"/>
      </w:pPr>
      <w:r>
        <w:t xml:space="preserve">This project transforms a regional crisis—invasive overgrowth creating fire hazards and degraded farmland soils—into a regenerative solution. By building shared infrastructure for biomass processing, the Farm Food Friends Guild creates lasting capacity for Clarke and Loudoun County farmers to grow soil before they grow food. The cooperative model ensures that small and beginning farmers who need these resources most can access them affordably, while the educational outreach component spreads these practices across the Virginia farming community.</w:t>
      </w:r>
    </w:p>
    <w:p>
      <w:pPr>
        <w:spacing w:before="400" w:after="200"/>
        <w:jc w:val="center"/>
      </w:pPr>
      <w:r>
        <w:rPr>
          <w:i/>
          <w:iCs/>
          <w:color w:val="2E5339"/>
          <w:sz w:val="28"/>
          <w:szCs w:val="28"/>
        </w:rPr>
        <w:t xml:space="preserve">Growing Soil. Growing Community. Growing Virginia.</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Farm Food Friends Guild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Regenerate Virginia 2026 Healthy Soils Grant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E5339"/>
      <w:sz w:val="56"/>
      <w:szCs w:val="56"/>
    </w:rPr>
  </w:style>
  <w:style w:type="paragraph" w:styleId="Heading1">
    <w:name w:val="Heading 1"/>
    <w:basedOn w:val="Normal"/>
    <w:next w:val="Normal"/>
    <w:qFormat/>
    <w:pPr>
      <w:spacing w:before="300" w:after="120"/>
      <w:outlineLvl w:val="0"/>
    </w:pPr>
    <w:rPr>
      <w:rFonts w:ascii="Arial" w:cs="Arial" w:eastAsia="Arial" w:hAnsi="Arial"/>
      <w:b/>
      <w:bCs/>
      <w:color w:val="2E533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A7C59"/>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5A8F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2025-12-08T00:59:06.811Z</dcterms:created>
  <dcterms:modified xsi:type="dcterms:W3CDTF">2025-12-08T00:59:06.812Z</dcterms:modified>
</cp:coreProperties>
</file>

<file path=docProps/custom.xml><?xml version="1.0" encoding="utf-8"?>
<Properties xmlns="http://schemas.openxmlformats.org/officeDocument/2006/custom-properties" xmlns:vt="http://schemas.openxmlformats.org/officeDocument/2006/docPropsVTypes"/>
</file>