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B2105" w14:textId="52BF7A54" w:rsidR="00EB1985" w:rsidRDefault="00EB1985">
      <w:pPr>
        <w:spacing w:after="100"/>
        <w:jc w:val="center"/>
      </w:pPr>
    </w:p>
    <w:p w14:paraId="0D33D810" w14:textId="18F4A140" w:rsidR="006D19EF" w:rsidRDefault="006D19EF" w:rsidP="00610F5D">
      <w:pPr>
        <w:spacing w:before="40" w:after="40" w:line="360" w:lineRule="auto"/>
        <w:jc w:val="both"/>
        <w:rPr>
          <w:b/>
          <w:bCs/>
          <w:sz w:val="22"/>
          <w:szCs w:val="22"/>
        </w:rPr>
      </w:pPr>
      <w:r>
        <w:rPr>
          <w:noProof/>
        </w:rPr>
        <w:drawing>
          <wp:inline distT="0" distB="0" distL="0" distR="0" wp14:anchorId="7BDADA01" wp14:editId="63492D29">
            <wp:extent cx="1284388" cy="11302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89724" cy="1134956"/>
                    </a:xfrm>
                    <a:prstGeom prst="rect">
                      <a:avLst/>
                    </a:prstGeom>
                  </pic:spPr>
                </pic:pic>
              </a:graphicData>
            </a:graphic>
          </wp:inline>
        </w:drawing>
      </w:r>
    </w:p>
    <w:p w14:paraId="559E7BD5" w14:textId="3AC0B02F" w:rsidR="00EB1985" w:rsidRDefault="00610F5D" w:rsidP="00610F5D">
      <w:pPr>
        <w:spacing w:before="40" w:after="40" w:line="360" w:lineRule="auto"/>
        <w:jc w:val="both"/>
      </w:pPr>
      <w:r>
        <w:rPr>
          <w:b/>
          <w:bCs/>
          <w:sz w:val="22"/>
          <w:szCs w:val="22"/>
        </w:rPr>
        <w:t>COLLEGE OF SCIENCE AND TECHNOLOGY</w:t>
      </w:r>
    </w:p>
    <w:p w14:paraId="3C016B01" w14:textId="77777777" w:rsidR="00EB1985" w:rsidRDefault="00610F5D" w:rsidP="00610F5D">
      <w:pPr>
        <w:spacing w:before="40" w:after="40" w:line="360" w:lineRule="auto"/>
        <w:jc w:val="both"/>
      </w:pPr>
      <w:r>
        <w:rPr>
          <w:b/>
          <w:bCs/>
          <w:sz w:val="22"/>
          <w:szCs w:val="22"/>
        </w:rPr>
        <w:t>SCHOOL OF ARCHITECTURE AND BUILT ENVIRONMENT</w:t>
      </w:r>
    </w:p>
    <w:p w14:paraId="1D72C9ED" w14:textId="77777777" w:rsidR="00EB1985" w:rsidRDefault="00610F5D" w:rsidP="00610F5D">
      <w:pPr>
        <w:spacing w:before="40" w:after="40" w:line="360" w:lineRule="auto"/>
        <w:jc w:val="both"/>
      </w:pPr>
      <w:r>
        <w:rPr>
          <w:b/>
          <w:bCs/>
          <w:sz w:val="22"/>
          <w:szCs w:val="22"/>
        </w:rPr>
        <w:t>DEPARTMENT OF SPATIAL PLANNING</w:t>
      </w:r>
    </w:p>
    <w:p w14:paraId="57B9444A" w14:textId="77777777" w:rsidR="00EB1985" w:rsidRDefault="00EB1985" w:rsidP="00610F5D">
      <w:pPr>
        <w:spacing w:before="40"/>
        <w:jc w:val="both"/>
      </w:pPr>
    </w:p>
    <w:p w14:paraId="797DB7C0" w14:textId="69F491D3" w:rsidR="00610F5D" w:rsidRDefault="00610F5D" w:rsidP="00610F5D">
      <w:pPr>
        <w:spacing w:before="40" w:after="40"/>
        <w:jc w:val="both"/>
        <w:rPr>
          <w:b/>
          <w:bCs/>
          <w:sz w:val="22"/>
          <w:szCs w:val="22"/>
        </w:rPr>
      </w:pPr>
      <w:r>
        <w:rPr>
          <w:b/>
          <w:bCs/>
          <w:sz w:val="22"/>
          <w:szCs w:val="22"/>
        </w:rPr>
        <w:t>Year 3 - Urban and Regional Planning</w:t>
      </w:r>
    </w:p>
    <w:p w14:paraId="66FF3E07" w14:textId="77777777" w:rsidR="00610F5D" w:rsidRDefault="00610F5D" w:rsidP="00610F5D">
      <w:pPr>
        <w:spacing w:before="40" w:after="40"/>
        <w:jc w:val="both"/>
        <w:rPr>
          <w:b/>
          <w:bCs/>
          <w:sz w:val="22"/>
          <w:szCs w:val="22"/>
        </w:rPr>
      </w:pPr>
    </w:p>
    <w:p w14:paraId="68FB875B" w14:textId="77777777" w:rsidR="00EB1985" w:rsidRDefault="00610F5D" w:rsidP="00610F5D">
      <w:pPr>
        <w:spacing w:before="40" w:after="40"/>
        <w:jc w:val="both"/>
      </w:pPr>
      <w:r>
        <w:rPr>
          <w:b/>
          <w:bCs/>
          <w:sz w:val="22"/>
          <w:szCs w:val="22"/>
        </w:rPr>
        <w:t>MACHINE LEARNING FOR EARTH OBSERVATION</w:t>
      </w:r>
    </w:p>
    <w:p w14:paraId="14848EB8" w14:textId="77777777" w:rsidR="00EB1985" w:rsidRDefault="00EB1985">
      <w:pPr>
        <w:spacing w:before="40"/>
      </w:pPr>
    </w:p>
    <w:p w14:paraId="3C63E875" w14:textId="0F36EBF3" w:rsidR="00EB1985" w:rsidRDefault="00EB1985">
      <w:pPr>
        <w:pBdr>
          <w:bottom w:val="single" w:sz="8" w:space="6" w:color="2E5DA6"/>
        </w:pBdr>
        <w:jc w:val="center"/>
      </w:pPr>
    </w:p>
    <w:p w14:paraId="5FD9B282" w14:textId="77777777" w:rsidR="00EB1985" w:rsidRDefault="00EB1985">
      <w:pPr>
        <w:spacing w:before="60"/>
      </w:pPr>
    </w:p>
    <w:p w14:paraId="7299EC01" w14:textId="77777777" w:rsidR="00883087" w:rsidRDefault="00883087">
      <w:pPr>
        <w:spacing w:before="60"/>
      </w:pPr>
    </w:p>
    <w:p w14:paraId="1344F634" w14:textId="77777777" w:rsidR="00883087" w:rsidRDefault="00883087">
      <w:pPr>
        <w:spacing w:before="60"/>
      </w:pPr>
    </w:p>
    <w:p w14:paraId="12992197" w14:textId="77777777" w:rsidR="00883087" w:rsidRDefault="00883087">
      <w:pPr>
        <w:spacing w:before="60"/>
      </w:pPr>
    </w:p>
    <w:p w14:paraId="3DA2158B" w14:textId="77777777" w:rsidR="00EB1985" w:rsidRPr="00907A95" w:rsidRDefault="00610F5D">
      <w:pPr>
        <w:spacing w:before="40" w:after="40"/>
        <w:jc w:val="center"/>
        <w:rPr>
          <w:b/>
          <w:bCs/>
        </w:rPr>
      </w:pPr>
      <w:r w:rsidRPr="00907A95">
        <w:rPr>
          <w:b/>
          <w:bCs/>
          <w:sz w:val="28"/>
          <w:szCs w:val="28"/>
        </w:rPr>
        <w:t>CONCEPT NOTE</w:t>
      </w:r>
    </w:p>
    <w:p w14:paraId="0E215A0E" w14:textId="77777777" w:rsidR="00EB1985" w:rsidRDefault="00EB1985">
      <w:pPr>
        <w:spacing w:before="60"/>
      </w:pPr>
    </w:p>
    <w:p w14:paraId="1DBE5FAE" w14:textId="77777777" w:rsidR="00883087" w:rsidRDefault="00883087">
      <w:pPr>
        <w:spacing w:before="60"/>
      </w:pPr>
    </w:p>
    <w:p w14:paraId="03CC1921" w14:textId="77777777" w:rsidR="00883087" w:rsidRDefault="00883087">
      <w:pPr>
        <w:spacing w:before="60"/>
      </w:pPr>
    </w:p>
    <w:p w14:paraId="5CD49A44" w14:textId="77777777" w:rsidR="00883087" w:rsidRDefault="00883087">
      <w:pPr>
        <w:spacing w:before="60"/>
      </w:pPr>
    </w:p>
    <w:p w14:paraId="20A6039D" w14:textId="77777777" w:rsidR="00883087" w:rsidRDefault="00883087">
      <w:pPr>
        <w:spacing w:before="60"/>
      </w:pPr>
    </w:p>
    <w:p w14:paraId="49468B50" w14:textId="77777777" w:rsidR="00883087" w:rsidRDefault="00883087">
      <w:pPr>
        <w:spacing w:before="60"/>
      </w:pPr>
    </w:p>
    <w:p w14:paraId="3088756C" w14:textId="77777777" w:rsidR="00EB1985" w:rsidRDefault="00610F5D">
      <w:pPr>
        <w:spacing w:before="40" w:after="20"/>
        <w:jc w:val="center"/>
      </w:pPr>
      <w:r>
        <w:rPr>
          <w:b/>
          <w:bCs/>
          <w:sz w:val="26"/>
          <w:szCs w:val="26"/>
        </w:rPr>
        <w:t>Estimating Urban Property Values through Neighbourhood Physical Quality:</w:t>
      </w:r>
    </w:p>
    <w:p w14:paraId="7E0D7BC2" w14:textId="77777777" w:rsidR="00EB1985" w:rsidRDefault="00610F5D">
      <w:pPr>
        <w:spacing w:after="20"/>
        <w:jc w:val="center"/>
      </w:pPr>
      <w:r>
        <w:rPr>
          <w:b/>
          <w:bCs/>
          <w:sz w:val="26"/>
          <w:szCs w:val="26"/>
        </w:rPr>
        <w:t>A Machine Learning and Sentinel-2 Approach in Kicukiro District</w:t>
      </w:r>
    </w:p>
    <w:p w14:paraId="6651C546" w14:textId="77777777" w:rsidR="00EB1985" w:rsidRDefault="00EB1985">
      <w:pPr>
        <w:spacing w:before="80"/>
      </w:pPr>
    </w:p>
    <w:p w14:paraId="7B162606" w14:textId="77777777" w:rsidR="00883087" w:rsidRDefault="00883087">
      <w:pPr>
        <w:spacing w:before="80"/>
      </w:pPr>
    </w:p>
    <w:p w14:paraId="55F4D9D6" w14:textId="77777777" w:rsidR="00883087" w:rsidRDefault="00883087">
      <w:pPr>
        <w:spacing w:before="80"/>
      </w:pPr>
    </w:p>
    <w:p w14:paraId="4E2E8146" w14:textId="77777777" w:rsidR="00883087" w:rsidRDefault="00883087">
      <w:pPr>
        <w:spacing w:before="80"/>
      </w:pPr>
    </w:p>
    <w:p w14:paraId="618C5D9B" w14:textId="77777777" w:rsidR="00883087" w:rsidRDefault="00883087">
      <w:pPr>
        <w:spacing w:before="80"/>
      </w:pPr>
    </w:p>
    <w:p w14:paraId="6A09FBBF" w14:textId="77777777" w:rsidR="00EB1985" w:rsidRDefault="00EB1985">
      <w:pPr>
        <w:pBdr>
          <w:bottom w:val="single" w:sz="8" w:space="6" w:color="2E5DA6"/>
        </w:pBdr>
        <w:jc w:val="center"/>
      </w:pPr>
    </w:p>
    <w:p w14:paraId="1C0BCF1E" w14:textId="77777777" w:rsidR="00EB1985" w:rsidRDefault="00EB1985">
      <w:pPr>
        <w:spacing w:before="100"/>
      </w:pPr>
    </w:p>
    <w:p w14:paraId="0C1567A0" w14:textId="1667AF07" w:rsidR="00EB1985" w:rsidRDefault="00610F5D">
      <w:pPr>
        <w:spacing w:before="40" w:after="40"/>
        <w:jc w:val="center"/>
      </w:pPr>
      <w:r>
        <w:rPr>
          <w:b/>
          <w:bCs/>
          <w:sz w:val="22"/>
          <w:szCs w:val="22"/>
        </w:rPr>
        <w:t xml:space="preserve">Submitted by: </w:t>
      </w:r>
      <w:r w:rsidR="00907A95">
        <w:rPr>
          <w:b/>
          <w:bCs/>
          <w:sz w:val="22"/>
          <w:szCs w:val="22"/>
        </w:rPr>
        <w:t>Brave INKINDI</w:t>
      </w:r>
    </w:p>
    <w:p w14:paraId="2C3521AB" w14:textId="4721ECAF" w:rsidR="00EB1985" w:rsidRDefault="00610F5D">
      <w:pPr>
        <w:spacing w:before="40" w:after="40"/>
        <w:jc w:val="center"/>
      </w:pPr>
      <w:r>
        <w:rPr>
          <w:b/>
          <w:bCs/>
          <w:sz w:val="22"/>
          <w:szCs w:val="22"/>
        </w:rPr>
        <w:t xml:space="preserve">Reg Number: </w:t>
      </w:r>
      <w:r w:rsidR="00907A95">
        <w:rPr>
          <w:b/>
          <w:bCs/>
          <w:sz w:val="22"/>
          <w:szCs w:val="22"/>
        </w:rPr>
        <w:t>223012644</w:t>
      </w:r>
    </w:p>
    <w:p w14:paraId="0D596DF9" w14:textId="77777777" w:rsidR="00EB1985" w:rsidRDefault="00EB1985">
      <w:pPr>
        <w:spacing w:before="200"/>
      </w:pPr>
    </w:p>
    <w:p w14:paraId="2CFDC8D6" w14:textId="77777777" w:rsidR="00610F5D" w:rsidRDefault="00610F5D">
      <w:pPr>
        <w:spacing w:before="200"/>
      </w:pPr>
    </w:p>
    <w:p w14:paraId="1F0E784F" w14:textId="77777777" w:rsidR="00EB1985" w:rsidRDefault="00610F5D">
      <w:pPr>
        <w:spacing w:before="300" w:after="120"/>
      </w:pPr>
      <w:r>
        <w:rPr>
          <w:b/>
          <w:bCs/>
          <w:sz w:val="26"/>
          <w:szCs w:val="26"/>
        </w:rPr>
        <w:t>Introduction</w:t>
      </w:r>
    </w:p>
    <w:p w14:paraId="092A3BE1" w14:textId="3FBE3F56" w:rsidR="00EB1985" w:rsidRDefault="00610F5D" w:rsidP="00610F5D">
      <w:pPr>
        <w:spacing w:before="80" w:after="80" w:line="360" w:lineRule="auto"/>
        <w:jc w:val="both"/>
      </w:pPr>
      <w:r>
        <w:t xml:space="preserve">Rapid </w:t>
      </w:r>
      <w:r w:rsidR="00907A95">
        <w:t>urbanization</w:t>
      </w:r>
      <w:r>
        <w:t xml:space="preserve"> is reshaping cities across sub-Saharan Africa at a quick pace, and Kigali stands among the most striking examples of this transformation. Rwanda’s capital has experienced sustained population growth and infrastructure expansion over the past two decades, drawing both domestic rural migrants and international investment into its urban economy. According to the Rwanda National Institute of Statistics </w:t>
      </w:r>
      <w:r w:rsidR="00907A95">
        <w:fldChar w:fldCharType="begin"/>
      </w:r>
      <w:r w:rsidR="00907A95">
        <w:instrText xml:space="preserve"> ADDIN ZOTERO_ITEM CSL_CITATION {"citationID":"QmTqGLhB","properties":{"unsorted":false,"formattedCitation":"(National Institute of Statistics of Rwanda, 2022)","plainCitation":"(National Institute of Statistics of Rwanda, 2022)","noteIndex":0},"citationItems":[{"id":13,"uris":["http://zotero.org/users/local/Z9y7S7oq/items/8XFKNK3L"],"itemData":{"id":13,"type":"report","publisher":"NISR","title":"Rwanda Population and Housing Census: Kigali City","author":[{"family":"National Institute of Statistics of Rwanda","given":""}],"issued":{"date-parts":[["2022"]]}}}],"schema":"https://github.com/citation-style-language/schema/raw/master/csl-citation.json"} </w:instrText>
      </w:r>
      <w:r w:rsidR="00907A95">
        <w:fldChar w:fldCharType="separate"/>
      </w:r>
      <w:r w:rsidR="00907A95" w:rsidRPr="00907A95">
        <w:t>(National Institute of Statistics of Rwanda, 2022)</w:t>
      </w:r>
      <w:r w:rsidR="00907A95">
        <w:fldChar w:fldCharType="end"/>
      </w:r>
      <w:r w:rsidR="00907A95">
        <w:t xml:space="preserve">, </w:t>
      </w:r>
      <w:r>
        <w:t>Kigali’s population is projected to reach 3.8 million by 2030, placing intense pressure on land markets across all three of the city’s administrative districts. Within this environment of growth, land prices in Kigali have risen sharply, with prime areas recording price increases of more than 300% between 2010 and 2022</w:t>
      </w:r>
      <w:r w:rsidR="00907A95">
        <w:fldChar w:fldCharType="begin"/>
      </w:r>
      <w:r w:rsidR="00907A95">
        <w:instrText xml:space="preserve"> ADDIN ZOTERO_ITEM CSL_CITATION {"citationID":"lXJOCNfv","properties":{"unsorted":false,"formattedCitation":"(World Bank, 2023)","plainCitation":"(World Bank, 2023)","noteIndex":0},"citationItems":[{"id":14,"uris":["http://zotero.org/users/local/Z9y7S7oq/items/WMZ69YRM"],"itemData":{"id":14,"type":"report","publisher":"World Bank","title":"Rwanda Urbanization Review: Managing Urban Growth for Prosperity","author":[{"family":"World Bank","given":""}],"issued":{"date-parts":[["2023"]]}}}],"schema":"https://github.com/citation-style-language/schema/raw/master/csl-citation.json"} </w:instrText>
      </w:r>
      <w:r w:rsidR="00907A95">
        <w:fldChar w:fldCharType="separate"/>
      </w:r>
      <w:r w:rsidR="00907A95" w:rsidRPr="00907A95">
        <w:t>(World Bank, 2023)</w:t>
      </w:r>
      <w:r w:rsidR="00907A95">
        <w:fldChar w:fldCharType="end"/>
      </w:r>
      <w:r w:rsidR="00907A95">
        <w:t>.</w:t>
      </w:r>
    </w:p>
    <w:p w14:paraId="3447DDA9" w14:textId="668B427D" w:rsidR="00EB1985" w:rsidRDefault="00610F5D" w:rsidP="00610F5D">
      <w:pPr>
        <w:spacing w:before="80" w:after="80" w:line="360" w:lineRule="auto"/>
        <w:jc w:val="both"/>
      </w:pPr>
      <w:r>
        <w:t xml:space="preserve">Kicukiro District, located in the south-eastern part of Kigali City and covering approximately 167 km² across 10 administrative sectors, presents a particularly compelling case study of this urban transformation. The district contains a striking contrast of built environments within a compact geographic area: planned, well-serviced residential and commercial zones in sectors such as </w:t>
      </w:r>
      <w:proofErr w:type="spellStart"/>
      <w:r>
        <w:t>Kagarama</w:t>
      </w:r>
      <w:proofErr w:type="spellEnd"/>
      <w:r>
        <w:t xml:space="preserve"> and </w:t>
      </w:r>
      <w:proofErr w:type="spellStart"/>
      <w:r>
        <w:t>Niboye</w:t>
      </w:r>
      <w:proofErr w:type="spellEnd"/>
      <w:r>
        <w:t xml:space="preserve"> in the west, transitional mixed-use areas in Kanombe and Kicukiro Centre, and rapidly densifying informal settlements in eastern sectors such as </w:t>
      </w:r>
      <w:proofErr w:type="spellStart"/>
      <w:r>
        <w:t>Gatenga</w:t>
      </w:r>
      <w:proofErr w:type="spellEnd"/>
      <w:r>
        <w:t xml:space="preserve"> and Busanza </w:t>
      </w:r>
      <w:r w:rsidR="00907A95">
        <w:fldChar w:fldCharType="begin"/>
      </w:r>
      <w:r w:rsidR="00907A95">
        <w:instrText xml:space="preserve"> ADDIN ZOTERO_ITEM CSL_CITATION {"citationID":"4VGgNtPo","properties":{"unsorted":false,"formattedCitation":"(City of Kigali, 2020)","plainCitation":"(City of Kigali, 2020)","noteIndex":0},"citationItems":[{"id":15,"uris":["http://zotero.org/users/local/Z9y7S7oq/items/3M5YC26E"],"itemData":{"id":15,"type":"report","publisher":"City of Kigali Urban Planning Division","title":"Kigali City Master Plan Review: Detailed Physical Plans for Priority Zones","author":[{"family":"City of Kigali","given":""}],"issued":{"date-parts":[["2020"]]}}}],"schema":"https://github.com/citation-style-language/schema/raw/master/csl-citation.json"} </w:instrText>
      </w:r>
      <w:r w:rsidR="00907A95">
        <w:fldChar w:fldCharType="separate"/>
      </w:r>
      <w:r w:rsidR="00907A95" w:rsidRPr="00907A95">
        <w:t>(City of Kigali, 2020)</w:t>
      </w:r>
      <w:r w:rsidR="00907A95">
        <w:fldChar w:fldCharType="end"/>
      </w:r>
      <w:r>
        <w:t>. This makes Kicukiro an ideal laboratory for studying the relationship between the physical characteristics of urban space and the land values those characteristics generate.</w:t>
      </w:r>
    </w:p>
    <w:p w14:paraId="440F7BB4" w14:textId="0E062441" w:rsidR="00EB1985" w:rsidRDefault="00610F5D" w:rsidP="00907A95">
      <w:pPr>
        <w:spacing w:before="80" w:after="80" w:line="360" w:lineRule="auto"/>
        <w:jc w:val="both"/>
      </w:pPr>
      <w:r>
        <w:t>While property prices are shaped by many economic and social factors, the physical quality of the built environment</w:t>
      </w:r>
      <w:r w:rsidR="00907A95">
        <w:t>,</w:t>
      </w:r>
      <w:r>
        <w:t xml:space="preserve"> measured through indicators such as vegetation cover, building density, and spatial order</w:t>
      </w:r>
      <w:r w:rsidR="00D7669F">
        <w:t xml:space="preserve">, </w:t>
      </w:r>
      <w:r>
        <w:t>remains one of the most consistent and spatially explicit drivers of land value</w:t>
      </w:r>
      <w:r w:rsidR="00D7669F">
        <w:t xml:space="preserve"> </w:t>
      </w:r>
      <w:r w:rsidR="00D7669F">
        <w:fldChar w:fldCharType="begin"/>
      </w:r>
      <w:r w:rsidR="00D7669F">
        <w:instrText xml:space="preserve"> ADDIN ZOTERO_ITEM CSL_CITATION {"citationID":"8LB3RHr6","properties":{"unsorted":false,"formattedCitation":"(Bockarjova et al., 2020)","plainCitation":"(Bockarjova et al., 2020)","noteIndex":0},"citationItems":[{"id":16,"uris":["http://zotero.org/users/local/Z9y7S7oq/items/DBFUIRI8"],"itemData":{"id":16,"type":"article-journal","abstract":"Although green interventions, like nature-based solutions, contribute to more sustainable urban environments and provide ecosystem services to urban populations, some impacts are not well understood. This particularly applies to social impacts in the domain of environmental justice, including (green) gentrification. Gentrification refers to a process in which green urban renewal raises property prices, which results in an influx of affluent people, displacing poorer residents. Our study conducts a meta-analysis based on 37 primary hedonic pricing studies, to estimate value transfer functions that can assess the effects of nature types on property prices in various urban settings. Urban nature has positive impacts on house value in the areas surrounding it, which depend on population density, distance to, and the type of, urban nature. We illustrate how the estimated benefit transfer function can be applied to natural interventions in a Dutch city, and visualize the obtained effects using mapping. These maps show the distance decay of the cumulative effects of urban nature interventions on the house value at the city and the neighbourhood levels. Our application estimated increases in local property values up to a maximum of 20 % compared with properties not affected by the interventions, with value equivalent of 62,650 USD, at average prevailing price level in a particular area in Utrecht. When new nature is being planned in urban areas our mapping approach can be used for guiding assessments of potential undesirable effects on property values that may lead to green gentrification, and for identifying where additional policies may be needed to contribute to environmental justice.","container-title":"Environmental Science &amp; Policy","DOI":"10.1016/j.envsci.2020.06.024","ISSN":"1462-9011","journalAbbreviation":"Environmental Science &amp; Policy","page":"293-304","source":"ScienceDirect","title":"Property price effects of green interventions in cities: A meta-analysis and implications for gentrification","title-short":"Property price effects of green interventions in cities","volume":"112","author":[{"family":"Bockarjova","given":"M."},{"family":"Botzen","given":"W. J. W."},{"family":"Schie","given":"M. H.","non-dropping-particle":"van"},{"family":"Koetse","given":"M. J."}],"issued":{"date-parts":[["2020",10,1]]}}}],"schema":"https://github.com/citation-style-language/schema/raw/master/csl-citation.json"} </w:instrText>
      </w:r>
      <w:r w:rsidR="00D7669F">
        <w:fldChar w:fldCharType="separate"/>
      </w:r>
      <w:r w:rsidR="00D7669F" w:rsidRPr="00D7669F">
        <w:t>(</w:t>
      </w:r>
      <w:proofErr w:type="spellStart"/>
      <w:r w:rsidR="00D7669F" w:rsidRPr="00D7669F">
        <w:t>Bockarjova</w:t>
      </w:r>
      <w:proofErr w:type="spellEnd"/>
      <w:r w:rsidR="00D7669F" w:rsidRPr="00D7669F">
        <w:t xml:space="preserve"> et al., 2020)</w:t>
      </w:r>
      <w:r w:rsidR="00D7669F">
        <w:fldChar w:fldCharType="end"/>
      </w:r>
      <w:r w:rsidRPr="002610A2">
        <w:rPr>
          <w:color w:val="EE0000"/>
        </w:rPr>
        <w:t xml:space="preserve">. </w:t>
      </w:r>
      <w:r>
        <w:t xml:space="preserve">Satellite remote sensing offers a scalable method to measure precisely these physical indicators. Sentinel-2 multispectral imagery, with its 10-metre spatial resolution and freely available archive, can capture vegetation density through the </w:t>
      </w:r>
      <w:r w:rsidR="002610A2">
        <w:t>Normalized</w:t>
      </w:r>
      <w:r>
        <w:t xml:space="preserve"> Difference Vegetation Index (NDVI), built-up intensity through the </w:t>
      </w:r>
      <w:r w:rsidR="002610A2">
        <w:t>Normalized</w:t>
      </w:r>
      <w:r>
        <w:t xml:space="preserve"> Difference Built-up Index (NDBI), and the spatial texture of urban surfaces through Grey-Level Co-occurrence Matrix (GLCM) metrics</w:t>
      </w:r>
      <w:r w:rsidR="00D7669F">
        <w:fldChar w:fldCharType="begin"/>
      </w:r>
      <w:r w:rsidR="00D7669F">
        <w:instrText xml:space="preserve"> ADDIN ZOTERO_ITEM CSL_CITATION {"citationID":"6ncVPYph","properties":{"unsorted":false,"formattedCitation":"(Aryal et al., 2023; Xu et al., 2022)","plainCitation":"(Aryal et al., 2023; Xu et al., 2022)","noteIndex":0},"citationItems":[{"id":19,"uris":["http://zotero.org/users/local/Z9y7S7oq/items/IGNWTTMG"],"itemData":{"id":19,"type":"article-journal","abstract":"Abstract\n            \n              Accurate spatial information on Land use and land cover (LULC) plays a crucial role in city planning. A widely used method of obtaining accurate LULC maps is a classification of the categories, which is one of the challenging problems. Attempts have been made considering spectral (\n              Sp\n              ), statistical (\n              St\n              ), and index-based (\n              Ind\n              ) features in developing LULC maps for city planning. However, no work has been reported to automate LULC performance modeling for their robustness with machine learning (ML) algorithms. In this paper, we design seven schemes and automate the LULC performance modeling with six ML algorithms-Random Forest, Support Vector Machine with Linear kernel, Support Vector Machine with Radial basis function kernel, Artificial Neural Network, Naïve Bayes, and Generalised Linear Model for the city of Melbourne, Australia on Sentinel-2A images. Experimental results show that the Random Forest outperforms remaining ML algorithms in the classification accuracy (0.99) on all schemes. The robustness and statistical analysis of the ML algorithms (for example, Random Forest imparts over 0.99 F1-score for all five categories and\n              p\n              value \n              \n                \n                  $$\\le$$\n                  \n                    ≤\n                  \n                \n              \n               0.05 from Wilcoxon ranked test over accuracy measures) against varying training splits demonstrate the effectiveness of the proposed schemes. Thus, providing a robust measure of LULC maps in city planning.","container-title":"Scientific Reports","DOI":"10.1038/s41598-023-40564-0","ISSN":"2045-2322","issue":"1","journalAbbreviation":"Sci Rep","language":"en","page":"13510","source":"DOI.org (Crossref)","title":"Land use and land cover (LULC) performance modeling using machine learning algorithms: a case study of the city of Melbourne, Australia","title-short":"Land use and land cover (LULC) performance modeling using machine learning algorithms","volume":"13","author":[{"family":"Aryal","given":"Jagannath"},{"family":"Sitaula","given":"Chiranjibi"},{"family":"Frery","given":"Alejandro C."}],"issued":{"date-parts":[["2023",8,19]]}}},{"id":20,"uris":["http://zotero.org/users/local/Z9y7S7oq/items/SRYDCKI8"],"itemData":{"id":20,"type":"article-journal","abstract":"Abstract\n            Because of its high spatial resolution (10 m and 20 m), rich spectral information (10 spectral bands), and short revisit period (5 days), Sentinel-2 provides new opportunities for earth observation. However, in urban environments, data limitations in the spatial and spectral dimensions constrain Sentinel-2’s performance: (i) the spatial resolution of Sentinel-2 is not sufficient to resolve the heterogeneous urban landscapes, and the prevalence of mixed pixels lowers the performance of image classifiers; (ii) the spectral resolution of Sentinel-2 is not able to fully account for the spectral variability of urban surface materials, which increases the probability that image classifiers mislabels urban land covers. Also, the 5-day temporal resolution makes Sentinel-2 image data suitable for time series analysis, but its contribution to urban land cover mapping still needs to be quantified. This study evaluated Sentinel-2’s performance in mapping urban land covers by mitigating the effect of spectral variability (using FDA, Fisher Discriminant Analysis), improving the spatial resolution of images (using UnFuSen2, a state-of-art Sentinel-2 image fusion approach), and utilizing temporal and spectral characteristics from image time series. Overall, we found that the image time series processed by UnFuSen2 enables the classifiers of k nearest neighbor (KNN), maximum likelihood (MLC), and random forests (RF) to perform the best, and multiple endmember spectra mixture analysis (MESMA) is suitable for classifying image time series that have been jointly processed by FDA and UnFuSen2. Besides, we found a significant contribution of spring and summer imagery to the improvement of land cover mapping accuracy in the Brussels Capital Region.","container-title":"Urban Informatics","DOI":"10.1007/s44212-022-00008-y","ISSN":"2731-6963","issue":"1","journalAbbreviation":"Urban Info","language":"en","page":"8","source":"DOI.org (Crossref)","title":"Urban land cover mapping with Sentinel-2: a spectro-spatio-temporal analysis","title-short":"Urban land cover mapping with Sentinel-2","volume":"1","author":[{"family":"Xu","given":"Fei"},{"family":"Heremans","given":"Stien"},{"family":"Somers","given":"Ben"}],"issued":{"date-parts":[["2022",10,2]]}}}],"schema":"https://github.com/citation-style-language/schema/raw/master/csl-citation.json"} </w:instrText>
      </w:r>
      <w:r w:rsidR="00D7669F">
        <w:fldChar w:fldCharType="separate"/>
      </w:r>
      <w:r w:rsidR="00D7669F" w:rsidRPr="00D7669F">
        <w:t>(Aryal et al., 2023; Xu et al., 2022)</w:t>
      </w:r>
      <w:r w:rsidR="00D7669F">
        <w:fldChar w:fldCharType="end"/>
      </w:r>
      <w:r>
        <w:t>. When fused and classified using a machine learning algorithm such as Random Forest, these features can produce a spatially explicit map of neighbourhood physical quality that serves as a practical proxy for property value zonation.</w:t>
      </w:r>
      <w:r w:rsidR="00D7669F">
        <w:fldChar w:fldCharType="begin"/>
      </w:r>
      <w:r w:rsidR="00D7669F">
        <w:instrText xml:space="preserve"> ADDIN ZOTERO_ITEM CSL_CITATION {"citationID":"vcbi89Mz","properties":{"unsorted":false,"formattedCitation":"(Mutale et al., 2024)","plainCitation":"(Mutale et al., 2024)","noteIndex":0},"citationItems":[{"id":22,"uris":["http://zotero.org/users/local/Z9y7S7oq/items/5C95G6AX"],"itemData":{"id":22,"type":"article-journal","abstract":"Reliable information plays a pivotal role in sustainable urban planning. With advancements in computer technology, geoinformatics tools enable accurate identification of land use and land cover (LULC) in both spatial and temporal dimensions. Given the need for precise information to enhance decision-making, it is imperative to assess the performance and reliability of classification algorithms in detecting LULC changes. While research on the application of machine learning algorithms in LULC evaluation is widespread in many countries, it remains limited in Zambia and Sri Lanka. Hence, we aimed to assess the reliability and performance of support vector machine (SVM), random forest (RF), and artificial neural network (ANN) algorithms for detecting changes in land use and land cover taking Lusaka and Colombo City as the study area from 1995 to 2023 using Landsat Thematic Mapper (TM), and Operational Land Imager (OLI). The results reveal that the RF and ANN models exhibited superior performance, both achieving Mean Overall Accuracy (MOA) of 96% for Colombo and 96% and 94% for Lusaka, respectively. Meanwhile, the SVM model yielded Overall Accuracy (OA) ranging between 77% and 94% for the years 1995 and 2023. Further, RF algorithm notably produced slightly higher OA and kappa coefficients, ranging between 0.92 and 0.97, when compared to both the ANN and SVM models, across both study areas. A predominant land use change was observed as the expansion of vegetation by 11,990 ha (60.4%), primarily through the conversion of 1,926 ha of bare lands into vegetation in Lusaka during 1995–2005. However, a noteworthy shift was observed as built-up areas experienced significant growth from 2005 to 2023, with a total increase of 25,110 ha (71%). However, despite the conversion of vegetation to built-up areas during the entire period from 1995 to 2023, there was still a net gain of over 11,000 ha (53.4%) in vegetation cover. In case of Colombo, built-up areas expanded by 1,779 ha (81.5%), while vegetation land decreased by 1,519 ha (62.3%) during concerned period. LULC simulation also indicated a 160-ha expansion of built-up areas during the 2023–2035 period in Lusaka. Likewise, Colombo saw a rise in built-up areas by 337 ha within the same period. Overall, the RF algorithm outperformed the ANN and SVM algorithms. Additionally, the prediction and simulation results indicate an upward trend in built-up areas in both scenarios. The resultant land cover maps provide a crucial baseline that will be invaluable for urban planning and policy development agencies in both countries.","container-title":"Frontiers in Environmental Science","DOI":"10.3389/fenvs.2024.1431645","ISSN":"2296-665X","journalAbbreviation":"Front. Environ. Sci.","page":"1431645","source":"DOI.org (Crossref)","title":"A performance evaluation of random forest, artificial neural network, and support vector machine learning algorithms to predict spatio-temporal land use-land cover dynamics: a case from lusaka and colombo","title-short":"A performance evaluation of random forest, artificial neural network, and support vector machine learning algorithms to predict spatio-temporal land use-land cover dynamics","volume":"12","author":[{"family":"Mutale","given":"Bwalya"},{"family":"Withanage","given":"Neel Chaminda"},{"family":"Mishra","given":"Prabuddh Kumar"},{"family":"Shen","given":"Jingwei"},{"family":"Abdelrahman","given":"Kamal"},{"family":"Fnais","given":"Mohammed S."}],"issued":{"date-parts":[["2024",9,12]]}}}],"schema":"https://github.com/citation-style-language/schema/raw/master/csl-citation.json"} </w:instrText>
      </w:r>
      <w:r w:rsidR="00D7669F">
        <w:fldChar w:fldCharType="separate"/>
      </w:r>
      <w:r w:rsidR="00D7669F" w:rsidRPr="00D7669F">
        <w:t>(Mutale et al., 2024)</w:t>
      </w:r>
      <w:r w:rsidR="00D7669F">
        <w:fldChar w:fldCharType="end"/>
      </w:r>
    </w:p>
    <w:p w14:paraId="015D9E92" w14:textId="77777777" w:rsidR="00D7669F" w:rsidRDefault="00D7669F" w:rsidP="002610A2">
      <w:pPr>
        <w:spacing w:before="80" w:after="80" w:line="360" w:lineRule="auto"/>
        <w:jc w:val="both"/>
      </w:pPr>
    </w:p>
    <w:p w14:paraId="21098408" w14:textId="0E5D653A" w:rsidR="00EB1985" w:rsidRDefault="00610F5D" w:rsidP="002610A2">
      <w:pPr>
        <w:spacing w:before="80" w:after="80" w:line="360" w:lineRule="auto"/>
        <w:jc w:val="both"/>
      </w:pPr>
      <w:r>
        <w:lastRenderedPageBreak/>
        <w:t>This project applies this approach to Kicukiro District, producing what would be the first machine learning-based Neighbourhood Physical Quality Map for the district</w:t>
      </w:r>
      <w:r w:rsidR="00D7669F">
        <w:t>,</w:t>
      </w:r>
      <w:r>
        <w:t xml:space="preserve"> a tool with direct relevance for property valuation, infrastructure investment planning, and equitable local revenue collection.</w:t>
      </w:r>
    </w:p>
    <w:p w14:paraId="051AE001" w14:textId="77777777" w:rsidR="00EB1985" w:rsidRDefault="00610F5D" w:rsidP="00610F5D">
      <w:pPr>
        <w:spacing w:before="300" w:after="120" w:line="360" w:lineRule="auto"/>
      </w:pPr>
      <w:r>
        <w:rPr>
          <w:b/>
          <w:bCs/>
          <w:sz w:val="26"/>
          <w:szCs w:val="26"/>
        </w:rPr>
        <w:t>Problem Statement</w:t>
      </w:r>
    </w:p>
    <w:p w14:paraId="73104992" w14:textId="77777777" w:rsidR="00EB1985" w:rsidRDefault="00610F5D" w:rsidP="002610A2">
      <w:pPr>
        <w:spacing w:before="80" w:after="80" w:line="360" w:lineRule="auto"/>
        <w:jc w:val="both"/>
      </w:pPr>
      <w:r>
        <w:t>Despite Kigali’s rapid urban growth and the well-documented surge in land values across its districts, property valuation in Rwanda continues to rely on periodic manual ground surveys carried out by valuation officers from the City of Kigali and the Rwanda Revenue Authority (RRA). These surveys are time-consuming, geographically incomplete, and conducted infrequently, creating a persistent gap between officially recorded property values and the on-the-ground reality. In a city growing as fast as Kigali, this gap widens each year and produces two critical governance failures.</w:t>
      </w:r>
    </w:p>
    <w:p w14:paraId="52E3639E" w14:textId="0D261E3E" w:rsidR="00EB1985" w:rsidRDefault="00610F5D" w:rsidP="002610A2">
      <w:pPr>
        <w:spacing w:before="80" w:after="80" w:line="360" w:lineRule="auto"/>
        <w:jc w:val="both"/>
      </w:pPr>
      <w:r>
        <w:t>The first failure is fiscal inequity. When sectors that have physically upgraded</w:t>
      </w:r>
      <w:r w:rsidR="002610A2">
        <w:t xml:space="preserve">, </w:t>
      </w:r>
      <w:r>
        <w:t>through new road surfacing, densification, or private construction investment</w:t>
      </w:r>
      <w:r w:rsidR="002610A2">
        <w:t>,</w:t>
      </w:r>
      <w:r>
        <w:t xml:space="preserve"> remain assessed at outdated values, the city loses legitimate tax </w:t>
      </w:r>
      <w:r w:rsidR="00D7669F">
        <w:t>revenue,</w:t>
      </w:r>
      <w:r>
        <w:t xml:space="preserve"> and the tax burden falls unevenly across residents and landowners. Sectors in Kicukiro such as </w:t>
      </w:r>
      <w:proofErr w:type="spellStart"/>
      <w:r>
        <w:t>Niboye</w:t>
      </w:r>
      <w:proofErr w:type="spellEnd"/>
      <w:r>
        <w:t xml:space="preserve">, which have seen significant formal housing development in recent years, may be underrepresented in the current valuation registry relative to their actual physical condition </w:t>
      </w:r>
      <w:r w:rsidR="002610A2">
        <w:fldChar w:fldCharType="begin"/>
      </w:r>
      <w:r w:rsidR="002610A2">
        <w:instrText xml:space="preserve"> ADDIN ZOTERO_ITEM CSL_CITATION {"citationID":"oqtqKFu3","properties":{"unsorted":false,"formattedCitation":"(City of Kigali, 2020)","plainCitation":"(City of Kigali, 2020)","noteIndex":0},"citationItems":[{"id":15,"uris":["http://zotero.org/users/local/Z9y7S7oq/items/3M5YC26E"],"itemData":{"id":15,"type":"report","publisher":"City of Kigali Urban Planning Division","title":"Kigali City Master Plan Review: Detailed Physical Plans for Priority Zones","author":[{"family":"City of Kigali","given":""}],"issued":{"date-parts":[["2020"]]}}}],"schema":"https://github.com/citation-style-language/schema/raw/master/csl-citation.json"} </w:instrText>
      </w:r>
      <w:r w:rsidR="002610A2">
        <w:fldChar w:fldCharType="separate"/>
      </w:r>
      <w:r w:rsidR="002610A2" w:rsidRPr="002610A2">
        <w:t>(City of Kigali, 2020)</w:t>
      </w:r>
      <w:r w:rsidR="002610A2">
        <w:fldChar w:fldCharType="end"/>
      </w:r>
      <w:r w:rsidR="002610A2">
        <w:t>.</w:t>
      </w:r>
    </w:p>
    <w:p w14:paraId="78718EB8" w14:textId="77777777" w:rsidR="00EB1985" w:rsidRDefault="00610F5D" w:rsidP="002610A2">
      <w:pPr>
        <w:spacing w:before="80" w:after="80" w:line="360" w:lineRule="auto"/>
        <w:jc w:val="both"/>
      </w:pPr>
      <w:r>
        <w:t>The second failure is planning inefficiency. Without a current, city-wide spatial picture of physical neighbourhood quality, planners and infrastructure agencies cannot systematically identify which areas are most in need of road rehabilitation, drainage investment, green space provision, or basic service upgrading. Decisions that should be spatially targeted end up being made on an ad hoc or politically driven basis.</w:t>
      </w:r>
    </w:p>
    <w:p w14:paraId="377D1F62" w14:textId="77777777" w:rsidR="00EB1985" w:rsidRDefault="00610F5D" w:rsidP="002610A2">
      <w:pPr>
        <w:spacing w:before="80" w:after="80" w:line="360" w:lineRule="auto"/>
        <w:jc w:val="both"/>
      </w:pPr>
      <w:r>
        <w:t>There is currently no automated, satellite-based tool that gives Kicukiro District planners a rapid, repeatable, and low-cost classification of neighbourhood physical quality. Although Sentinel-2 imagery provides sufficient spatial detail to distinguish the physical characteristics that separate a planned residential neighbourhood from a dense informal settlement, this data source has not yet been applied to property value proxy mapping in Kicukiro. This project fills that gap directly by developing a Random Forest classifier trained on Sentinel-2 spectral indices and GLCM texture features, producing a district-wide Neighbourhood Physical Quality Map that can be updated seasonally and used immediately by city planning and revenue authorities.</w:t>
      </w:r>
    </w:p>
    <w:p w14:paraId="2F7AD4F9" w14:textId="77777777" w:rsidR="002610A2" w:rsidRDefault="002610A2" w:rsidP="00610F5D">
      <w:pPr>
        <w:spacing w:before="300" w:after="120" w:line="360" w:lineRule="auto"/>
        <w:rPr>
          <w:b/>
          <w:bCs/>
          <w:sz w:val="26"/>
          <w:szCs w:val="26"/>
        </w:rPr>
      </w:pPr>
    </w:p>
    <w:p w14:paraId="5629B3DD" w14:textId="6F1C65D0" w:rsidR="00EB1985" w:rsidRDefault="00610F5D" w:rsidP="00610F5D">
      <w:pPr>
        <w:spacing w:before="300" w:after="120" w:line="360" w:lineRule="auto"/>
      </w:pPr>
      <w:r>
        <w:rPr>
          <w:b/>
          <w:bCs/>
          <w:sz w:val="26"/>
          <w:szCs w:val="26"/>
        </w:rPr>
        <w:t>Research Questions and Objectives</w:t>
      </w:r>
    </w:p>
    <w:p w14:paraId="18E60725" w14:textId="77777777" w:rsidR="00EB1985" w:rsidRDefault="00610F5D" w:rsidP="00D7669F">
      <w:pPr>
        <w:spacing w:before="80" w:after="80" w:line="360" w:lineRule="auto"/>
        <w:jc w:val="both"/>
      </w:pPr>
      <w:r>
        <w:t>This project is guided by three core research questions:</w:t>
      </w:r>
    </w:p>
    <w:p w14:paraId="4BACD275" w14:textId="4C9C42C9" w:rsidR="00EB1985" w:rsidRDefault="00610F5D" w:rsidP="00610F5D">
      <w:pPr>
        <w:pStyle w:val="ListParagraph"/>
        <w:numPr>
          <w:ilvl w:val="0"/>
          <w:numId w:val="2"/>
        </w:numPr>
        <w:spacing w:before="60" w:after="60" w:line="360" w:lineRule="auto"/>
        <w:jc w:val="both"/>
      </w:pPr>
      <w:r>
        <w:t xml:space="preserve">How </w:t>
      </w:r>
      <w:r w:rsidR="00883087">
        <w:t>is</w:t>
      </w:r>
      <w:r>
        <w:t xml:space="preserve"> neighbourhood physical quality spatially distributed across the 10 sectors of Kicukiro District, and do these </w:t>
      </w:r>
      <w:r w:rsidR="0099490D">
        <w:t>Level</w:t>
      </w:r>
      <w:r>
        <w:t>s correspond to known patterns of land value variation within the district?</w:t>
      </w:r>
    </w:p>
    <w:p w14:paraId="4012BF4D" w14:textId="5AEE3337" w:rsidR="00EB1985" w:rsidRDefault="00610F5D" w:rsidP="00610F5D">
      <w:pPr>
        <w:pStyle w:val="ListParagraph"/>
        <w:numPr>
          <w:ilvl w:val="0"/>
          <w:numId w:val="2"/>
        </w:numPr>
        <w:spacing w:before="60" w:after="60" w:line="360" w:lineRule="auto"/>
        <w:jc w:val="both"/>
      </w:pPr>
      <w:r>
        <w:t xml:space="preserve">How accurately can a Random Forest classifier </w:t>
      </w:r>
      <w:r w:rsidR="002610A2">
        <w:t>train</w:t>
      </w:r>
      <w:r>
        <w:t xml:space="preserve"> on Sentinel-2 spectral indices and GLCM texture features map neighbourhood physical quality </w:t>
      </w:r>
      <w:r w:rsidR="0099490D">
        <w:t>Level</w:t>
      </w:r>
      <w:r>
        <w:t>s across Kicukiro District?</w:t>
      </w:r>
    </w:p>
    <w:p w14:paraId="2A41BCEC" w14:textId="31E4C35E" w:rsidR="00EB1985" w:rsidRDefault="00610F5D" w:rsidP="00610F5D">
      <w:pPr>
        <w:pStyle w:val="ListParagraph"/>
        <w:numPr>
          <w:ilvl w:val="0"/>
          <w:numId w:val="2"/>
        </w:numPr>
        <w:spacing w:before="60" w:after="60" w:line="360" w:lineRule="auto"/>
        <w:jc w:val="both"/>
      </w:pPr>
      <w:r>
        <w:t xml:space="preserve">What are the planning and policy implications of the resulting Physical Quality Map for property valuation </w:t>
      </w:r>
      <w:r w:rsidR="00BA5252">
        <w:t>prioritization</w:t>
      </w:r>
      <w:r>
        <w:t>, infrastructure investment targeting, and local revenue collection in Kicukiro?</w:t>
      </w:r>
    </w:p>
    <w:p w14:paraId="1C229C9F" w14:textId="77777777" w:rsidR="00EB1985" w:rsidRDefault="00610F5D" w:rsidP="002610A2">
      <w:pPr>
        <w:spacing w:before="80" w:after="80" w:line="360" w:lineRule="auto"/>
        <w:jc w:val="both"/>
      </w:pPr>
      <w:r>
        <w:t>To answer these questions, the following specific objectives will be pursued:</w:t>
      </w:r>
    </w:p>
    <w:p w14:paraId="76DF42E5" w14:textId="77777777" w:rsidR="00EB1985" w:rsidRDefault="00610F5D" w:rsidP="00610F5D">
      <w:pPr>
        <w:pStyle w:val="ListParagraph"/>
        <w:numPr>
          <w:ilvl w:val="0"/>
          <w:numId w:val="2"/>
        </w:numPr>
        <w:spacing w:before="60" w:after="60" w:line="360" w:lineRule="auto"/>
        <w:jc w:val="both"/>
      </w:pPr>
      <w:r>
        <w:t>To preprocess Sentinel-2 Surface Reflectance imagery for Kicukiro District in Google Earth Engine using cloud masking via the QA60 band, dry-season compositing (June–September 2023), reflectance scaling, and boundary clipping to the district’s 10-sector extent.</w:t>
      </w:r>
    </w:p>
    <w:p w14:paraId="6E1641CD" w14:textId="641D0B3B" w:rsidR="00EB1985" w:rsidRDefault="00610F5D" w:rsidP="00610F5D">
      <w:pPr>
        <w:pStyle w:val="ListParagraph"/>
        <w:numPr>
          <w:ilvl w:val="0"/>
          <w:numId w:val="2"/>
        </w:numPr>
        <w:spacing w:before="60" w:after="60" w:line="360" w:lineRule="auto"/>
        <w:jc w:val="both"/>
      </w:pPr>
      <w:r>
        <w:t>To compute two spectral indices NDVI and NDBI and two GLCM texture features</w:t>
      </w:r>
      <w:r w:rsidR="00BA5252">
        <w:t>,</w:t>
      </w:r>
      <w:r>
        <w:t xml:space="preserve"> entropy and variance</w:t>
      </w:r>
      <w:r w:rsidR="00BA5252">
        <w:t>,</w:t>
      </w:r>
      <w:r>
        <w:t xml:space="preserve"> and evaluate their combined contribution to distinguishing neighbourhood physical quality </w:t>
      </w:r>
      <w:r w:rsidR="0099490D">
        <w:t>Level</w:t>
      </w:r>
      <w:r>
        <w:t>s across the study area.</w:t>
      </w:r>
    </w:p>
    <w:p w14:paraId="66E743FD" w14:textId="6DF41F07" w:rsidR="00EB1985" w:rsidRDefault="00610F5D" w:rsidP="00610F5D">
      <w:pPr>
        <w:pStyle w:val="ListParagraph"/>
        <w:numPr>
          <w:ilvl w:val="0"/>
          <w:numId w:val="2"/>
        </w:numPr>
        <w:spacing w:before="60" w:after="60" w:line="360" w:lineRule="auto"/>
        <w:jc w:val="both"/>
      </w:pPr>
      <w:r>
        <w:t xml:space="preserve">To train and evaluate a Random Forest classifier using </w:t>
      </w:r>
      <w:r w:rsidR="00BA5252">
        <w:t>70</w:t>
      </w:r>
      <w:r>
        <w:t xml:space="preserve">% training, 15% validation, and 15% test data split, and to report model performance using Overall Accuracy, Cohen’s Kappa coefficient, and F1-score per quality </w:t>
      </w:r>
      <w:r w:rsidR="0099490D">
        <w:t>Level</w:t>
      </w:r>
      <w:r>
        <w:t>.</w:t>
      </w:r>
    </w:p>
    <w:p w14:paraId="51283E1D" w14:textId="105EA69C" w:rsidR="00EB1985" w:rsidRDefault="00610F5D" w:rsidP="00610F5D">
      <w:pPr>
        <w:pStyle w:val="ListParagraph"/>
        <w:numPr>
          <w:ilvl w:val="0"/>
          <w:numId w:val="2"/>
        </w:numPr>
        <w:spacing w:before="60" w:after="60" w:line="360" w:lineRule="auto"/>
        <w:jc w:val="both"/>
      </w:pPr>
      <w:r>
        <w:t xml:space="preserve">To produce a full-district Physical Quality Map at 10-metre resolution and interpret its results in terms of property valuation support, infrastructure deficit identification, and planning </w:t>
      </w:r>
      <w:r w:rsidR="00BA5252">
        <w:t>prioritization</w:t>
      </w:r>
      <w:r>
        <w:t xml:space="preserve"> for Kicukiro District.</w:t>
      </w:r>
    </w:p>
    <w:p w14:paraId="0FE3CC62" w14:textId="77777777" w:rsidR="00EB1985" w:rsidRDefault="00610F5D" w:rsidP="00610F5D">
      <w:pPr>
        <w:spacing w:before="300" w:after="120" w:line="360" w:lineRule="auto"/>
      </w:pPr>
      <w:r>
        <w:rPr>
          <w:b/>
          <w:bCs/>
          <w:sz w:val="26"/>
          <w:szCs w:val="26"/>
        </w:rPr>
        <w:t>Data to be Used and Methodology</w:t>
      </w:r>
    </w:p>
    <w:p w14:paraId="31248A05" w14:textId="68432F1F" w:rsidR="00EB1985" w:rsidRDefault="00BA5252" w:rsidP="002610A2">
      <w:pPr>
        <w:spacing w:before="80" w:after="80" w:line="360" w:lineRule="auto"/>
        <w:jc w:val="both"/>
      </w:pPr>
      <w:r>
        <w:t>To</w:t>
      </w:r>
      <w:r w:rsidR="00610F5D">
        <w:t xml:space="preserve"> ensure that the entire workflow is reproducible, scalable to other Kigali districts, and executable at zero data cost, this project will rely exclusively on publicly available satellite data processed through the </w:t>
      </w:r>
      <w:r w:rsidR="00610F5D" w:rsidRPr="00BA5252">
        <w:rPr>
          <w:b/>
          <w:bCs/>
        </w:rPr>
        <w:t>Google Earth Engine (GEE)</w:t>
      </w:r>
      <w:r w:rsidR="00610F5D">
        <w:t xml:space="preserve"> cloud computing platform.</w:t>
      </w:r>
    </w:p>
    <w:p w14:paraId="61CFA10E" w14:textId="77777777" w:rsidR="00EB1985" w:rsidRDefault="00EB1985" w:rsidP="00610F5D">
      <w:pPr>
        <w:spacing w:before="80" w:line="360" w:lineRule="auto"/>
      </w:pPr>
    </w:p>
    <w:p w14:paraId="75627B9C" w14:textId="77777777" w:rsidR="00EB1985" w:rsidRDefault="00610F5D" w:rsidP="00610F5D">
      <w:pPr>
        <w:spacing w:before="40" w:after="60" w:line="360" w:lineRule="auto"/>
        <w:jc w:val="both"/>
      </w:pPr>
      <w:r>
        <w:rPr>
          <w:b/>
          <w:bCs/>
        </w:rPr>
        <w:t>Table 1: Data Sources and Tools to be Used in this Project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9"/>
        <w:gridCol w:w="3541"/>
        <w:gridCol w:w="1496"/>
        <w:gridCol w:w="2674"/>
      </w:tblGrid>
      <w:tr w:rsidR="00556D85" w14:paraId="38AF1C3B" w14:textId="77777777">
        <w:trPr>
          <w:tblHeader/>
        </w:trPr>
        <w:tc>
          <w:tcPr>
            <w:tcW w:w="1700" w:type="dxa"/>
            <w:shd w:val="clear" w:color="auto" w:fill="2E5DA6"/>
            <w:tcMar>
              <w:top w:w="80" w:type="dxa"/>
              <w:left w:w="120" w:type="dxa"/>
              <w:bottom w:w="80" w:type="dxa"/>
              <w:right w:w="120" w:type="dxa"/>
            </w:tcMar>
            <w:vAlign w:val="center"/>
          </w:tcPr>
          <w:p w14:paraId="5E2D1498" w14:textId="77777777" w:rsidR="00EB1985" w:rsidRDefault="00610F5D" w:rsidP="00610F5D">
            <w:pPr>
              <w:spacing w:line="360" w:lineRule="auto"/>
              <w:jc w:val="center"/>
            </w:pPr>
            <w:r>
              <w:rPr>
                <w:b/>
                <w:bCs/>
                <w:color w:val="FFFFFF"/>
                <w:sz w:val="20"/>
                <w:szCs w:val="20"/>
              </w:rPr>
              <w:t>Data Source</w:t>
            </w:r>
          </w:p>
        </w:tc>
        <w:tc>
          <w:tcPr>
            <w:tcW w:w="2900" w:type="dxa"/>
            <w:shd w:val="clear" w:color="auto" w:fill="2E5DA6"/>
            <w:tcMar>
              <w:top w:w="80" w:type="dxa"/>
              <w:left w:w="120" w:type="dxa"/>
              <w:bottom w:w="80" w:type="dxa"/>
              <w:right w:w="120" w:type="dxa"/>
            </w:tcMar>
            <w:vAlign w:val="center"/>
          </w:tcPr>
          <w:p w14:paraId="027BEE0E" w14:textId="77777777" w:rsidR="00EB1985" w:rsidRDefault="00610F5D" w:rsidP="00610F5D">
            <w:pPr>
              <w:spacing w:line="360" w:lineRule="auto"/>
              <w:jc w:val="center"/>
            </w:pPr>
            <w:r>
              <w:rPr>
                <w:b/>
                <w:bCs/>
                <w:color w:val="FFFFFF"/>
                <w:sz w:val="20"/>
                <w:szCs w:val="20"/>
              </w:rPr>
              <w:t>Dataset / Tool</w:t>
            </w:r>
          </w:p>
        </w:tc>
        <w:tc>
          <w:tcPr>
            <w:tcW w:w="1600" w:type="dxa"/>
            <w:shd w:val="clear" w:color="auto" w:fill="2E5DA6"/>
            <w:tcMar>
              <w:top w:w="80" w:type="dxa"/>
              <w:left w:w="120" w:type="dxa"/>
              <w:bottom w:w="80" w:type="dxa"/>
              <w:right w:w="120" w:type="dxa"/>
            </w:tcMar>
            <w:vAlign w:val="center"/>
          </w:tcPr>
          <w:p w14:paraId="6768329A" w14:textId="77777777" w:rsidR="00EB1985" w:rsidRDefault="00610F5D" w:rsidP="00610F5D">
            <w:pPr>
              <w:spacing w:line="360" w:lineRule="auto"/>
              <w:jc w:val="center"/>
            </w:pPr>
            <w:r>
              <w:rPr>
                <w:b/>
                <w:bCs/>
                <w:color w:val="FFFFFF"/>
                <w:sz w:val="20"/>
                <w:szCs w:val="20"/>
              </w:rPr>
              <w:t>Resolution</w:t>
            </w:r>
          </w:p>
        </w:tc>
        <w:tc>
          <w:tcPr>
            <w:tcW w:w="3060" w:type="dxa"/>
            <w:shd w:val="clear" w:color="auto" w:fill="2E5DA6"/>
            <w:tcMar>
              <w:top w:w="80" w:type="dxa"/>
              <w:left w:w="120" w:type="dxa"/>
              <w:bottom w:w="80" w:type="dxa"/>
              <w:right w:w="120" w:type="dxa"/>
            </w:tcMar>
            <w:vAlign w:val="center"/>
          </w:tcPr>
          <w:p w14:paraId="236A1B89" w14:textId="77777777" w:rsidR="00EB1985" w:rsidRDefault="00610F5D" w:rsidP="00610F5D">
            <w:pPr>
              <w:spacing w:line="360" w:lineRule="auto"/>
              <w:jc w:val="center"/>
            </w:pPr>
            <w:r>
              <w:rPr>
                <w:b/>
                <w:bCs/>
                <w:color w:val="FFFFFF"/>
                <w:sz w:val="20"/>
                <w:szCs w:val="20"/>
              </w:rPr>
              <w:t>Role in Study</w:t>
            </w:r>
          </w:p>
        </w:tc>
      </w:tr>
      <w:tr w:rsidR="00556D85" w14:paraId="389F6EE0" w14:textId="77777777">
        <w:tc>
          <w:tcPr>
            <w:tcW w:w="1700" w:type="dxa"/>
            <w:shd w:val="clear" w:color="auto" w:fill="EEF3FB"/>
            <w:tcMar>
              <w:top w:w="70" w:type="dxa"/>
              <w:left w:w="120" w:type="dxa"/>
              <w:bottom w:w="70" w:type="dxa"/>
              <w:right w:w="120" w:type="dxa"/>
            </w:tcMar>
          </w:tcPr>
          <w:p w14:paraId="30DAC586" w14:textId="11179CDA" w:rsidR="00EB1985" w:rsidRDefault="00610F5D" w:rsidP="00610F5D">
            <w:pPr>
              <w:spacing w:line="360" w:lineRule="auto"/>
            </w:pPr>
            <w:r>
              <w:rPr>
                <w:sz w:val="20"/>
                <w:szCs w:val="20"/>
              </w:rPr>
              <w:t xml:space="preserve">Sentinel-2 MSI </w:t>
            </w:r>
            <w:r w:rsidR="00BA5252">
              <w:rPr>
                <w:sz w:val="20"/>
                <w:szCs w:val="20"/>
              </w:rPr>
              <w:t>Level 2A</w:t>
            </w:r>
          </w:p>
        </w:tc>
        <w:tc>
          <w:tcPr>
            <w:tcW w:w="2900" w:type="dxa"/>
            <w:shd w:val="clear" w:color="auto" w:fill="EEF3FB"/>
            <w:tcMar>
              <w:top w:w="70" w:type="dxa"/>
              <w:left w:w="120" w:type="dxa"/>
              <w:bottom w:w="70" w:type="dxa"/>
              <w:right w:w="120" w:type="dxa"/>
            </w:tcMar>
          </w:tcPr>
          <w:p w14:paraId="53D86119" w14:textId="77777777" w:rsidR="00EB1985" w:rsidRDefault="00610F5D" w:rsidP="00610F5D">
            <w:pPr>
              <w:spacing w:line="360" w:lineRule="auto"/>
            </w:pPr>
            <w:r>
              <w:rPr>
                <w:sz w:val="20"/>
                <w:szCs w:val="20"/>
              </w:rPr>
              <w:t>COPERNICUS/S2_SR_HARMONIZED (Bands B3, B4, B8, B11, B12)</w:t>
            </w:r>
          </w:p>
        </w:tc>
        <w:tc>
          <w:tcPr>
            <w:tcW w:w="1600" w:type="dxa"/>
            <w:shd w:val="clear" w:color="auto" w:fill="EEF3FB"/>
            <w:tcMar>
              <w:top w:w="70" w:type="dxa"/>
              <w:left w:w="120" w:type="dxa"/>
              <w:bottom w:w="70" w:type="dxa"/>
              <w:right w:w="120" w:type="dxa"/>
            </w:tcMar>
          </w:tcPr>
          <w:p w14:paraId="2F11D77F" w14:textId="77777777" w:rsidR="00EB1985" w:rsidRDefault="00610F5D" w:rsidP="00610F5D">
            <w:pPr>
              <w:spacing w:line="360" w:lineRule="auto"/>
            </w:pPr>
            <w:r>
              <w:rPr>
                <w:sz w:val="20"/>
                <w:szCs w:val="20"/>
              </w:rPr>
              <w:t>10 m</w:t>
            </w:r>
          </w:p>
        </w:tc>
        <w:tc>
          <w:tcPr>
            <w:tcW w:w="3060" w:type="dxa"/>
            <w:shd w:val="clear" w:color="auto" w:fill="EEF3FB"/>
            <w:tcMar>
              <w:top w:w="70" w:type="dxa"/>
              <w:left w:w="120" w:type="dxa"/>
              <w:bottom w:w="70" w:type="dxa"/>
              <w:right w:w="120" w:type="dxa"/>
            </w:tcMar>
          </w:tcPr>
          <w:p w14:paraId="5A84EDB0" w14:textId="77777777" w:rsidR="00EB1985" w:rsidRDefault="00610F5D" w:rsidP="00610F5D">
            <w:pPr>
              <w:spacing w:line="360" w:lineRule="auto"/>
            </w:pPr>
            <w:r>
              <w:rPr>
                <w:sz w:val="20"/>
                <w:szCs w:val="20"/>
              </w:rPr>
              <w:t>Primary satellite imagery for all spectral indices and RF classification phases</w:t>
            </w:r>
          </w:p>
        </w:tc>
      </w:tr>
      <w:tr w:rsidR="00556D85" w14:paraId="21B3BD27" w14:textId="77777777">
        <w:tc>
          <w:tcPr>
            <w:tcW w:w="1700" w:type="dxa"/>
            <w:shd w:val="clear" w:color="auto" w:fill="FFFFFF"/>
            <w:tcMar>
              <w:top w:w="70" w:type="dxa"/>
              <w:left w:w="120" w:type="dxa"/>
              <w:bottom w:w="70" w:type="dxa"/>
              <w:right w:w="120" w:type="dxa"/>
            </w:tcMar>
          </w:tcPr>
          <w:p w14:paraId="576D5D77" w14:textId="77777777" w:rsidR="00EB1985" w:rsidRDefault="00610F5D" w:rsidP="00610F5D">
            <w:pPr>
              <w:spacing w:line="360" w:lineRule="auto"/>
            </w:pPr>
            <w:r>
              <w:rPr>
                <w:sz w:val="20"/>
                <w:szCs w:val="20"/>
              </w:rPr>
              <w:t>Kicukiro Admin Boundary</w:t>
            </w:r>
          </w:p>
        </w:tc>
        <w:tc>
          <w:tcPr>
            <w:tcW w:w="2900" w:type="dxa"/>
            <w:shd w:val="clear" w:color="auto" w:fill="FFFFFF"/>
            <w:tcMar>
              <w:top w:w="70" w:type="dxa"/>
              <w:left w:w="120" w:type="dxa"/>
              <w:bottom w:w="70" w:type="dxa"/>
              <w:right w:w="120" w:type="dxa"/>
            </w:tcMar>
          </w:tcPr>
          <w:p w14:paraId="19A7931F" w14:textId="51E91BC1" w:rsidR="00EB1985" w:rsidRDefault="00610F5D" w:rsidP="00610F5D">
            <w:pPr>
              <w:spacing w:line="360" w:lineRule="auto"/>
            </w:pPr>
            <w:r>
              <w:rPr>
                <w:sz w:val="20"/>
                <w:szCs w:val="20"/>
              </w:rPr>
              <w:t xml:space="preserve">Rwanda NISR Sector/Cell </w:t>
            </w:r>
            <w:proofErr w:type="gramStart"/>
            <w:r>
              <w:rPr>
                <w:sz w:val="20"/>
                <w:szCs w:val="20"/>
              </w:rPr>
              <w:t>Shapefiles  Kicukiro</w:t>
            </w:r>
            <w:proofErr w:type="gramEnd"/>
            <w:r>
              <w:rPr>
                <w:sz w:val="20"/>
                <w:szCs w:val="20"/>
              </w:rPr>
              <w:t xml:space="preserve"> District (</w:t>
            </w:r>
            <w:proofErr w:type="spellStart"/>
            <w:r>
              <w:rPr>
                <w:sz w:val="20"/>
                <w:szCs w:val="20"/>
              </w:rPr>
              <w:t>OpenAfrica</w:t>
            </w:r>
            <w:proofErr w:type="spellEnd"/>
            <w:r>
              <w:rPr>
                <w:sz w:val="20"/>
                <w:szCs w:val="20"/>
              </w:rPr>
              <w:t>)</w:t>
            </w:r>
          </w:p>
        </w:tc>
        <w:tc>
          <w:tcPr>
            <w:tcW w:w="1600" w:type="dxa"/>
            <w:shd w:val="clear" w:color="auto" w:fill="FFFFFF"/>
            <w:tcMar>
              <w:top w:w="70" w:type="dxa"/>
              <w:left w:w="120" w:type="dxa"/>
              <w:bottom w:w="70" w:type="dxa"/>
              <w:right w:w="120" w:type="dxa"/>
            </w:tcMar>
          </w:tcPr>
          <w:p w14:paraId="4CC3CD86" w14:textId="77777777" w:rsidR="00EB1985" w:rsidRDefault="00610F5D" w:rsidP="00610F5D">
            <w:pPr>
              <w:spacing w:line="360" w:lineRule="auto"/>
            </w:pPr>
            <w:r>
              <w:rPr>
                <w:sz w:val="20"/>
                <w:szCs w:val="20"/>
              </w:rPr>
              <w:t>Vector</w:t>
            </w:r>
          </w:p>
        </w:tc>
        <w:tc>
          <w:tcPr>
            <w:tcW w:w="3060" w:type="dxa"/>
            <w:shd w:val="clear" w:color="auto" w:fill="FFFFFF"/>
            <w:tcMar>
              <w:top w:w="70" w:type="dxa"/>
              <w:left w:w="120" w:type="dxa"/>
              <w:bottom w:w="70" w:type="dxa"/>
              <w:right w:w="120" w:type="dxa"/>
            </w:tcMar>
          </w:tcPr>
          <w:p w14:paraId="0EB06F8A" w14:textId="77777777" w:rsidR="00EB1985" w:rsidRDefault="00610F5D" w:rsidP="00610F5D">
            <w:pPr>
              <w:spacing w:line="360" w:lineRule="auto"/>
            </w:pPr>
            <w:r>
              <w:rPr>
                <w:sz w:val="20"/>
                <w:szCs w:val="20"/>
              </w:rPr>
              <w:t>Official Kicukiro District boundary for image clipping and sector-level aggregation</w:t>
            </w:r>
          </w:p>
        </w:tc>
      </w:tr>
      <w:tr w:rsidR="00556D85" w14:paraId="24EE84C3" w14:textId="77777777">
        <w:tc>
          <w:tcPr>
            <w:tcW w:w="1700" w:type="dxa"/>
            <w:shd w:val="clear" w:color="auto" w:fill="EEF3FB"/>
            <w:tcMar>
              <w:top w:w="70" w:type="dxa"/>
              <w:left w:w="120" w:type="dxa"/>
              <w:bottom w:w="70" w:type="dxa"/>
              <w:right w:w="120" w:type="dxa"/>
            </w:tcMar>
          </w:tcPr>
          <w:p w14:paraId="076C479B" w14:textId="77777777" w:rsidR="00EB1985" w:rsidRDefault="00610F5D" w:rsidP="00610F5D">
            <w:pPr>
              <w:spacing w:line="360" w:lineRule="auto"/>
            </w:pPr>
            <w:r>
              <w:rPr>
                <w:sz w:val="20"/>
                <w:szCs w:val="20"/>
              </w:rPr>
              <w:t>Field Reference Data</w:t>
            </w:r>
          </w:p>
        </w:tc>
        <w:tc>
          <w:tcPr>
            <w:tcW w:w="2900" w:type="dxa"/>
            <w:shd w:val="clear" w:color="auto" w:fill="EEF3FB"/>
            <w:tcMar>
              <w:top w:w="70" w:type="dxa"/>
              <w:left w:w="120" w:type="dxa"/>
              <w:bottom w:w="70" w:type="dxa"/>
              <w:right w:w="120" w:type="dxa"/>
            </w:tcMar>
          </w:tcPr>
          <w:p w14:paraId="6003AEE4" w14:textId="77777777" w:rsidR="00EB1985" w:rsidRDefault="00610F5D" w:rsidP="00610F5D">
            <w:pPr>
              <w:spacing w:line="360" w:lineRule="auto"/>
            </w:pPr>
            <w:r>
              <w:rPr>
                <w:sz w:val="20"/>
                <w:szCs w:val="20"/>
              </w:rPr>
              <w:t xml:space="preserve">Manually </w:t>
            </w:r>
            <w:proofErr w:type="spellStart"/>
            <w:r>
              <w:rPr>
                <w:sz w:val="20"/>
                <w:szCs w:val="20"/>
              </w:rPr>
              <w:t>digitised</w:t>
            </w:r>
            <w:proofErr w:type="spellEnd"/>
            <w:r>
              <w:rPr>
                <w:sz w:val="20"/>
                <w:szCs w:val="20"/>
              </w:rPr>
              <w:t xml:space="preserve"> training points in GEE across known Kicukiro neighbourhoods</w:t>
            </w:r>
          </w:p>
        </w:tc>
        <w:tc>
          <w:tcPr>
            <w:tcW w:w="1600" w:type="dxa"/>
            <w:shd w:val="clear" w:color="auto" w:fill="EEF3FB"/>
            <w:tcMar>
              <w:top w:w="70" w:type="dxa"/>
              <w:left w:w="120" w:type="dxa"/>
              <w:bottom w:w="70" w:type="dxa"/>
              <w:right w:w="120" w:type="dxa"/>
            </w:tcMar>
          </w:tcPr>
          <w:p w14:paraId="085959C4" w14:textId="77777777" w:rsidR="00EB1985" w:rsidRDefault="00610F5D" w:rsidP="00610F5D">
            <w:pPr>
              <w:spacing w:line="360" w:lineRule="auto"/>
            </w:pPr>
            <w:r>
              <w:rPr>
                <w:sz w:val="20"/>
                <w:szCs w:val="20"/>
              </w:rPr>
              <w:t>Point-level</w:t>
            </w:r>
          </w:p>
        </w:tc>
        <w:tc>
          <w:tcPr>
            <w:tcW w:w="3060" w:type="dxa"/>
            <w:shd w:val="clear" w:color="auto" w:fill="EEF3FB"/>
            <w:tcMar>
              <w:top w:w="70" w:type="dxa"/>
              <w:left w:w="120" w:type="dxa"/>
              <w:bottom w:w="70" w:type="dxa"/>
              <w:right w:w="120" w:type="dxa"/>
            </w:tcMar>
          </w:tcPr>
          <w:p w14:paraId="66D56E1F" w14:textId="31DB0F54" w:rsidR="00EB1985" w:rsidRDefault="00610F5D" w:rsidP="00610F5D">
            <w:pPr>
              <w:spacing w:line="360" w:lineRule="auto"/>
            </w:pPr>
            <w:r>
              <w:rPr>
                <w:sz w:val="20"/>
                <w:szCs w:val="20"/>
              </w:rPr>
              <w:t xml:space="preserve">Ground truth labels for model training and accuracy validation across 4 quality </w:t>
            </w:r>
            <w:r w:rsidR="0099490D">
              <w:rPr>
                <w:sz w:val="20"/>
                <w:szCs w:val="20"/>
              </w:rPr>
              <w:t>Level</w:t>
            </w:r>
            <w:r>
              <w:rPr>
                <w:sz w:val="20"/>
                <w:szCs w:val="20"/>
              </w:rPr>
              <w:t>s</w:t>
            </w:r>
          </w:p>
        </w:tc>
      </w:tr>
      <w:tr w:rsidR="00556D85" w14:paraId="55D2E94D" w14:textId="77777777">
        <w:tc>
          <w:tcPr>
            <w:tcW w:w="1700" w:type="dxa"/>
            <w:shd w:val="clear" w:color="auto" w:fill="FFFFFF"/>
            <w:tcMar>
              <w:top w:w="70" w:type="dxa"/>
              <w:left w:w="120" w:type="dxa"/>
              <w:bottom w:w="70" w:type="dxa"/>
              <w:right w:w="120" w:type="dxa"/>
            </w:tcMar>
          </w:tcPr>
          <w:p w14:paraId="6D67FD16" w14:textId="77777777" w:rsidR="00EB1985" w:rsidRDefault="00610F5D" w:rsidP="00610F5D">
            <w:pPr>
              <w:spacing w:line="360" w:lineRule="auto"/>
            </w:pPr>
            <w:r>
              <w:rPr>
                <w:sz w:val="20"/>
                <w:szCs w:val="20"/>
              </w:rPr>
              <w:t>Google Earth Engine</w:t>
            </w:r>
          </w:p>
        </w:tc>
        <w:tc>
          <w:tcPr>
            <w:tcW w:w="2900" w:type="dxa"/>
            <w:shd w:val="clear" w:color="auto" w:fill="FFFFFF"/>
            <w:tcMar>
              <w:top w:w="70" w:type="dxa"/>
              <w:left w:w="120" w:type="dxa"/>
              <w:bottom w:w="70" w:type="dxa"/>
              <w:right w:w="120" w:type="dxa"/>
            </w:tcMar>
          </w:tcPr>
          <w:p w14:paraId="49652370" w14:textId="77777777" w:rsidR="00EB1985" w:rsidRDefault="00610F5D" w:rsidP="00610F5D">
            <w:pPr>
              <w:spacing w:line="360" w:lineRule="auto"/>
            </w:pPr>
            <w:r>
              <w:rPr>
                <w:sz w:val="20"/>
                <w:szCs w:val="20"/>
              </w:rPr>
              <w:t xml:space="preserve">Cloud computing platform (Python API via </w:t>
            </w:r>
            <w:proofErr w:type="spellStart"/>
            <w:r>
              <w:rPr>
                <w:sz w:val="20"/>
                <w:szCs w:val="20"/>
              </w:rPr>
              <w:t>geemap</w:t>
            </w:r>
            <w:proofErr w:type="spellEnd"/>
            <w:r>
              <w:rPr>
                <w:sz w:val="20"/>
                <w:szCs w:val="20"/>
              </w:rPr>
              <w:t xml:space="preserve"> + ee library)</w:t>
            </w:r>
          </w:p>
        </w:tc>
        <w:tc>
          <w:tcPr>
            <w:tcW w:w="1600" w:type="dxa"/>
            <w:shd w:val="clear" w:color="auto" w:fill="FFFFFF"/>
            <w:tcMar>
              <w:top w:w="70" w:type="dxa"/>
              <w:left w:w="120" w:type="dxa"/>
              <w:bottom w:w="70" w:type="dxa"/>
              <w:right w:w="120" w:type="dxa"/>
            </w:tcMar>
          </w:tcPr>
          <w:p w14:paraId="480D4FA3" w14:textId="77777777" w:rsidR="00EB1985" w:rsidRDefault="00610F5D" w:rsidP="00610F5D">
            <w:pPr>
              <w:spacing w:line="360" w:lineRule="auto"/>
            </w:pPr>
            <w:r>
              <w:rPr>
                <w:sz w:val="20"/>
                <w:szCs w:val="20"/>
              </w:rPr>
              <w:t>Cloud-based</w:t>
            </w:r>
          </w:p>
        </w:tc>
        <w:tc>
          <w:tcPr>
            <w:tcW w:w="3060" w:type="dxa"/>
            <w:shd w:val="clear" w:color="auto" w:fill="FFFFFF"/>
            <w:tcMar>
              <w:top w:w="70" w:type="dxa"/>
              <w:left w:w="120" w:type="dxa"/>
              <w:bottom w:w="70" w:type="dxa"/>
              <w:right w:w="120" w:type="dxa"/>
            </w:tcMar>
          </w:tcPr>
          <w:p w14:paraId="41B4F2C9" w14:textId="77777777" w:rsidR="00EB1985" w:rsidRDefault="00610F5D" w:rsidP="00610F5D">
            <w:pPr>
              <w:spacing w:line="360" w:lineRule="auto"/>
            </w:pPr>
            <w:r>
              <w:rPr>
                <w:sz w:val="20"/>
                <w:szCs w:val="20"/>
              </w:rPr>
              <w:t>Image preprocessing, spectral index computation, GLCM extraction, classification and export</w:t>
            </w:r>
          </w:p>
        </w:tc>
      </w:tr>
    </w:tbl>
    <w:p w14:paraId="174D1879" w14:textId="77777777" w:rsidR="00EB1985" w:rsidRDefault="00EB1985" w:rsidP="00610F5D">
      <w:pPr>
        <w:spacing w:before="100" w:line="360" w:lineRule="auto"/>
      </w:pPr>
    </w:p>
    <w:p w14:paraId="03B0AA36" w14:textId="41644689" w:rsidR="00EB1985" w:rsidRDefault="00610F5D" w:rsidP="002610A2">
      <w:pPr>
        <w:spacing w:before="80" w:after="80" w:line="360" w:lineRule="auto"/>
        <w:jc w:val="both"/>
      </w:pPr>
      <w:r>
        <w:t>Sentinel-2 was selected as the primary data source because it provides 10-metre resolution in key visible and near-infrared bands, free global coverage with a  revisit cycle, and a harmoni</w:t>
      </w:r>
      <w:r w:rsidR="00BA5252">
        <w:t>z</w:t>
      </w:r>
      <w:r>
        <w:t>ed Surface Reflectance product that ensures consistency across scenes processed under different ESA baseline versions</w:t>
      </w:r>
      <w:r w:rsidR="002610A2">
        <w:fldChar w:fldCharType="begin"/>
      </w:r>
      <w:r w:rsidR="002610A2">
        <w:instrText xml:space="preserve"> ADDIN ZOTERO_ITEM CSL_CITATION {"citationID":"bRFneG4A","properties":{"unsorted":false,"formattedCitation":"(Phiri et al., 2020)","plainCitation":"(Phiri et al., 2020)","noteIndex":0},"citationItems":[{"id":5,"uris":["http://zotero.org/users/local/Z9y7S7oq/items/DSADLTRE"],"itemData":{"id":5,"type":"article-journal","abstract":"The advancement in satellite remote sensing technology has revolutionised the approaches to monitoring the Earth’s surface. The development of the Copernicus Programme by the European Space Agency (ESA) and the European Union (EU) has contributed to the effective monitoring of the Earth’s surface by producing the Sentinel-2 multispectral products. Sentinel-2 satellites are the second constellation of the ESA Sentinel missions and carry onboard multispectral scanners. The primary objective of the Sentinel-2 mission is to provide high resolution satellite data for land cover/use monitoring, climate change and disaster monitoring, as well as complementing the other satellite missions such as Landsat. Since the launch of Sentinel-2 multispectral instruments in 2015, there have been many studies on land cover/use classification which use Sentinel-2 images. However, no review studies have been dedicated to the application of ESA Sentinel-2 land cover/use monitoring. Therefore, this review focuses on two aspects: (1) assessing the contribution of ESA Sentinel-2 to land cover/use classification, and (2) exploring the performance of Sentinel-2 data in different applications (e.g., forest, urban area and natural hazard monitoring). The present review shows that Sentinel-2 has a positive impact on land cover/use monitoring, specifically in monitoring of crop, forests, urban areas, and water resources. The contemporary high adoption and application of Sentinel-2 can be attributed to the higher spatial resolution (10 m) than other medium spatial resolution images, the high temporal resolution of 5 days and the availability of the red-edge bands with multiple applications. The ability to integrate Sentinel-2 data with other remotely sensed data, as part of data analysis, improves the overall accuracy (OA) when working with Sentinel-2 images. The free access policy drives the increasing use of Sentinel-2 data, especially in developing countries where financial resources for the acquisition of remotely sensed data are limited. The literature also shows that the use of Sentinel-2 data produces high accuracies (&gt;80%) with machine-learning classifiers such as support vector machine (SVM) and Random forest (RF). However, other classifiers such as maximum likelihood analysis are also common. Although Sentinel-2 offers many opportunities for land cover/use classification, there are challenges which include mismatching with Landsat OLI-8 data, a lack of thermal bands, and the differences in spatial resolution among the bands of Sentinel-2. Sentinel-2 data show promise and have the potential to contribute significantly towards land cover/use monitoring.","container-title":"Remote Sensing","DOI":"10.3390/rs12142291","ISSN":"2072-4292","issue":"14","journalAbbreviation":"Remote Sensing","language":"en","page":"2291","source":"DOI.org (Crossref)","title":"Sentinel-2 Data for Land Cover/Use Mapping: A Review","title-short":"Sentinel-2 Data for Land Cover/Use Mapping","volume":"12","author":[{"family":"Phiri","given":"Darius"},{"family":"Simwanda","given":"Matamyo"},{"family":"Salekin","given":"Serajis"},{"family":"Nyirenda","given":"Vincent"},{"family":"Murayama","given":"Yuji"},{"family":"Ranagalage","given":"Manjula"}],"issued":{"date-parts":[["2020",7,16]]}}}],"schema":"https://github.com/citation-style-language/schema/raw/master/csl-citation.json"} </w:instrText>
      </w:r>
      <w:r w:rsidR="002610A2">
        <w:fldChar w:fldCharType="separate"/>
      </w:r>
      <w:r w:rsidR="002610A2" w:rsidRPr="002610A2">
        <w:t>(Phiri et al., 2020)</w:t>
      </w:r>
      <w:r w:rsidR="002610A2">
        <w:fldChar w:fldCharType="end"/>
      </w:r>
      <w:r>
        <w:t xml:space="preserve">. Imagery will be filtered to the dry season (June–September 2023) to </w:t>
      </w:r>
      <w:r w:rsidR="002610A2">
        <w:t>minimize</w:t>
      </w:r>
      <w:r>
        <w:t xml:space="preserve"> cloud contamination over the Kigali highlands, where cloud cover drops significantly during this period.</w:t>
      </w:r>
    </w:p>
    <w:p w14:paraId="2B7E7B56" w14:textId="77777777" w:rsidR="00EB1985" w:rsidRDefault="00610F5D" w:rsidP="00BA5252">
      <w:pPr>
        <w:spacing w:before="80" w:after="80" w:line="360" w:lineRule="auto"/>
        <w:jc w:val="both"/>
      </w:pPr>
      <w:r>
        <w:t>The methodology follows five sequential phases, as illustrated in Figure 1 below. Each phase builds directly on the output of the previous one, forming a reproducible pipeline from raw imagery to planning-ready map output.</w:t>
      </w:r>
    </w:p>
    <w:p w14:paraId="2E4E620B" w14:textId="77777777" w:rsidR="00EB1985" w:rsidRDefault="00EB1985" w:rsidP="00610F5D">
      <w:pPr>
        <w:spacing w:before="80" w:line="360" w:lineRule="auto"/>
      </w:pPr>
    </w:p>
    <w:p w14:paraId="101404A2" w14:textId="77777777" w:rsidR="00EB1985" w:rsidRDefault="00610F5D" w:rsidP="00610F5D">
      <w:pPr>
        <w:spacing w:before="40" w:after="60" w:line="360" w:lineRule="auto"/>
        <w:jc w:val="both"/>
      </w:pPr>
      <w:r>
        <w:rPr>
          <w:b/>
          <w:bCs/>
        </w:rPr>
        <w:t>Figure 1: Five-Phase Methodology Workflow for Neighbourhood Physical Quality Mapping in Kicukiro District</w:t>
      </w:r>
    </w:p>
    <w:p w14:paraId="56540459" w14:textId="77777777" w:rsidR="000832F7" w:rsidRDefault="000832F7" w:rsidP="00610F5D">
      <w:pPr>
        <w:spacing w:before="40" w:after="100" w:line="360" w:lineRule="auto"/>
        <w:jc w:val="center"/>
        <w:rPr>
          <w:color w:val="555555"/>
          <w:sz w:val="20"/>
          <w:szCs w:val="20"/>
        </w:rPr>
      </w:pPr>
    </w:p>
    <w:p w14:paraId="4E3261DD" w14:textId="5CF079E4" w:rsidR="00BA5252" w:rsidRDefault="00B61551" w:rsidP="00BA5252">
      <w:pPr>
        <w:keepNext/>
        <w:spacing w:before="40" w:line="360" w:lineRule="auto"/>
      </w:pPr>
      <w:r>
        <w:rPr>
          <w:noProof/>
        </w:rPr>
        <w:lastRenderedPageBreak/>
        <w:drawing>
          <wp:inline distT="0" distB="0" distL="0" distR="0" wp14:anchorId="1080FF97" wp14:editId="3C3D73F6">
            <wp:extent cx="5731510" cy="2513965"/>
            <wp:effectExtent l="0" t="0" r="0" b="0"/>
            <wp:docPr id="184784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47649" name="Picture 1847847649"/>
                    <pic:cNvPicPr/>
                  </pic:nvPicPr>
                  <pic:blipFill>
                    <a:blip r:embed="rId9">
                      <a:extLst>
                        <a:ext uri="{28A0092B-C50C-407E-A947-70E740481C1C}">
                          <a14:useLocalDpi xmlns:a14="http://schemas.microsoft.com/office/drawing/2010/main" val="0"/>
                        </a:ext>
                      </a:extLst>
                    </a:blip>
                    <a:stretch>
                      <a:fillRect/>
                    </a:stretch>
                  </pic:blipFill>
                  <pic:spPr>
                    <a:xfrm>
                      <a:off x="0" y="0"/>
                      <a:ext cx="5731510" cy="2513965"/>
                    </a:xfrm>
                    <a:prstGeom prst="rect">
                      <a:avLst/>
                    </a:prstGeom>
                  </pic:spPr>
                </pic:pic>
              </a:graphicData>
            </a:graphic>
          </wp:inline>
        </w:drawing>
      </w:r>
    </w:p>
    <w:p w14:paraId="2E27BE81" w14:textId="4462113E" w:rsidR="00EB1985" w:rsidRDefault="00BA5252" w:rsidP="00BA5252">
      <w:pPr>
        <w:pStyle w:val="Caption"/>
      </w:pPr>
      <w:r>
        <w:t xml:space="preserve">Figure </w:t>
      </w:r>
      <w:r>
        <w:fldChar w:fldCharType="begin"/>
      </w:r>
      <w:r>
        <w:instrText xml:space="preserve"> SEQ Figure \* ARABIC </w:instrText>
      </w:r>
      <w:r>
        <w:fldChar w:fldCharType="separate"/>
      </w:r>
      <w:r>
        <w:rPr>
          <w:noProof/>
        </w:rPr>
        <w:t>1</w:t>
      </w:r>
      <w:r>
        <w:fldChar w:fldCharType="end"/>
      </w:r>
      <w:r>
        <w:t>: Phases of the methodology study in the workflow</w:t>
      </w:r>
    </w:p>
    <w:p w14:paraId="45C42F02" w14:textId="2C03C8C7" w:rsidR="00EB1985" w:rsidRDefault="00610F5D" w:rsidP="002610A2">
      <w:pPr>
        <w:spacing w:before="80" w:after="80" w:line="360" w:lineRule="auto"/>
        <w:jc w:val="both"/>
      </w:pPr>
      <w:r>
        <w:t xml:space="preserve">In </w:t>
      </w:r>
      <w:r w:rsidRPr="00BA5252">
        <w:rPr>
          <w:i/>
          <w:iCs/>
        </w:rPr>
        <w:t>Phase 2</w:t>
      </w:r>
      <w:r>
        <w:t xml:space="preserve">, clouds will be masked using Sentinel-2’s QA60 quality band, which flags opaque cloud cover at bit 10 and thin </w:t>
      </w:r>
      <w:r w:rsidR="000832F7">
        <w:t>circus</w:t>
      </w:r>
      <w:r>
        <w:t xml:space="preserve"> at bit 11. Reflectance values will be scaled from raw integer format to the 0–1 range by dividing by 10,000. A median composite will then be generated from all qualifying dry-season scenes to produce a single spatially continuous image.</w:t>
      </w:r>
    </w:p>
    <w:p w14:paraId="1F3BF02F" w14:textId="77777777" w:rsidR="002610A2" w:rsidRDefault="00610F5D" w:rsidP="002610A2">
      <w:pPr>
        <w:spacing w:before="80" w:after="80" w:line="360" w:lineRule="auto"/>
        <w:jc w:val="both"/>
      </w:pPr>
      <w:r>
        <w:t xml:space="preserve">In </w:t>
      </w:r>
      <w:r w:rsidRPr="00BA5252">
        <w:rPr>
          <w:i/>
          <w:iCs/>
        </w:rPr>
        <w:t>Phase 3</w:t>
      </w:r>
      <w:r>
        <w:t>, NDVI will be computed as (B8−B4)/(B8+B4) to capture vegetation density and greenness; values above 0.5 are characteristic of well-vegetated, planned residential areas</w:t>
      </w:r>
      <w:r w:rsidR="002610A2">
        <w:fldChar w:fldCharType="begin"/>
      </w:r>
      <w:r w:rsidR="002610A2">
        <w:instrText xml:space="preserve"> ADDIN ZOTERO_ITEM CSL_CITATION {"citationID":"lQgatdrC","properties":{"unsorted":false,"formattedCitation":"(Alt\\uc0\\u305{}ner &amp; Bing\\uc0\\u246{}l, 2025)","plainCitation":"(Altıner &amp; Bingöl, 2025)","noteIndex":0},"citationItems":[{"id":9,"uris":["http://zotero.org/users/local/Z9y7S7oq/items/SZXCA6ES"],"itemData":{"id":9,"type":"article-journal","abstract":"This study offers a four-decade evaluation of land surface temperature (LST) dynamics in relation to urban growth in Balıkesir, Turkey, between 1985 and 2025. Using multi-temporal Landsat imagery (30 m), LST, NDVI, and NDBI maps were generated and assessed through Pearson and partial correlation analyses. MODIS and Sentinel-3 datasets (1 km) were additionally employed to enable comparative analysis. Results reveal robust and statistically significant correlations: urban expansion amplified LST, while vegetation provided consistent cooling effects. Unlike MODIS and Sentinel-3, Landsat data accurately captured localized hot and cool spots, highlighting the importance of spatial resolution in urban climate studies. Temporal patterns reveal a post-2005 decline in NDVI under increasing urban pressures and a subsequent deceleration of built-up expansion after 2015. Mean LST increased from 41 °C in 1985 to 52 °C in 2025, with the hottest temperature class covering over half of the study area. These findings not only confirm the intensification of urban-induced warming, but also contribute a novel methodological framework that integrates multi-sensor, multi-scale datasets into long-term analyses. The study extends the literature by linking remote sensing outcomes directly to urban resilience strategies, emphasizing the role of blue–green infrastructure and climate-sensitive planning in mitigating future thermal risks.","container-title":"Sustainability","DOI":"10.3390/su17209245","ISSN":"2071-1050","issue":"20","journalAbbreviation":"Sustainability","language":"en","page":"9245","source":"DOI.org (Crossref)","title":"Spatio-Temporal Assessment of Land Surface Temperature, Vegetation Cover, and Built-Up Areas Using LST, NDVI, and NDBI in Balıkesir, Türkiye (1985–2025)","volume":"17","author":[{"family":"Altıner","given":"Figen"},{"family":"Bingöl","given":"Faruk"}],"issued":{"date-parts":[["2025",10,17]]}}}],"schema":"https://github.com/citation-style-language/schema/raw/master/csl-citation.json"} </w:instrText>
      </w:r>
      <w:r w:rsidR="002610A2">
        <w:fldChar w:fldCharType="separate"/>
      </w:r>
      <w:r w:rsidR="002610A2" w:rsidRPr="002610A2">
        <w:t>(Altıner &amp; Bingöl, 2025)</w:t>
      </w:r>
      <w:r w:rsidR="002610A2">
        <w:fldChar w:fldCharType="end"/>
      </w:r>
      <w:r>
        <w:t xml:space="preserve">. </w:t>
      </w:r>
    </w:p>
    <w:p w14:paraId="124C38E5" w14:textId="60D84344" w:rsidR="00EB1985" w:rsidRDefault="00610F5D" w:rsidP="002610A2">
      <w:pPr>
        <w:spacing w:before="80" w:after="80" w:line="360" w:lineRule="auto"/>
        <w:jc w:val="both"/>
      </w:pPr>
      <w:r>
        <w:t>NDBI will be computed as (B11−B8)</w:t>
      </w:r>
      <w:r w:rsidR="0099490D">
        <w:t xml:space="preserve"> / </w:t>
      </w:r>
      <w:r>
        <w:t xml:space="preserve">(B11+B8) to identify built-up surface intensity, with high values indicating dense rooftop and paved surface coverage </w:t>
      </w:r>
      <w:r w:rsidR="008F51A3">
        <w:fldChar w:fldCharType="begin"/>
      </w:r>
      <w:r w:rsidR="008F51A3">
        <w:instrText xml:space="preserve"> ADDIN ZOTERO_ITEM CSL_CITATION {"citationID":"8wg22RUY","properties":{"unsorted":false,"formattedCitation":"(Song et al., 2021)","plainCitation":"(Song et al., 2021)","noteIndex":0},"citationItems":[{"id":25,"uris":["http://zotero.org/users/local/Z9y7S7oq/items/LV8PHYJ6"],"itemData":{"id":25,"type":"article-journal","container-title":"Remote Sensing Applications: Society and Environment","DOI":"10.1016/j.rsase.2021.100598","ISSN":"23529385","journalAbbreviation":"Remote Sensing Applications: Society and Environment","language":"en","page":"100598","source":"DOI.org (Crossref)","title":"Monitoring of nitrogen accumulation in wheat plants based on hyperspectral data","volume":"23","author":[{"family":"Song","given":"Xiao"},{"family":"Xu","given":"Duanyang"},{"family":"Huang","given":"Chenchen"},{"family":"Zhang","given":"Keke"},{"family":"Huang","given":"Shaomin"},{"family":"Guo","given":"Doudou"},{"family":"Zhang","given":"Shuiqing"},{"family":"Yue","given":"Ke"},{"family":"Guo","given":"Tengfei"},{"family":"Wang","given":"Shasha"},{"family":"Zang","given":"Hecang"}],"issued":{"date-parts":[["2021",8]]}}}],"schema":"https://github.com/citation-style-language/schema/raw/master/csl-citation.json"} </w:instrText>
      </w:r>
      <w:r w:rsidR="008F51A3">
        <w:fldChar w:fldCharType="separate"/>
      </w:r>
      <w:r w:rsidR="008F51A3" w:rsidRPr="008F51A3">
        <w:t>(Song et al., 2021)</w:t>
      </w:r>
      <w:r w:rsidR="008F51A3">
        <w:fldChar w:fldCharType="end"/>
      </w:r>
      <w:r w:rsidR="008F51A3">
        <w:t>.</w:t>
      </w:r>
      <w:r>
        <w:t xml:space="preserve">GLCM texture features </w:t>
      </w:r>
      <w:r w:rsidR="008F51A3">
        <w:t xml:space="preserve">such </w:t>
      </w:r>
      <w:r>
        <w:t>entropy and variance</w:t>
      </w:r>
      <w:r w:rsidR="008F51A3">
        <w:t>,</w:t>
      </w:r>
      <w:r>
        <w:t xml:space="preserve"> will be calculated on Band 8 at a 3×</w:t>
      </w:r>
      <w:r w:rsidR="002610A2">
        <w:t>3-pixel</w:t>
      </w:r>
      <w:r>
        <w:t xml:space="preserve"> window. Entropy captures the degree of spatial randomness in the surface pattern: high entropy reflects the chaotic, irregular roof arrangements typical of dense informal settlements, while low entropy </w:t>
      </w:r>
      <w:r w:rsidR="008F51A3">
        <w:t>characterizes</w:t>
      </w:r>
      <w:r>
        <w:t xml:space="preserve"> the ordered, uniform layouts of planned areas</w:t>
      </w:r>
      <w:r w:rsidR="008F51A3">
        <w:fldChar w:fldCharType="begin"/>
      </w:r>
      <w:r w:rsidR="008F51A3">
        <w:instrText xml:space="preserve"> ADDIN ZOTERO_ITEM CSL_CITATION {"citationID":"fzajvvSK","properties":{"unsorted":false,"formattedCitation":"(Muhaimin et al., 2022)","plainCitation":"(Muhaimin et al., 2022)","noteIndex":0},"citationItems":[{"id":26,"uris":["http://zotero.org/users/local/Z9y7S7oq/items/FZP48H9X"],"itemData":{"id":26,"type":"article-journal","abstract":"Abstract\n            Density and undeveloped land can be identified using digital transformation through remote sensing data. This study aims to map the distribution of building densities with the Normalized Difference Built-Up Index (NDBI) and Urban Index (UI), analyze the comparison of building densities of the NDBI and UI methods, and analyze the relationship between the transformation of NDBI and UI on building densities in Banjarmasin City. The data used to obtain building density image Landsat 8 Oli Tirs. The method used to separate the built area and non-building area using digital classification. The area was developed from the results of the multispectral classification filtered with NDBI and UI transformation for the classification of the building density level. The results of this study indicate that building density has a positive relationship with the transformation of NDBI and UI because the high building density in the transformation of NDBI and UI has a high value. Non-built area and constructed land shows an NDBI accuracy of 91.4505% and 92.5359% accuracy of UI, there is a difference of 1.0854% greater accuracy UI. Overall accuracy exceeding 80% indicates very high accuracy for building density mapping.","container-title":"IOP Conference Series: Earth and Environmental Science","DOI":"10.1088/1755-1315/1089/1/012036","ISSN":"1755-1307, 1755-1315","issue":"1","journalAbbreviation":"IOP Conf. Ser.: Earth Environ. Sci.","page":"012036","source":"DOI.org (Crossref)","title":"mapping build-up area density using normalized difference built-up index (ndbi) and urban index (ui) wetland in the city banjarmasin","volume":"1089","author":[{"family":"Muhaimin","given":"M"},{"family":"Fitriani","given":"D"},{"family":"Adyatma","given":"S"},{"family":"Arisanty","given":"D"}],"issued":{"date-parts":[["2022",11,1]]}}}],"schema":"https://github.com/citation-style-language/schema/raw/master/csl-citation.json"} </w:instrText>
      </w:r>
      <w:r w:rsidR="008F51A3">
        <w:fldChar w:fldCharType="separate"/>
      </w:r>
      <w:r w:rsidR="008F51A3" w:rsidRPr="008F51A3">
        <w:t>(Muhaimin et al., 2022)</w:t>
      </w:r>
      <w:r w:rsidR="008F51A3">
        <w:fldChar w:fldCharType="end"/>
      </w:r>
      <w:r>
        <w:t>. Together, these four features will be stacked into a single multi-layer input image for classification.</w:t>
      </w:r>
    </w:p>
    <w:p w14:paraId="3D2C8D57" w14:textId="77777777" w:rsidR="0099490D" w:rsidRDefault="0099490D" w:rsidP="008F51A3">
      <w:pPr>
        <w:spacing w:before="300" w:after="120" w:line="360" w:lineRule="auto"/>
      </w:pPr>
      <w:r w:rsidRPr="0099490D">
        <w:t>In Phase 4, a Random Forest classifier will be trained to map neighbourhood physical quality across Kicukiro District. Random Forest is well suited to this task because it handles high-dimensional spectral and texture features robustly through ensemble voting, resists overfitting on small training datasets, and produces feature importance scores that directly reveal which inputs drive the classification</w:t>
      </w:r>
      <w:r>
        <w:t xml:space="preserve"> </w:t>
      </w:r>
      <w:r>
        <w:fldChar w:fldCharType="begin"/>
      </w:r>
      <w:r>
        <w:instrText xml:space="preserve"> ADDIN ZOTERO_ITEM CSL_CITATION {"citationID":"56rXraZr","properties":{"unsorted":false,"formattedCitation":"(Yan et al., 2024; Zhang et al., 2021)","plainCitation":"(Yan et al., 2024; Zhang et al., 2021)","noteIndex":0},"citationItems":[{"id":33,"uris":["http://zotero.org/users/local/Z9y7S7oq/items/Y3UTSIG3"],"itemData":{"id":33,"type":"article-journal","container-title":"International Journal of Applied Earth Observation and Geoinformation","DOI":"10.1016/j.jag.2024.104052","ISSN":"15698432","journalAbbreviation":"International Journal of Applied Earth Observation and Geoinformation","language":"en","page":"104052","source":"DOI.org (Crossref)","title":"Enhanced cotton chlorophyll content estimation with UAV multispectral and LiDAR constrained SCOPE model","volume":"132","author":[{"family":"Yan","given":"Puchen"},{"family":"Feng","given":"Yangming"},{"family":"Han","given":"Qisheng"},{"family":"Hu","given":"Zongguang"},{"family":"Huang","given":"Xi"},{"family":"Su","given":"Kaikai"},{"family":"Kang","given":"Shaozhong"}],"issued":{"date-parts":[["2024",8]]}}},{"id":31,"uris":["http://zotero.org/users/local/Z9y7S7oq/items/3RYPDNA8"],"itemData":{"id":31,"type":"article-journal","abstract":"Land cover classification is able to reflect the potential natural and social process in urban development, providing vital information to stakeholders. Recent solutions on land cover classification are generally addressed by remotely sensed imagery and supervised classification methods. However, a high-performance classifier is desirable but challenging due to the existence of model hyperparameters. Conventional approaches generally rely on manual tuning, which is time-consuming and far from satisfying. Therefore, this work aims to propose a systematic method to automatically tune the hyperparameters by Bayesian parameter optimization for the random forest classifier. The recently launched Sentinel-2A/B satellites are drawn to provide the remote sensing imageries for land cover classification case study in Beijing, China, which have the best spectral/spatial resolutions among the freely available satellites. The improved random forest with Bayesian parameter optimization is compared against the support vector machine (SVM) and random forest (RF) with default hyperparameters by discriminating five land cover classes including building, tree, road, water, and crop field. Comparative experimental results show that the optimized RF classifier outperforms the conventional SVM and the RF with default hyperparameters in terms of accuracy, precision, and recall. The effects of band/feature number and the band usefulness are also assessed. It is envisaged that the improved classifier for Sentinel-2 satellite image processing can find a wide range of applications where high-resolution satellite imagery classification is applicable.","container-title":"Applied Sciences","DOI":"10.3390/app11020543","ISSN":"2076-3417","issue":"2","journalAbbreviation":"Applied Sciences","language":"en","page":"543","source":"DOI.org (Crossref)","title":"Sentinel-2 Satellite Imagery for Urban Land Cover Classification by Optimized Random Forest Classifier","volume":"11","author":[{"family":"Zhang","given":"Tianxiang"},{"family":"Su","given":"Jinya"},{"family":"Xu","given":"Zhiyong"},{"family":"Luo","given":"Yulin"},{"family":"Li","given":"Jiangyun"}],"issued":{"date-parts":[["2021",1,8]]}}}],"schema":"https://github.com/citation-style-language/schema/raw/master/csl-citation.json"} </w:instrText>
      </w:r>
      <w:r>
        <w:fldChar w:fldCharType="separate"/>
      </w:r>
      <w:r w:rsidRPr="0099490D">
        <w:t>(Yan et al., 2024; Zhang et al., 2021)</w:t>
      </w:r>
      <w:r>
        <w:fldChar w:fldCharType="end"/>
      </w:r>
      <w:r>
        <w:t xml:space="preserve">. </w:t>
      </w:r>
      <w:r w:rsidRPr="0099490D">
        <w:t xml:space="preserve">Training reference points will be manually placed in GEE using the True Color composite and NDVI layer as visual guides, covering approximately 300 points across four physical quality levels: Level 1 </w:t>
      </w:r>
      <w:r>
        <w:t>=</w:t>
      </w:r>
      <w:r w:rsidRPr="0099490D">
        <w:t xml:space="preserve"> High </w:t>
      </w:r>
      <w:r w:rsidRPr="0099490D">
        <w:lastRenderedPageBreak/>
        <w:t>Quality Planned (</w:t>
      </w:r>
      <w:proofErr w:type="spellStart"/>
      <w:r w:rsidRPr="0099490D">
        <w:t>Kagarama</w:t>
      </w:r>
      <w:proofErr w:type="spellEnd"/>
      <w:r w:rsidRPr="0099490D">
        <w:t xml:space="preserve"> and </w:t>
      </w:r>
      <w:proofErr w:type="spellStart"/>
      <w:r w:rsidRPr="0099490D">
        <w:t>Niboye</w:t>
      </w:r>
      <w:proofErr w:type="spellEnd"/>
      <w:r w:rsidRPr="0099490D">
        <w:t xml:space="preserve">); Level 2 </w:t>
      </w:r>
      <w:r>
        <w:t>=</w:t>
      </w:r>
      <w:r w:rsidRPr="0099490D">
        <w:t xml:space="preserve"> Medium Quality (Kanombe and Kicukiro Centre); Level 3 </w:t>
      </w:r>
      <w:r>
        <w:t>=</w:t>
      </w:r>
      <w:r w:rsidRPr="0099490D">
        <w:t xml:space="preserve"> Low-Medium Quality (</w:t>
      </w:r>
      <w:proofErr w:type="spellStart"/>
      <w:r w:rsidRPr="0099490D">
        <w:t>Gatenga</w:t>
      </w:r>
      <w:proofErr w:type="spellEnd"/>
      <w:r w:rsidRPr="0099490D">
        <w:t xml:space="preserve">); and Level 4 </w:t>
      </w:r>
      <w:r>
        <w:t>=</w:t>
      </w:r>
      <w:r w:rsidRPr="0099490D">
        <w:t xml:space="preserve"> Dense Informal (Busanza). Model accuracy will be assessed on the withheld 15% test set using Overall Accuracy, Cohen's Kappa coefficient, and F1-score per level </w:t>
      </w:r>
    </w:p>
    <w:p w14:paraId="12B112C2" w14:textId="19CBDEBC" w:rsidR="00EB1985" w:rsidRDefault="00610F5D" w:rsidP="008F51A3">
      <w:pPr>
        <w:spacing w:before="300" w:after="120" w:line="360" w:lineRule="auto"/>
      </w:pPr>
      <w:r>
        <w:rPr>
          <w:b/>
          <w:bCs/>
          <w:sz w:val="26"/>
          <w:szCs w:val="26"/>
        </w:rPr>
        <w:t>Expected Results</w:t>
      </w:r>
    </w:p>
    <w:p w14:paraId="2E296216" w14:textId="77777777" w:rsidR="00EB1985" w:rsidRDefault="00610F5D" w:rsidP="00610F5D">
      <w:pPr>
        <w:spacing w:before="40" w:after="60" w:line="360" w:lineRule="auto"/>
        <w:jc w:val="both"/>
      </w:pPr>
      <w:r>
        <w:rPr>
          <w:b/>
          <w:bCs/>
        </w:rPr>
        <w:t>Table 2: Summary of Expected Outputs, Descriptions, and Performance Targets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660"/>
      </w:tblGrid>
      <w:tr w:rsidR="00556D85" w14:paraId="0BC55834" w14:textId="77777777">
        <w:trPr>
          <w:tblHeader/>
        </w:trPr>
        <w:tc>
          <w:tcPr>
            <w:tcW w:w="2400" w:type="dxa"/>
            <w:shd w:val="clear" w:color="auto" w:fill="2E5DA6"/>
            <w:tcMar>
              <w:top w:w="80" w:type="dxa"/>
              <w:left w:w="120" w:type="dxa"/>
              <w:bottom w:w="80" w:type="dxa"/>
              <w:right w:w="120" w:type="dxa"/>
            </w:tcMar>
            <w:vAlign w:val="center"/>
          </w:tcPr>
          <w:p w14:paraId="04A4B605" w14:textId="77777777" w:rsidR="00EB1985" w:rsidRDefault="00610F5D" w:rsidP="00610F5D">
            <w:pPr>
              <w:spacing w:line="360" w:lineRule="auto"/>
              <w:jc w:val="center"/>
            </w:pPr>
            <w:r>
              <w:rPr>
                <w:b/>
                <w:bCs/>
                <w:color w:val="FFFFFF"/>
                <w:sz w:val="20"/>
                <w:szCs w:val="20"/>
              </w:rPr>
              <w:t>Expected Output</w:t>
            </w:r>
          </w:p>
        </w:tc>
        <w:tc>
          <w:tcPr>
            <w:tcW w:w="3200" w:type="dxa"/>
            <w:shd w:val="clear" w:color="auto" w:fill="2E5DA6"/>
            <w:tcMar>
              <w:top w:w="80" w:type="dxa"/>
              <w:left w:w="120" w:type="dxa"/>
              <w:bottom w:w="80" w:type="dxa"/>
              <w:right w:w="120" w:type="dxa"/>
            </w:tcMar>
            <w:vAlign w:val="center"/>
          </w:tcPr>
          <w:p w14:paraId="3DE790FE" w14:textId="77777777" w:rsidR="00EB1985" w:rsidRDefault="00610F5D" w:rsidP="00610F5D">
            <w:pPr>
              <w:spacing w:line="360" w:lineRule="auto"/>
              <w:jc w:val="center"/>
            </w:pPr>
            <w:r>
              <w:rPr>
                <w:b/>
                <w:bCs/>
                <w:color w:val="FFFFFF"/>
                <w:sz w:val="20"/>
                <w:szCs w:val="20"/>
              </w:rPr>
              <w:t>Description</w:t>
            </w:r>
          </w:p>
        </w:tc>
        <w:tc>
          <w:tcPr>
            <w:tcW w:w="3660" w:type="dxa"/>
            <w:shd w:val="clear" w:color="auto" w:fill="2E5DA6"/>
            <w:tcMar>
              <w:top w:w="80" w:type="dxa"/>
              <w:left w:w="120" w:type="dxa"/>
              <w:bottom w:w="80" w:type="dxa"/>
              <w:right w:w="120" w:type="dxa"/>
            </w:tcMar>
            <w:vAlign w:val="center"/>
          </w:tcPr>
          <w:p w14:paraId="77B23C6F" w14:textId="77777777" w:rsidR="00EB1985" w:rsidRDefault="00610F5D" w:rsidP="00610F5D">
            <w:pPr>
              <w:spacing w:line="360" w:lineRule="auto"/>
              <w:jc w:val="center"/>
            </w:pPr>
            <w:r>
              <w:rPr>
                <w:b/>
                <w:bCs/>
                <w:color w:val="FFFFFF"/>
                <w:sz w:val="20"/>
                <w:szCs w:val="20"/>
              </w:rPr>
              <w:t>Target</w:t>
            </w:r>
          </w:p>
        </w:tc>
      </w:tr>
      <w:tr w:rsidR="00556D85" w14:paraId="346D7828" w14:textId="77777777">
        <w:tc>
          <w:tcPr>
            <w:tcW w:w="2400" w:type="dxa"/>
            <w:shd w:val="clear" w:color="auto" w:fill="EEF3FB"/>
            <w:tcMar>
              <w:top w:w="70" w:type="dxa"/>
              <w:left w:w="120" w:type="dxa"/>
              <w:bottom w:w="70" w:type="dxa"/>
              <w:right w:w="120" w:type="dxa"/>
            </w:tcMar>
          </w:tcPr>
          <w:p w14:paraId="2CD56955" w14:textId="77777777" w:rsidR="00EB1985" w:rsidRDefault="00610F5D" w:rsidP="00610F5D">
            <w:pPr>
              <w:spacing w:line="360" w:lineRule="auto"/>
            </w:pPr>
            <w:r>
              <w:rPr>
                <w:sz w:val="20"/>
                <w:szCs w:val="20"/>
              </w:rPr>
              <w:t>Physical Quality Map</w:t>
            </w:r>
          </w:p>
        </w:tc>
        <w:tc>
          <w:tcPr>
            <w:tcW w:w="3200" w:type="dxa"/>
            <w:shd w:val="clear" w:color="auto" w:fill="EEF3FB"/>
            <w:tcMar>
              <w:top w:w="70" w:type="dxa"/>
              <w:left w:w="120" w:type="dxa"/>
              <w:bottom w:w="70" w:type="dxa"/>
              <w:right w:w="120" w:type="dxa"/>
            </w:tcMar>
          </w:tcPr>
          <w:p w14:paraId="12369C53" w14:textId="6826CBF2" w:rsidR="00EB1985" w:rsidRDefault="00610F5D" w:rsidP="00610F5D">
            <w:pPr>
              <w:spacing w:line="360" w:lineRule="auto"/>
            </w:pPr>
            <w:r>
              <w:rPr>
                <w:sz w:val="20"/>
                <w:szCs w:val="20"/>
              </w:rPr>
              <w:t xml:space="preserve">Full-district GeoTIFF at 10 m showing 4 quality </w:t>
            </w:r>
            <w:r w:rsidR="0099490D">
              <w:rPr>
                <w:sz w:val="20"/>
                <w:szCs w:val="20"/>
              </w:rPr>
              <w:t>Level</w:t>
            </w:r>
            <w:r>
              <w:rPr>
                <w:sz w:val="20"/>
                <w:szCs w:val="20"/>
              </w:rPr>
              <w:t>s across all 10 Kicukiro sectors</w:t>
            </w:r>
          </w:p>
        </w:tc>
        <w:tc>
          <w:tcPr>
            <w:tcW w:w="3660" w:type="dxa"/>
            <w:shd w:val="clear" w:color="auto" w:fill="EEF3FB"/>
            <w:tcMar>
              <w:top w:w="70" w:type="dxa"/>
              <w:left w:w="120" w:type="dxa"/>
              <w:bottom w:w="70" w:type="dxa"/>
              <w:right w:w="120" w:type="dxa"/>
            </w:tcMar>
          </w:tcPr>
          <w:p w14:paraId="5417E9B4" w14:textId="29F657FF" w:rsidR="00EB1985" w:rsidRDefault="00610F5D" w:rsidP="00610F5D">
            <w:pPr>
              <w:spacing w:line="360" w:lineRule="auto"/>
            </w:pPr>
            <w:r>
              <w:rPr>
                <w:sz w:val="20"/>
                <w:szCs w:val="20"/>
              </w:rPr>
              <w:t xml:space="preserve">4 </w:t>
            </w:r>
            <w:r w:rsidR="0099490D">
              <w:rPr>
                <w:sz w:val="20"/>
                <w:szCs w:val="20"/>
              </w:rPr>
              <w:t>Level</w:t>
            </w:r>
            <w:r>
              <w:rPr>
                <w:sz w:val="20"/>
                <w:szCs w:val="20"/>
              </w:rPr>
              <w:t>s mapped across all 10 sectors of Kicukiro District</w:t>
            </w:r>
          </w:p>
        </w:tc>
      </w:tr>
      <w:tr w:rsidR="00556D85" w14:paraId="1F525C80" w14:textId="77777777">
        <w:tc>
          <w:tcPr>
            <w:tcW w:w="2400" w:type="dxa"/>
            <w:shd w:val="clear" w:color="auto" w:fill="FFFFFF"/>
            <w:tcMar>
              <w:top w:w="70" w:type="dxa"/>
              <w:left w:w="120" w:type="dxa"/>
              <w:bottom w:w="70" w:type="dxa"/>
              <w:right w:w="120" w:type="dxa"/>
            </w:tcMar>
          </w:tcPr>
          <w:p w14:paraId="66A7613C" w14:textId="77777777" w:rsidR="00EB1985" w:rsidRDefault="00610F5D" w:rsidP="00610F5D">
            <w:pPr>
              <w:spacing w:line="360" w:lineRule="auto"/>
            </w:pPr>
            <w:r>
              <w:rPr>
                <w:sz w:val="20"/>
                <w:szCs w:val="20"/>
              </w:rPr>
              <w:t>Model Accuracy Report</w:t>
            </w:r>
          </w:p>
        </w:tc>
        <w:tc>
          <w:tcPr>
            <w:tcW w:w="3200" w:type="dxa"/>
            <w:shd w:val="clear" w:color="auto" w:fill="FFFFFF"/>
            <w:tcMar>
              <w:top w:w="70" w:type="dxa"/>
              <w:left w:w="120" w:type="dxa"/>
              <w:bottom w:w="70" w:type="dxa"/>
              <w:right w:w="120" w:type="dxa"/>
            </w:tcMar>
          </w:tcPr>
          <w:p w14:paraId="3E4A184F" w14:textId="4891F16F" w:rsidR="00EB1985" w:rsidRDefault="00610F5D" w:rsidP="00610F5D">
            <w:pPr>
              <w:spacing w:line="360" w:lineRule="auto"/>
            </w:pPr>
            <w:r>
              <w:rPr>
                <w:sz w:val="20"/>
                <w:szCs w:val="20"/>
              </w:rPr>
              <w:t xml:space="preserve">Overall Accuracy, Cohen's Kappa, and F1-score per </w:t>
            </w:r>
            <w:r w:rsidR="0099490D">
              <w:rPr>
                <w:sz w:val="20"/>
                <w:szCs w:val="20"/>
              </w:rPr>
              <w:t>Level</w:t>
            </w:r>
            <w:r>
              <w:rPr>
                <w:sz w:val="20"/>
                <w:szCs w:val="20"/>
              </w:rPr>
              <w:t xml:space="preserve"> evaluated on the held-out test set</w:t>
            </w:r>
          </w:p>
        </w:tc>
        <w:tc>
          <w:tcPr>
            <w:tcW w:w="3660" w:type="dxa"/>
            <w:shd w:val="clear" w:color="auto" w:fill="FFFFFF"/>
            <w:tcMar>
              <w:top w:w="70" w:type="dxa"/>
              <w:left w:w="120" w:type="dxa"/>
              <w:bottom w:w="70" w:type="dxa"/>
              <w:right w:w="120" w:type="dxa"/>
            </w:tcMar>
          </w:tcPr>
          <w:p w14:paraId="3B935C8D" w14:textId="77E8E722" w:rsidR="00EB1985" w:rsidRDefault="00610F5D" w:rsidP="00610F5D">
            <w:pPr>
              <w:spacing w:line="360" w:lineRule="auto"/>
            </w:pPr>
            <w:r>
              <w:rPr>
                <w:sz w:val="20"/>
                <w:szCs w:val="20"/>
              </w:rPr>
              <w:t>OA &gt; 80%, Kappa &gt; 0.75 (Good to Excellent)</w:t>
            </w:r>
          </w:p>
        </w:tc>
      </w:tr>
      <w:tr w:rsidR="00556D85" w14:paraId="1D7B43BC" w14:textId="77777777">
        <w:tc>
          <w:tcPr>
            <w:tcW w:w="2400" w:type="dxa"/>
            <w:shd w:val="clear" w:color="auto" w:fill="EEF3FB"/>
            <w:tcMar>
              <w:top w:w="70" w:type="dxa"/>
              <w:left w:w="120" w:type="dxa"/>
              <w:bottom w:w="70" w:type="dxa"/>
              <w:right w:w="120" w:type="dxa"/>
            </w:tcMar>
          </w:tcPr>
          <w:p w14:paraId="35B354B8" w14:textId="77777777" w:rsidR="00EB1985" w:rsidRDefault="00610F5D" w:rsidP="00610F5D">
            <w:pPr>
              <w:spacing w:line="360" w:lineRule="auto"/>
            </w:pPr>
            <w:r>
              <w:rPr>
                <w:sz w:val="20"/>
                <w:szCs w:val="20"/>
              </w:rPr>
              <w:t>Feature Importance Ranking</w:t>
            </w:r>
          </w:p>
        </w:tc>
        <w:tc>
          <w:tcPr>
            <w:tcW w:w="3200" w:type="dxa"/>
            <w:shd w:val="clear" w:color="auto" w:fill="EEF3FB"/>
            <w:tcMar>
              <w:top w:w="70" w:type="dxa"/>
              <w:left w:w="120" w:type="dxa"/>
              <w:bottom w:w="70" w:type="dxa"/>
              <w:right w:w="120" w:type="dxa"/>
            </w:tcMar>
          </w:tcPr>
          <w:p w14:paraId="3BC5F5DA" w14:textId="77777777" w:rsidR="00EB1985" w:rsidRDefault="00610F5D" w:rsidP="00610F5D">
            <w:pPr>
              <w:spacing w:line="360" w:lineRule="auto"/>
            </w:pPr>
            <w:r>
              <w:rPr>
                <w:sz w:val="20"/>
                <w:szCs w:val="20"/>
              </w:rPr>
              <w:t>RF variable importance scores ranking NDVI, NDBI, and GLCM features by predictive contribution</w:t>
            </w:r>
          </w:p>
        </w:tc>
        <w:tc>
          <w:tcPr>
            <w:tcW w:w="3660" w:type="dxa"/>
            <w:shd w:val="clear" w:color="auto" w:fill="EEF3FB"/>
            <w:tcMar>
              <w:top w:w="70" w:type="dxa"/>
              <w:left w:w="120" w:type="dxa"/>
              <w:bottom w:w="70" w:type="dxa"/>
              <w:right w:w="120" w:type="dxa"/>
            </w:tcMar>
          </w:tcPr>
          <w:p w14:paraId="34759253" w14:textId="77777777" w:rsidR="00EB1985" w:rsidRDefault="00610F5D" w:rsidP="00610F5D">
            <w:pPr>
              <w:spacing w:line="360" w:lineRule="auto"/>
            </w:pPr>
            <w:r>
              <w:rPr>
                <w:sz w:val="20"/>
                <w:szCs w:val="20"/>
              </w:rPr>
              <w:t>Top 3 predictors identified and interpreted for planning relevance</w:t>
            </w:r>
          </w:p>
        </w:tc>
      </w:tr>
      <w:tr w:rsidR="00556D85" w14:paraId="013883FF" w14:textId="77777777">
        <w:tc>
          <w:tcPr>
            <w:tcW w:w="2400" w:type="dxa"/>
            <w:shd w:val="clear" w:color="auto" w:fill="FFFFFF"/>
            <w:tcMar>
              <w:top w:w="70" w:type="dxa"/>
              <w:left w:w="120" w:type="dxa"/>
              <w:bottom w:w="70" w:type="dxa"/>
              <w:right w:w="120" w:type="dxa"/>
            </w:tcMar>
          </w:tcPr>
          <w:p w14:paraId="1CE24503" w14:textId="77777777" w:rsidR="00EB1985" w:rsidRDefault="00610F5D" w:rsidP="00610F5D">
            <w:pPr>
              <w:spacing w:line="360" w:lineRule="auto"/>
            </w:pPr>
            <w:r>
              <w:rPr>
                <w:sz w:val="20"/>
                <w:szCs w:val="20"/>
              </w:rPr>
              <w:t>Planning Priority Map</w:t>
            </w:r>
          </w:p>
        </w:tc>
        <w:tc>
          <w:tcPr>
            <w:tcW w:w="3200" w:type="dxa"/>
            <w:shd w:val="clear" w:color="auto" w:fill="FFFFFF"/>
            <w:tcMar>
              <w:top w:w="70" w:type="dxa"/>
              <w:left w:w="120" w:type="dxa"/>
              <w:bottom w:w="70" w:type="dxa"/>
              <w:right w:w="120" w:type="dxa"/>
            </w:tcMar>
          </w:tcPr>
          <w:p w14:paraId="2F7E4308" w14:textId="5F60AEA9" w:rsidR="00EB1985" w:rsidRDefault="00610F5D" w:rsidP="00610F5D">
            <w:pPr>
              <w:spacing w:line="360" w:lineRule="auto"/>
            </w:pPr>
            <w:proofErr w:type="spellStart"/>
            <w:r>
              <w:rPr>
                <w:sz w:val="20"/>
                <w:szCs w:val="20"/>
              </w:rPr>
              <w:t>Colour</w:t>
            </w:r>
            <w:proofErr w:type="spellEnd"/>
            <w:r>
              <w:rPr>
                <w:sz w:val="20"/>
                <w:szCs w:val="20"/>
              </w:rPr>
              <w:t xml:space="preserve">-coded sector-level map overlaying </w:t>
            </w:r>
            <w:r w:rsidR="0099490D">
              <w:rPr>
                <w:sz w:val="20"/>
                <w:szCs w:val="20"/>
              </w:rPr>
              <w:t>Level</w:t>
            </w:r>
            <w:r>
              <w:rPr>
                <w:sz w:val="20"/>
                <w:szCs w:val="20"/>
              </w:rPr>
              <w:t xml:space="preserve"> results with Kicukiro boundaries for planner use</w:t>
            </w:r>
          </w:p>
        </w:tc>
        <w:tc>
          <w:tcPr>
            <w:tcW w:w="3660" w:type="dxa"/>
            <w:shd w:val="clear" w:color="auto" w:fill="FFFFFF"/>
            <w:tcMar>
              <w:top w:w="70" w:type="dxa"/>
              <w:left w:w="120" w:type="dxa"/>
              <w:bottom w:w="70" w:type="dxa"/>
              <w:right w:w="120" w:type="dxa"/>
            </w:tcMar>
          </w:tcPr>
          <w:p w14:paraId="19DE5390" w14:textId="77777777" w:rsidR="00EB1985" w:rsidRDefault="00610F5D" w:rsidP="00610F5D">
            <w:pPr>
              <w:spacing w:line="360" w:lineRule="auto"/>
            </w:pPr>
            <w:r>
              <w:rPr>
                <w:sz w:val="20"/>
                <w:szCs w:val="20"/>
              </w:rPr>
              <w:t>Directly usable by Kigali City valuation and infrastructure planning units</w:t>
            </w:r>
          </w:p>
        </w:tc>
      </w:tr>
    </w:tbl>
    <w:p w14:paraId="702C8874" w14:textId="77777777" w:rsidR="00EB1985" w:rsidRDefault="00EB1985" w:rsidP="00610F5D">
      <w:pPr>
        <w:spacing w:before="100" w:line="360" w:lineRule="auto"/>
      </w:pPr>
    </w:p>
    <w:p w14:paraId="0EA33345" w14:textId="11369530" w:rsidR="008F51A3" w:rsidRPr="008F51A3" w:rsidRDefault="008F51A3" w:rsidP="008F51A3">
      <w:pPr>
        <w:spacing w:before="80" w:line="360" w:lineRule="auto"/>
      </w:pPr>
      <w:r w:rsidRPr="008F51A3">
        <w:t>The Random Forest classifier is expected to perform within the "Good" to "Excellent" accuracy range, achieving an Overall Accuracy above 80% and a Kappa coefficient above 0.</w:t>
      </w:r>
      <w:r w:rsidR="00B61551">
        <w:t>75.</w:t>
      </w:r>
      <w:r w:rsidRPr="008F51A3">
        <w:t xml:space="preserve"> This is consistent with recent literature: studies using Sentinel-2 with Random Forest on GEE have reported Overall Accuracy of 89.1% and Kappa of 0.84 </w:t>
      </w:r>
      <w:r>
        <w:fldChar w:fldCharType="begin"/>
      </w:r>
      <w:r>
        <w:instrText xml:space="preserve"> ADDIN ZOTERO_ITEM CSL_CITATION {"citationID":"VuXO9UFf","properties":{"unsorted":false,"formattedCitation":"(Svoboda et al., 2022)","plainCitation":"(Svoboda et al., 2022)","noteIndex":0},"citationItems":[{"id":27,"uris":["http://zotero.org/users/local/Z9y7S7oq/items/MZ64JXCC"],"itemData":{"id":27,"type":"article-journal","abstract":"Land use, land-use change and forestry (LULUCF) is a greenhouse gas inventory sector that evaluates greenhouse gas changes in the atmosphere from land use and land-use change. This study focuses on the development of a Sentinel-2 data classification according to the LULUCF requirements on the cloud-based platform Google Earth Engine (GEE). The methods are tested in selected larger territorial regions (two Czech NUTS 2 units) using data collected in 2018. The Random Forest method was used for classification. In terms of classification accuracy, a combination of these parameters was tested: The Number of Trees (NT), the Variables per Split (VPS) and the Bag Fraction (BF). A total of 450 combinations of different parameters were tested. The highest accuracy classification with an overall accuracy = 89.1% and Cohen’s Kappa = 0.84 had the following combination: NT = 150, VPS = 3 and BF = 0.1. For classification purposes, a mosaic was created using the median method. The resulting mosaic consisted of all Sentinel-2 bands in 10 and 20 m spatial resolution. Altitude values derived from SRTM and NDVI variance values were also included in the classification. These added bands were the most significant in terms of Gini importance.","container-title":"Remote Sensing","DOI":"10.3390/rs14051189","ISSN":"2072-4292","issue":"5","journalAbbreviation":"Remote Sensing","language":"en","page":"1189","source":"DOI.org (Crossref)","title":"Random Forest Classification of Land Use, Land-Use Change and Forestry (LULUCF) Using Sentinel-2 Data—A Case Study of Czechia","volume":"14","author":[{"family":"Svoboda","given":"Jan"},{"family":"Štych","given":"Přemysl"},{"family":"Laštovička","given":"Josef"},{"family":"Paluba","given":"Daniel"},{"family":"Kobliuk","given":"Natalia"}],"issued":{"date-parts":[["2022",2,28]]}}}],"schema":"https://github.com/citation-style-language/schema/raw/master/csl-citation.json"} </w:instrText>
      </w:r>
      <w:r>
        <w:fldChar w:fldCharType="separate"/>
      </w:r>
      <w:r w:rsidRPr="008F51A3">
        <w:t>(Svoboda et al., 2022)</w:t>
      </w:r>
      <w:r>
        <w:fldChar w:fldCharType="end"/>
      </w:r>
      <w:r w:rsidRPr="008F51A3">
        <w:t xml:space="preserve">, while vegetation and surface classification combining Sentinel-2 spectral bands with GLCM texture features achieved OA of 90.9% and Kappa of 89% </w:t>
      </w:r>
      <w:r w:rsidR="00C7665F">
        <w:fldChar w:fldCharType="begin"/>
      </w:r>
      <w:r w:rsidR="00C7665F">
        <w:instrText xml:space="preserve"> ADDIN ZOTERO_ITEM CSL_CITATION {"citationID":"V1ClxOhV","properties":{"unsorted":false,"formattedCitation":"(Mohammadpour et al., 2022)","plainCitation":"(Mohammadpour et al., 2022)","noteIndex":0},"citationItems":[{"id":29,"uris":["http://zotero.org/users/local/Z9y7S7oq/items/5ZJV76VP"],"itemData":{"id":29,"type":"article-journal","abstract":"Vegetation mapping requires accurate information to allow its use in applications such as sustainable forest management against the effects of climate change and the threat of wildfires. Remote sensing provides a powerful resource of fundamental data at different spatial resolutions and spectral regions, making it an essential tool for vegetation mapping and biomass management. Due to the ever-increasing availability of free data and software, satellites have been predominantly used to map, analyze, and monitor natural resources for conservation purposes. This study aimed to map vegetation from Sentinel-2 (S2) data in a complex and mixed vegetation cover of the Lousã district in Portugal. We used ten multispectral bands with a spatial resolution of 10 m, and four vegetation indices, including Normalized Difference Vegetation Index (NDVI), Green Normalized Difference Vegetation Index (GNDVI), Enhanced Vegetation Index (EVI), and Soil Adjusted Vegetation Index (SAVI). After applying principal component analysis (PCA) on the 10 S2A bands, four texture features, including mean (ME), homogeneity (HO), correlation (CO), and entropy (EN), were derived for the first three principal components. Textures were obtained using the Gray-Level Co-Occurrence Matrix (GLCM). As a result, 26 independent variables were extracted from S2. After defining the land use classes using an object-based approach, the Random Forest (RF) classifier was applied. The map accuracy was evaluated by the confusion matrix, using the metrics of overall accuracy (OA), producer accuracy (PA), user accuracy (UA), and kappa coefficient (Kappa). The described classification methodology showed a high OA of 90.5% and kappa of 89% for vegetation mapping. Using GLCM texture features and vegetation indices increased the accuracy by up to 2%; however, classification using GLCM texture features and spectral bands achieved the highest OA (92%), indicating the texture features′ capability in detecting the variability of forest species at stand level. The ME and CO showed the highest contribution to the classification accuracy among the GLCM textures. GNDVI outperformed other vegetation indices in variable importance. Moreover, using only S2A spectral bands, especially bands 11, 12, and 2, showed a high potential to classify the map with an OA of 88%. This study showed that adding at least one GLCM texture feature and at least one vegetation index into the S2A spectral bands may effectively increase the accuracy metrics and tree species discrimination.","container-title":"Remote Sensing","DOI":"10.3390/rs14184585","ISSN":"2072-4292","issue":"18","journalAbbreviation":"Remote Sensing","language":"en","page":"4585","source":"DOI.org (Crossref)","title":"Vegetation Mapping with Random Forest Using Sentinel 2 and GLCM Texture Feature—A Case Study for Lousã Region, Portugal","volume":"14","author":[{"family":"Mohammadpour","given":"Pegah"},{"family":"Viegas","given":"Domingos Xavier"},{"family":"Viegas","given":"Carlos"}],"issued":{"date-parts":[["2022",9,14]]}}}],"schema":"https://github.com/citation-style-language/schema/raw/master/csl-citation.json"} </w:instrText>
      </w:r>
      <w:r w:rsidR="00C7665F">
        <w:fldChar w:fldCharType="separate"/>
      </w:r>
      <w:r w:rsidR="00C7665F" w:rsidRPr="00C7665F">
        <w:t>(Mohammadpour et al., 2022)</w:t>
      </w:r>
      <w:r w:rsidR="00C7665F">
        <w:fldChar w:fldCharType="end"/>
      </w:r>
      <w:r w:rsidRPr="008F51A3">
        <w:t>.</w:t>
      </w:r>
    </w:p>
    <w:p w14:paraId="25F29704" w14:textId="7D4DCE7A" w:rsidR="008F51A3" w:rsidRPr="008F51A3" w:rsidRDefault="008F51A3" w:rsidP="008F51A3">
      <w:pPr>
        <w:spacing w:before="80" w:line="360" w:lineRule="auto"/>
      </w:pPr>
      <w:r w:rsidRPr="008F51A3">
        <w:t xml:space="preserve">The Physical Quality Map is expected to reveal a clear west-to-east gradient across Kicukiro District. </w:t>
      </w:r>
      <w:r w:rsidR="00C7665F">
        <w:t>Level</w:t>
      </w:r>
      <w:r w:rsidRPr="008F51A3">
        <w:t xml:space="preserve"> 1 and </w:t>
      </w:r>
      <w:r w:rsidR="00C7665F">
        <w:t>Level</w:t>
      </w:r>
      <w:r w:rsidR="00C7665F" w:rsidRPr="008F51A3">
        <w:t xml:space="preserve"> </w:t>
      </w:r>
      <w:r w:rsidRPr="008F51A3">
        <w:t xml:space="preserve">2 pixels are anticipated in </w:t>
      </w:r>
      <w:proofErr w:type="spellStart"/>
      <w:r w:rsidRPr="008F51A3">
        <w:t>Kagarama</w:t>
      </w:r>
      <w:proofErr w:type="spellEnd"/>
      <w:r w:rsidRPr="008F51A3">
        <w:t xml:space="preserve"> and </w:t>
      </w:r>
      <w:proofErr w:type="spellStart"/>
      <w:r w:rsidRPr="008F51A3">
        <w:t>Niboye</w:t>
      </w:r>
      <w:proofErr w:type="spellEnd"/>
      <w:r w:rsidRPr="008F51A3">
        <w:t xml:space="preserve">, where formal housing and green corridors dominate, while </w:t>
      </w:r>
      <w:r w:rsidR="00C7665F">
        <w:t>Level</w:t>
      </w:r>
      <w:r w:rsidR="00C7665F" w:rsidRPr="008F51A3">
        <w:t xml:space="preserve"> </w:t>
      </w:r>
      <w:r w:rsidRPr="008F51A3">
        <w:t xml:space="preserve">3 and </w:t>
      </w:r>
      <w:r w:rsidR="00C7665F">
        <w:t>Level</w:t>
      </w:r>
      <w:r w:rsidR="00C7665F" w:rsidRPr="008F51A3">
        <w:t xml:space="preserve"> </w:t>
      </w:r>
      <w:r w:rsidRPr="008F51A3">
        <w:t xml:space="preserve">4 pixels are expected to concentrate in </w:t>
      </w:r>
      <w:proofErr w:type="spellStart"/>
      <w:r w:rsidRPr="008F51A3">
        <w:t>Gatenga</w:t>
      </w:r>
      <w:proofErr w:type="spellEnd"/>
      <w:r w:rsidRPr="008F51A3">
        <w:t xml:space="preserve"> and Busanza, where building density is high, NDVI is consistently low, and GLCM entropy is elevated due to irregular rooftop clustering</w:t>
      </w:r>
      <w:r>
        <w:fldChar w:fldCharType="begin"/>
      </w:r>
      <w:r>
        <w:instrText xml:space="preserve"> ADDIN ZOTERO_ITEM CSL_CITATION {"citationID":"2jd1ulTJ","properties":{"unsorted":false,"formattedCitation":"(City of Kigali, 2020)","plainCitation":"(City of Kigali, 2020)","noteIndex":0},"citationItems":[{"id":15,"uris":["http://zotero.org/users/local/Z9y7S7oq/items/3M5YC26E"],"itemData":{"id":15,"type":"report","publisher":"City of Kigali Urban Planning Division","title":"Kigali City Master Plan Review: Detailed Physical Plans for Priority Zones","author":[{"family":"City of Kigali","given":""}],"issued":{"date-parts":[["2020"]]}}}],"schema":"https://github.com/citation-style-language/schema/raw/master/csl-citation.json"} </w:instrText>
      </w:r>
      <w:r>
        <w:fldChar w:fldCharType="separate"/>
      </w:r>
      <w:r w:rsidRPr="008F51A3">
        <w:t>(City of Kigali, 2020)</w:t>
      </w:r>
      <w:r>
        <w:fldChar w:fldCharType="end"/>
      </w:r>
      <w:r w:rsidRPr="008F51A3">
        <w:t>.</w:t>
      </w:r>
    </w:p>
    <w:p w14:paraId="669829BA" w14:textId="58E3AAC5" w:rsidR="008F51A3" w:rsidRPr="008F51A3" w:rsidRDefault="008F51A3" w:rsidP="008F51A3">
      <w:pPr>
        <w:spacing w:before="80" w:line="360" w:lineRule="auto"/>
      </w:pPr>
      <w:r w:rsidRPr="008F51A3">
        <w:lastRenderedPageBreak/>
        <w:t xml:space="preserve">From a planning standpoint, the map delivers two direct instruments for district governance: a property valuation priority layer directing Rwanda Revenue Authority survey teams toward fiscally under-assessed sectors, and an infrastructure deficit overlay flagging </w:t>
      </w:r>
      <w:r w:rsidR="00C7665F">
        <w:t>Level</w:t>
      </w:r>
      <w:r w:rsidR="00C7665F" w:rsidRPr="008F51A3">
        <w:t xml:space="preserve"> </w:t>
      </w:r>
      <w:r w:rsidRPr="008F51A3">
        <w:t xml:space="preserve">3 and </w:t>
      </w:r>
      <w:r w:rsidR="00C7665F">
        <w:t>Level</w:t>
      </w:r>
      <w:r w:rsidR="00C7665F" w:rsidRPr="008F51A3">
        <w:t xml:space="preserve"> </w:t>
      </w:r>
      <w:r w:rsidRPr="008F51A3">
        <w:t>4 areas for road, drainage, and green space investment. Overall, this project shows that freely available Sentinel-2 imagery and a straightforward ML pipeline can produce a district-level quality map at zero data cost</w:t>
      </w:r>
      <w:r w:rsidR="00C7665F">
        <w:t>,</w:t>
      </w:r>
      <w:r w:rsidRPr="008F51A3">
        <w:t xml:space="preserve"> fully reproducible and scalable to any of Kigali's remaining districts.</w:t>
      </w:r>
    </w:p>
    <w:p w14:paraId="4D140136" w14:textId="77777777" w:rsidR="00EB1985" w:rsidRDefault="00EB1985" w:rsidP="00610F5D">
      <w:pPr>
        <w:spacing w:before="60" w:line="360" w:lineRule="auto"/>
      </w:pPr>
    </w:p>
    <w:p w14:paraId="546BCCA7" w14:textId="77777777" w:rsidR="00C7665F" w:rsidRDefault="00C7665F" w:rsidP="00610F5D">
      <w:pPr>
        <w:spacing w:before="60" w:line="360" w:lineRule="auto"/>
      </w:pPr>
    </w:p>
    <w:p w14:paraId="290B9CC8" w14:textId="77777777" w:rsidR="00C7665F" w:rsidRDefault="00C7665F" w:rsidP="00610F5D">
      <w:pPr>
        <w:spacing w:before="60" w:line="360" w:lineRule="auto"/>
      </w:pPr>
    </w:p>
    <w:p w14:paraId="1560E757" w14:textId="77777777" w:rsidR="002610A2" w:rsidRDefault="00610F5D" w:rsidP="002610A2">
      <w:pPr>
        <w:pStyle w:val="Bibliography"/>
        <w:rPr>
          <w:b/>
          <w:bCs/>
          <w:szCs w:val="26"/>
        </w:rPr>
      </w:pPr>
      <w:r>
        <w:rPr>
          <w:b/>
          <w:bCs/>
          <w:szCs w:val="26"/>
        </w:rPr>
        <w:t>References</w:t>
      </w:r>
    </w:p>
    <w:p w14:paraId="0AF7FA12" w14:textId="77777777" w:rsidR="00883087" w:rsidRPr="00883087" w:rsidRDefault="002610A2" w:rsidP="00883087">
      <w:pPr>
        <w:pStyle w:val="Bibliography"/>
      </w:pPr>
      <w:r>
        <w:rPr>
          <w:b/>
          <w:bCs/>
          <w:szCs w:val="26"/>
        </w:rPr>
        <w:fldChar w:fldCharType="begin"/>
      </w:r>
      <w:r w:rsidR="00883087">
        <w:rPr>
          <w:b/>
          <w:bCs/>
          <w:szCs w:val="26"/>
        </w:rPr>
        <w:instrText xml:space="preserve"> ADDIN ZOTERO_BIBL {"uncited":[],"omitted":[],"custom":[]} CSL_BIBLIOGRAPHY </w:instrText>
      </w:r>
      <w:r>
        <w:rPr>
          <w:b/>
          <w:bCs/>
          <w:szCs w:val="26"/>
        </w:rPr>
        <w:fldChar w:fldCharType="separate"/>
      </w:r>
      <w:proofErr w:type="spellStart"/>
      <w:r w:rsidR="00883087" w:rsidRPr="00883087">
        <w:t>Altıner</w:t>
      </w:r>
      <w:proofErr w:type="spellEnd"/>
      <w:r w:rsidR="00883087" w:rsidRPr="00883087">
        <w:t xml:space="preserve">, F., &amp; Bingöl, F. (2025). Spatio-Temporal Assessment of Land Surface Temperature, Vegetation Cover, and Built-Up Areas Using LST, NDVI, and NDBI in </w:t>
      </w:r>
      <w:proofErr w:type="spellStart"/>
      <w:r w:rsidR="00883087" w:rsidRPr="00883087">
        <w:t>Balıkesir</w:t>
      </w:r>
      <w:proofErr w:type="spellEnd"/>
      <w:r w:rsidR="00883087" w:rsidRPr="00883087">
        <w:t xml:space="preserve">, Türkiye (1985–2025). </w:t>
      </w:r>
      <w:r w:rsidR="00883087" w:rsidRPr="00883087">
        <w:rPr>
          <w:i/>
          <w:iCs/>
        </w:rPr>
        <w:t>Sustainability</w:t>
      </w:r>
      <w:r w:rsidR="00883087" w:rsidRPr="00883087">
        <w:t xml:space="preserve">, </w:t>
      </w:r>
      <w:r w:rsidR="00883087" w:rsidRPr="00883087">
        <w:rPr>
          <w:i/>
          <w:iCs/>
        </w:rPr>
        <w:t>17</w:t>
      </w:r>
      <w:r w:rsidR="00883087" w:rsidRPr="00883087">
        <w:t>(20), 9245. https://doi.org/10.3390/su17209245</w:t>
      </w:r>
    </w:p>
    <w:p w14:paraId="66414E57" w14:textId="77777777" w:rsidR="00883087" w:rsidRPr="00883087" w:rsidRDefault="00883087" w:rsidP="00883087">
      <w:pPr>
        <w:pStyle w:val="Bibliography"/>
      </w:pPr>
      <w:r w:rsidRPr="00883087">
        <w:t xml:space="preserve">Aryal, J., Sitaula, C., &amp; Frery, A. C. (2023). Land use and land cover (LULC) performance modeling using machine learning algorithms: A case study of the city of Melbourne, Australia. </w:t>
      </w:r>
      <w:r w:rsidRPr="00883087">
        <w:rPr>
          <w:i/>
          <w:iCs/>
        </w:rPr>
        <w:t>Scientific Reports</w:t>
      </w:r>
      <w:r w:rsidRPr="00883087">
        <w:t xml:space="preserve">, </w:t>
      </w:r>
      <w:r w:rsidRPr="00883087">
        <w:rPr>
          <w:i/>
          <w:iCs/>
        </w:rPr>
        <w:t>13</w:t>
      </w:r>
      <w:r w:rsidRPr="00883087">
        <w:t>(1), 13510. https://doi.org/10.1038/s41598-023-40564-0</w:t>
      </w:r>
    </w:p>
    <w:p w14:paraId="72675C95" w14:textId="77777777" w:rsidR="00883087" w:rsidRPr="00883087" w:rsidRDefault="00883087" w:rsidP="00883087">
      <w:pPr>
        <w:pStyle w:val="Bibliography"/>
      </w:pPr>
      <w:r w:rsidRPr="00883087">
        <w:t xml:space="preserve">Bockarjova, M., </w:t>
      </w:r>
      <w:proofErr w:type="spellStart"/>
      <w:r w:rsidRPr="00883087">
        <w:t>Botzen</w:t>
      </w:r>
      <w:proofErr w:type="spellEnd"/>
      <w:r w:rsidRPr="00883087">
        <w:t xml:space="preserve">, W. J. W., van Schie, M. H., &amp; </w:t>
      </w:r>
      <w:proofErr w:type="spellStart"/>
      <w:r w:rsidRPr="00883087">
        <w:t>Koetse</w:t>
      </w:r>
      <w:proofErr w:type="spellEnd"/>
      <w:r w:rsidRPr="00883087">
        <w:t xml:space="preserve">, M. J. (2020). Property price effects of green interventions in cities: A meta-analysis and implications for gentrification. </w:t>
      </w:r>
      <w:r w:rsidRPr="00883087">
        <w:rPr>
          <w:i/>
          <w:iCs/>
        </w:rPr>
        <w:t>Environmental Science &amp; Policy</w:t>
      </w:r>
      <w:r w:rsidRPr="00883087">
        <w:t xml:space="preserve">, </w:t>
      </w:r>
      <w:r w:rsidRPr="00883087">
        <w:rPr>
          <w:i/>
          <w:iCs/>
        </w:rPr>
        <w:t>112</w:t>
      </w:r>
      <w:r w:rsidRPr="00883087">
        <w:t>, 293–304. https://doi.org/10.1016/j.envsci.2020.06.024</w:t>
      </w:r>
    </w:p>
    <w:p w14:paraId="0257BF70" w14:textId="77777777" w:rsidR="00883087" w:rsidRPr="00883087" w:rsidRDefault="00883087" w:rsidP="00883087">
      <w:pPr>
        <w:pStyle w:val="Bibliography"/>
      </w:pPr>
      <w:r w:rsidRPr="00883087">
        <w:t xml:space="preserve">City of Kigali. (2020). </w:t>
      </w:r>
      <w:r w:rsidRPr="00883087">
        <w:rPr>
          <w:i/>
          <w:iCs/>
        </w:rPr>
        <w:t>Kigali City Master Plan Review: Detailed Physical Plans for Priority Zones</w:t>
      </w:r>
      <w:r w:rsidRPr="00883087">
        <w:t>. City of Kigali Urban Planning Division.</w:t>
      </w:r>
    </w:p>
    <w:p w14:paraId="7B57D02D" w14:textId="77777777" w:rsidR="00883087" w:rsidRPr="00883087" w:rsidRDefault="00883087" w:rsidP="00883087">
      <w:pPr>
        <w:pStyle w:val="Bibliography"/>
      </w:pPr>
      <w:r w:rsidRPr="00883087">
        <w:lastRenderedPageBreak/>
        <w:t xml:space="preserve">Mohammadpour, P., Viegas, D. X., &amp; Viegas, C. (2022). Vegetation Mapping with Random Forest Using Sentinel 2 and GLCM Texture Feature—A Case Study for Lousã Region, Portugal. </w:t>
      </w:r>
      <w:r w:rsidRPr="00883087">
        <w:rPr>
          <w:i/>
          <w:iCs/>
        </w:rPr>
        <w:t>Remote Sensing</w:t>
      </w:r>
      <w:r w:rsidRPr="00883087">
        <w:t xml:space="preserve">, </w:t>
      </w:r>
      <w:r w:rsidRPr="00883087">
        <w:rPr>
          <w:i/>
          <w:iCs/>
        </w:rPr>
        <w:t>14</w:t>
      </w:r>
      <w:r w:rsidRPr="00883087">
        <w:t>(18), 4585. https://doi.org/10.3390/rs14184585</w:t>
      </w:r>
    </w:p>
    <w:p w14:paraId="72DA39CB" w14:textId="77777777" w:rsidR="00883087" w:rsidRPr="00883087" w:rsidRDefault="00883087" w:rsidP="00883087">
      <w:pPr>
        <w:pStyle w:val="Bibliography"/>
      </w:pPr>
      <w:r w:rsidRPr="00883087">
        <w:t xml:space="preserve">Muhaimin, M., Fitriani, D., </w:t>
      </w:r>
      <w:proofErr w:type="spellStart"/>
      <w:r w:rsidRPr="00883087">
        <w:t>Adyatma</w:t>
      </w:r>
      <w:proofErr w:type="spellEnd"/>
      <w:r w:rsidRPr="00883087">
        <w:t xml:space="preserve">, S., &amp; </w:t>
      </w:r>
      <w:proofErr w:type="spellStart"/>
      <w:r w:rsidRPr="00883087">
        <w:t>Arisanty</w:t>
      </w:r>
      <w:proofErr w:type="spellEnd"/>
      <w:r w:rsidRPr="00883087">
        <w:t>, D. (2022). Mapping build-up area density using normalized difference built-up index (</w:t>
      </w:r>
      <w:proofErr w:type="spellStart"/>
      <w:r w:rsidRPr="00883087">
        <w:t>ndbi</w:t>
      </w:r>
      <w:proofErr w:type="spellEnd"/>
      <w:r w:rsidRPr="00883087">
        <w:t>) and urban index (</w:t>
      </w:r>
      <w:proofErr w:type="spellStart"/>
      <w:r w:rsidRPr="00883087">
        <w:t>ui</w:t>
      </w:r>
      <w:proofErr w:type="spellEnd"/>
      <w:r w:rsidRPr="00883087">
        <w:t xml:space="preserve">) wetland in the city </w:t>
      </w:r>
      <w:proofErr w:type="spellStart"/>
      <w:r w:rsidRPr="00883087">
        <w:t>banjarmasin</w:t>
      </w:r>
      <w:proofErr w:type="spellEnd"/>
      <w:r w:rsidRPr="00883087">
        <w:t xml:space="preserve">. </w:t>
      </w:r>
      <w:r w:rsidRPr="00883087">
        <w:rPr>
          <w:i/>
          <w:iCs/>
        </w:rPr>
        <w:t>IOP Conference Series: Earth and Environmental Science</w:t>
      </w:r>
      <w:r w:rsidRPr="00883087">
        <w:t xml:space="preserve">, </w:t>
      </w:r>
      <w:r w:rsidRPr="00883087">
        <w:rPr>
          <w:i/>
          <w:iCs/>
        </w:rPr>
        <w:t>1089</w:t>
      </w:r>
      <w:r w:rsidRPr="00883087">
        <w:t>(1), 012036. https://doi.org/10.1088/1755-1315/1089/1/012036</w:t>
      </w:r>
    </w:p>
    <w:p w14:paraId="38E823CC" w14:textId="77777777" w:rsidR="00883087" w:rsidRPr="00883087" w:rsidRDefault="00883087" w:rsidP="00883087">
      <w:pPr>
        <w:pStyle w:val="Bibliography"/>
      </w:pPr>
      <w:r w:rsidRPr="00883087">
        <w:t xml:space="preserve">Mutale, B., Withanage, N. C., Mishra, P. K., Shen, J., Abdelrahman, K., &amp; </w:t>
      </w:r>
      <w:proofErr w:type="spellStart"/>
      <w:r w:rsidRPr="00883087">
        <w:t>Fnais</w:t>
      </w:r>
      <w:proofErr w:type="spellEnd"/>
      <w:r w:rsidRPr="00883087">
        <w:t xml:space="preserve">, M. S. (2024). A performance evaluation of random </w:t>
      </w:r>
      <w:proofErr w:type="gramStart"/>
      <w:r w:rsidRPr="00883087">
        <w:t>forest</w:t>
      </w:r>
      <w:proofErr w:type="gramEnd"/>
      <w:r w:rsidRPr="00883087">
        <w:t xml:space="preserve">, artificial neural </w:t>
      </w:r>
      <w:proofErr w:type="gramStart"/>
      <w:r w:rsidRPr="00883087">
        <w:t>network</w:t>
      </w:r>
      <w:proofErr w:type="gramEnd"/>
      <w:r w:rsidRPr="00883087">
        <w:t xml:space="preserve">, and support vector machine learning algorithms to predict spatio-temporal land use-land cover dynamics: A case from </w:t>
      </w:r>
      <w:proofErr w:type="spellStart"/>
      <w:r w:rsidRPr="00883087">
        <w:t>lusaka</w:t>
      </w:r>
      <w:proofErr w:type="spellEnd"/>
      <w:r w:rsidRPr="00883087">
        <w:t xml:space="preserve"> and </w:t>
      </w:r>
      <w:proofErr w:type="spellStart"/>
      <w:r w:rsidRPr="00883087">
        <w:t>colombo</w:t>
      </w:r>
      <w:proofErr w:type="spellEnd"/>
      <w:r w:rsidRPr="00883087">
        <w:t xml:space="preserve">. </w:t>
      </w:r>
      <w:r w:rsidRPr="00883087">
        <w:rPr>
          <w:i/>
          <w:iCs/>
        </w:rPr>
        <w:t>Frontiers in Environmental Science</w:t>
      </w:r>
      <w:r w:rsidRPr="00883087">
        <w:t xml:space="preserve">, </w:t>
      </w:r>
      <w:r w:rsidRPr="00883087">
        <w:rPr>
          <w:i/>
          <w:iCs/>
        </w:rPr>
        <w:t>12</w:t>
      </w:r>
      <w:r w:rsidRPr="00883087">
        <w:t>, 1431645. https://doi.org/10.3389/fenvs.2024.1431645</w:t>
      </w:r>
    </w:p>
    <w:p w14:paraId="3CB2171C" w14:textId="77777777" w:rsidR="00883087" w:rsidRPr="00883087" w:rsidRDefault="00883087" w:rsidP="00883087">
      <w:pPr>
        <w:pStyle w:val="Bibliography"/>
      </w:pPr>
      <w:r w:rsidRPr="00883087">
        <w:t xml:space="preserve">National Institute of Statistics of Rwanda. (2022). </w:t>
      </w:r>
      <w:r w:rsidRPr="00883087">
        <w:rPr>
          <w:i/>
          <w:iCs/>
        </w:rPr>
        <w:t>Rwanda Population and Housing Census: Kigali City</w:t>
      </w:r>
      <w:r w:rsidRPr="00883087">
        <w:t>. NISR.</w:t>
      </w:r>
    </w:p>
    <w:p w14:paraId="172D6A63" w14:textId="77777777" w:rsidR="00883087" w:rsidRPr="00883087" w:rsidRDefault="00883087" w:rsidP="00883087">
      <w:pPr>
        <w:pStyle w:val="Bibliography"/>
      </w:pPr>
      <w:r w:rsidRPr="00883087">
        <w:t xml:space="preserve">Phiri, D., </w:t>
      </w:r>
      <w:proofErr w:type="spellStart"/>
      <w:r w:rsidRPr="00883087">
        <w:t>Simwanda</w:t>
      </w:r>
      <w:proofErr w:type="spellEnd"/>
      <w:r w:rsidRPr="00883087">
        <w:t xml:space="preserve">, M., Salekin, S., Nyirenda, V., Murayama, Y., &amp; </w:t>
      </w:r>
      <w:proofErr w:type="spellStart"/>
      <w:r w:rsidRPr="00883087">
        <w:t>Ranagalage</w:t>
      </w:r>
      <w:proofErr w:type="spellEnd"/>
      <w:r w:rsidRPr="00883087">
        <w:t xml:space="preserve">, M. (2020). Sentinel-2 Data for Land Cover/Use Mapping: A Review. </w:t>
      </w:r>
      <w:r w:rsidRPr="00883087">
        <w:rPr>
          <w:i/>
          <w:iCs/>
        </w:rPr>
        <w:t>Remote Sensing</w:t>
      </w:r>
      <w:r w:rsidRPr="00883087">
        <w:t xml:space="preserve">, </w:t>
      </w:r>
      <w:r w:rsidRPr="00883087">
        <w:rPr>
          <w:i/>
          <w:iCs/>
        </w:rPr>
        <w:t>12</w:t>
      </w:r>
      <w:r w:rsidRPr="00883087">
        <w:t>(14), 2291. https://doi.org/10.3390/rs12142291</w:t>
      </w:r>
    </w:p>
    <w:p w14:paraId="445709F1" w14:textId="77777777" w:rsidR="00883087" w:rsidRPr="00883087" w:rsidRDefault="00883087" w:rsidP="00883087">
      <w:pPr>
        <w:pStyle w:val="Bibliography"/>
      </w:pPr>
      <w:r w:rsidRPr="00883087">
        <w:t xml:space="preserve">Song, X., Xu, D., Huang, C., Zhang, K., Huang, S., Guo, D., Zhang, S., Yue, K., Guo, T., Wang, S., &amp; Zang, H. (2021). Monitoring of nitrogen accumulation in wheat plants based on hyperspectral data. </w:t>
      </w:r>
      <w:r w:rsidRPr="00883087">
        <w:rPr>
          <w:i/>
          <w:iCs/>
        </w:rPr>
        <w:t>Remote Sensing Applications: Society and Environment</w:t>
      </w:r>
      <w:r w:rsidRPr="00883087">
        <w:t xml:space="preserve">, </w:t>
      </w:r>
      <w:r w:rsidRPr="00883087">
        <w:rPr>
          <w:i/>
          <w:iCs/>
        </w:rPr>
        <w:t>23</w:t>
      </w:r>
      <w:r w:rsidRPr="00883087">
        <w:t>, 100598. https://doi.org/10.1016/j.rsase.2021.100598</w:t>
      </w:r>
    </w:p>
    <w:p w14:paraId="5A25424F" w14:textId="77777777" w:rsidR="00883087" w:rsidRPr="00883087" w:rsidRDefault="00883087" w:rsidP="00883087">
      <w:pPr>
        <w:pStyle w:val="Bibliography"/>
      </w:pPr>
      <w:r w:rsidRPr="00883087">
        <w:t xml:space="preserve">Svoboda, J., </w:t>
      </w:r>
      <w:proofErr w:type="spellStart"/>
      <w:r w:rsidRPr="00883087">
        <w:t>Štych</w:t>
      </w:r>
      <w:proofErr w:type="spellEnd"/>
      <w:r w:rsidRPr="00883087">
        <w:t xml:space="preserve">, P., </w:t>
      </w:r>
      <w:proofErr w:type="spellStart"/>
      <w:r w:rsidRPr="00883087">
        <w:t>Laštovička</w:t>
      </w:r>
      <w:proofErr w:type="spellEnd"/>
      <w:r w:rsidRPr="00883087">
        <w:t xml:space="preserve">, J., </w:t>
      </w:r>
      <w:proofErr w:type="spellStart"/>
      <w:r w:rsidRPr="00883087">
        <w:t>Paluba</w:t>
      </w:r>
      <w:proofErr w:type="spellEnd"/>
      <w:r w:rsidRPr="00883087">
        <w:t xml:space="preserve">, D., &amp; </w:t>
      </w:r>
      <w:proofErr w:type="spellStart"/>
      <w:r w:rsidRPr="00883087">
        <w:t>Kobliuk</w:t>
      </w:r>
      <w:proofErr w:type="spellEnd"/>
      <w:r w:rsidRPr="00883087">
        <w:t xml:space="preserve">, N. (2022). Random Forest Classification of Land Use, Land-Use Change and Forestry (LULUCF) Using Sentinel-2 Data—A Case Study of Czechia. </w:t>
      </w:r>
      <w:r w:rsidRPr="00883087">
        <w:rPr>
          <w:i/>
          <w:iCs/>
        </w:rPr>
        <w:t>Remote Sensing</w:t>
      </w:r>
      <w:r w:rsidRPr="00883087">
        <w:t xml:space="preserve">, </w:t>
      </w:r>
      <w:r w:rsidRPr="00883087">
        <w:rPr>
          <w:i/>
          <w:iCs/>
        </w:rPr>
        <w:t>14</w:t>
      </w:r>
      <w:r w:rsidRPr="00883087">
        <w:t>(5), 1189. https://doi.org/10.3390/rs14051189</w:t>
      </w:r>
    </w:p>
    <w:p w14:paraId="626DAFC8" w14:textId="77777777" w:rsidR="00883087" w:rsidRPr="00883087" w:rsidRDefault="00883087" w:rsidP="00883087">
      <w:pPr>
        <w:pStyle w:val="Bibliography"/>
      </w:pPr>
      <w:r w:rsidRPr="00883087">
        <w:lastRenderedPageBreak/>
        <w:t xml:space="preserve">World Bank. (2023). </w:t>
      </w:r>
      <w:r w:rsidRPr="00883087">
        <w:rPr>
          <w:i/>
          <w:iCs/>
        </w:rPr>
        <w:t>Rwanda Urbanization Review: Managing Urban Growth for Prosperity</w:t>
      </w:r>
      <w:r w:rsidRPr="00883087">
        <w:t>. World Bank.</w:t>
      </w:r>
    </w:p>
    <w:p w14:paraId="24FD78C1" w14:textId="77777777" w:rsidR="00883087" w:rsidRPr="00883087" w:rsidRDefault="00883087" w:rsidP="00883087">
      <w:pPr>
        <w:pStyle w:val="Bibliography"/>
      </w:pPr>
      <w:r w:rsidRPr="00883087">
        <w:t xml:space="preserve">Xu, F., </w:t>
      </w:r>
      <w:proofErr w:type="spellStart"/>
      <w:r w:rsidRPr="00883087">
        <w:t>Heremans</w:t>
      </w:r>
      <w:proofErr w:type="spellEnd"/>
      <w:r w:rsidRPr="00883087">
        <w:t xml:space="preserve">, S., &amp; Somers, B. (2022). Urban land cover mapping with Sentinel-2: A </w:t>
      </w:r>
      <w:proofErr w:type="spellStart"/>
      <w:r w:rsidRPr="00883087">
        <w:t>spectro</w:t>
      </w:r>
      <w:proofErr w:type="spellEnd"/>
      <w:r w:rsidRPr="00883087">
        <w:t xml:space="preserve">-spatio-temporal analysis. </w:t>
      </w:r>
      <w:r w:rsidRPr="00883087">
        <w:rPr>
          <w:i/>
          <w:iCs/>
        </w:rPr>
        <w:t>Urban Informatics</w:t>
      </w:r>
      <w:r w:rsidRPr="00883087">
        <w:t xml:space="preserve">, </w:t>
      </w:r>
      <w:r w:rsidRPr="00883087">
        <w:rPr>
          <w:i/>
          <w:iCs/>
        </w:rPr>
        <w:t>1</w:t>
      </w:r>
      <w:r w:rsidRPr="00883087">
        <w:t>(1), 8. https://doi.org/10.1007/s44212-022-00008-y</w:t>
      </w:r>
    </w:p>
    <w:p w14:paraId="2B0E4993" w14:textId="77777777" w:rsidR="00883087" w:rsidRPr="00883087" w:rsidRDefault="00883087" w:rsidP="00883087">
      <w:pPr>
        <w:pStyle w:val="Bibliography"/>
      </w:pPr>
      <w:r w:rsidRPr="00883087">
        <w:t xml:space="preserve">Yan, P., Feng, Y., Han, Q., Hu, Z., Huang, X., Su, K., &amp; Kang, S. (2024). Enhanced cotton chlorophyll content estimation with UAV multispectral and LiDAR constrained SCOPE model. </w:t>
      </w:r>
      <w:r w:rsidRPr="00883087">
        <w:rPr>
          <w:i/>
          <w:iCs/>
        </w:rPr>
        <w:t>International Journal of Applied Earth Observation and Geoinformation</w:t>
      </w:r>
      <w:r w:rsidRPr="00883087">
        <w:t xml:space="preserve">, </w:t>
      </w:r>
      <w:r w:rsidRPr="00883087">
        <w:rPr>
          <w:i/>
          <w:iCs/>
        </w:rPr>
        <w:t>132</w:t>
      </w:r>
      <w:r w:rsidRPr="00883087">
        <w:t>, 104052. https://doi.org/10.1016/j.jag.2024.104052</w:t>
      </w:r>
    </w:p>
    <w:p w14:paraId="5E294E7D" w14:textId="77777777" w:rsidR="00883087" w:rsidRPr="00883087" w:rsidRDefault="00883087" w:rsidP="00883087">
      <w:pPr>
        <w:pStyle w:val="Bibliography"/>
      </w:pPr>
      <w:r w:rsidRPr="00883087">
        <w:t xml:space="preserve">Zhang, T., Su, J., Xu, Z., Luo, Y., &amp; Li, J. (2021). Sentinel-2 Satellite Imagery for Urban Land Cover Classification by Optimized Random Forest Classifier. </w:t>
      </w:r>
      <w:r w:rsidRPr="00883087">
        <w:rPr>
          <w:i/>
          <w:iCs/>
        </w:rPr>
        <w:t>Applied Sciences</w:t>
      </w:r>
      <w:r w:rsidRPr="00883087">
        <w:t xml:space="preserve">, </w:t>
      </w:r>
      <w:r w:rsidRPr="00883087">
        <w:rPr>
          <w:i/>
          <w:iCs/>
        </w:rPr>
        <w:t>11</w:t>
      </w:r>
      <w:r w:rsidRPr="00883087">
        <w:t>(2), 543. https://doi.org/10.3390/app11020543</w:t>
      </w:r>
    </w:p>
    <w:p w14:paraId="218BDC21" w14:textId="45E27A37" w:rsidR="00EB1985" w:rsidRDefault="002610A2" w:rsidP="008F51A3">
      <w:pPr>
        <w:spacing w:before="300" w:after="120" w:line="360" w:lineRule="auto"/>
      </w:pPr>
      <w:r>
        <w:rPr>
          <w:b/>
          <w:bCs/>
          <w:sz w:val="26"/>
          <w:szCs w:val="26"/>
        </w:rPr>
        <w:fldChar w:fldCharType="end"/>
      </w:r>
    </w:p>
    <w:sectPr w:rsidR="00EB1985">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AD0BF" w14:textId="77777777" w:rsidR="000D4D23" w:rsidRDefault="000D4D23">
      <w:r>
        <w:separator/>
      </w:r>
    </w:p>
  </w:endnote>
  <w:endnote w:type="continuationSeparator" w:id="0">
    <w:p w14:paraId="265795EA" w14:textId="77777777" w:rsidR="000D4D23" w:rsidRDefault="000D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DED6" w14:textId="77777777" w:rsidR="00EB1985" w:rsidRPr="00883087" w:rsidRDefault="00610F5D">
    <w:pPr>
      <w:jc w:val="center"/>
      <w:rPr>
        <w:b/>
        <w:bCs/>
      </w:rPr>
    </w:pPr>
    <w:r w:rsidRPr="00883087">
      <w:rPr>
        <w:b/>
        <w:bCs/>
        <w:color w:val="888888"/>
        <w:sz w:val="18"/>
        <w:szCs w:val="18"/>
      </w:rPr>
      <w:t xml:space="preserve">Page </w:t>
    </w:r>
    <w:r w:rsidRPr="00883087">
      <w:rPr>
        <w:b/>
        <w:bCs/>
        <w:color w:val="888888"/>
        <w:sz w:val="18"/>
        <w:szCs w:val="18"/>
      </w:rPr>
      <w:fldChar w:fldCharType="begin"/>
    </w:r>
    <w:r w:rsidRPr="00883087">
      <w:rPr>
        <w:b/>
        <w:bCs/>
        <w:color w:val="888888"/>
        <w:sz w:val="18"/>
        <w:szCs w:val="18"/>
      </w:rPr>
      <w:instrText>PAGE</w:instrText>
    </w:r>
    <w:r w:rsidRPr="00883087">
      <w:rPr>
        <w:b/>
        <w:bCs/>
        <w:color w:val="888888"/>
        <w:sz w:val="18"/>
        <w:szCs w:val="18"/>
      </w:rPr>
      <w:fldChar w:fldCharType="separate"/>
    </w:r>
    <w:r w:rsidRPr="00883087">
      <w:rPr>
        <w:b/>
        <w:bCs/>
        <w:noProof/>
        <w:color w:val="888888"/>
        <w:sz w:val="18"/>
        <w:szCs w:val="18"/>
      </w:rPr>
      <w:t>1</w:t>
    </w:r>
    <w:r w:rsidRPr="00883087">
      <w:rPr>
        <w:b/>
        <w:bCs/>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7A215" w14:textId="77777777" w:rsidR="000D4D23" w:rsidRDefault="000D4D23">
      <w:r>
        <w:separator/>
      </w:r>
    </w:p>
  </w:footnote>
  <w:footnote w:type="continuationSeparator" w:id="0">
    <w:p w14:paraId="7780091A" w14:textId="77777777" w:rsidR="000D4D23" w:rsidRDefault="000D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83768"/>
    <w:multiLevelType w:val="hybridMultilevel"/>
    <w:tmpl w:val="B2447914"/>
    <w:lvl w:ilvl="0" w:tplc="529A41F0">
      <w:start w:val="1"/>
      <w:numFmt w:val="bullet"/>
      <w:lvlText w:val="●"/>
      <w:lvlJc w:val="left"/>
      <w:pPr>
        <w:ind w:left="720" w:hanging="360"/>
      </w:pPr>
    </w:lvl>
    <w:lvl w:ilvl="1" w:tplc="1D1C2B0E">
      <w:start w:val="1"/>
      <w:numFmt w:val="bullet"/>
      <w:lvlText w:val="○"/>
      <w:lvlJc w:val="left"/>
      <w:pPr>
        <w:ind w:left="1440" w:hanging="360"/>
      </w:pPr>
    </w:lvl>
    <w:lvl w:ilvl="2" w:tplc="474ECFDE">
      <w:start w:val="1"/>
      <w:numFmt w:val="bullet"/>
      <w:lvlText w:val="■"/>
      <w:lvlJc w:val="left"/>
      <w:pPr>
        <w:ind w:left="2160" w:hanging="360"/>
      </w:pPr>
    </w:lvl>
    <w:lvl w:ilvl="3" w:tplc="1736CE34">
      <w:start w:val="1"/>
      <w:numFmt w:val="bullet"/>
      <w:lvlText w:val="●"/>
      <w:lvlJc w:val="left"/>
      <w:pPr>
        <w:ind w:left="2880" w:hanging="360"/>
      </w:pPr>
    </w:lvl>
    <w:lvl w:ilvl="4" w:tplc="31CE2E3A">
      <w:start w:val="1"/>
      <w:numFmt w:val="bullet"/>
      <w:lvlText w:val="○"/>
      <w:lvlJc w:val="left"/>
      <w:pPr>
        <w:ind w:left="3600" w:hanging="360"/>
      </w:pPr>
    </w:lvl>
    <w:lvl w:ilvl="5" w:tplc="B45829C2">
      <w:start w:val="1"/>
      <w:numFmt w:val="bullet"/>
      <w:lvlText w:val="■"/>
      <w:lvlJc w:val="left"/>
      <w:pPr>
        <w:ind w:left="4320" w:hanging="360"/>
      </w:pPr>
    </w:lvl>
    <w:lvl w:ilvl="6" w:tplc="434E5ADA">
      <w:start w:val="1"/>
      <w:numFmt w:val="bullet"/>
      <w:lvlText w:val="●"/>
      <w:lvlJc w:val="left"/>
      <w:pPr>
        <w:ind w:left="5040" w:hanging="360"/>
      </w:pPr>
    </w:lvl>
    <w:lvl w:ilvl="7" w:tplc="D334324C">
      <w:start w:val="1"/>
      <w:numFmt w:val="bullet"/>
      <w:lvlText w:val="●"/>
      <w:lvlJc w:val="left"/>
      <w:pPr>
        <w:ind w:left="5760" w:hanging="360"/>
      </w:pPr>
    </w:lvl>
    <w:lvl w:ilvl="8" w:tplc="E8E8A0D0">
      <w:start w:val="1"/>
      <w:numFmt w:val="bullet"/>
      <w:lvlText w:val="●"/>
      <w:lvlJc w:val="left"/>
      <w:pPr>
        <w:ind w:left="6480" w:hanging="360"/>
      </w:pPr>
    </w:lvl>
  </w:abstractNum>
  <w:abstractNum w:abstractNumId="1" w15:restartNumberingAfterBreak="0">
    <w:nsid w:val="76864ACC"/>
    <w:multiLevelType w:val="hybridMultilevel"/>
    <w:tmpl w:val="6F9E7D72"/>
    <w:lvl w:ilvl="0" w:tplc="F29E4680">
      <w:start w:val="1"/>
      <w:numFmt w:val="bullet"/>
      <w:lvlText w:val="•"/>
      <w:lvlJc w:val="left"/>
      <w:pPr>
        <w:ind w:left="720" w:hanging="360"/>
      </w:pPr>
    </w:lvl>
    <w:lvl w:ilvl="1" w:tplc="2EFA71D4">
      <w:numFmt w:val="decimal"/>
      <w:lvlText w:val=""/>
      <w:lvlJc w:val="left"/>
    </w:lvl>
    <w:lvl w:ilvl="2" w:tplc="5D2E3A22">
      <w:numFmt w:val="decimal"/>
      <w:lvlText w:val=""/>
      <w:lvlJc w:val="left"/>
    </w:lvl>
    <w:lvl w:ilvl="3" w:tplc="9C98FEAC">
      <w:numFmt w:val="decimal"/>
      <w:lvlText w:val=""/>
      <w:lvlJc w:val="left"/>
    </w:lvl>
    <w:lvl w:ilvl="4" w:tplc="B42EFFF6">
      <w:numFmt w:val="decimal"/>
      <w:lvlText w:val=""/>
      <w:lvlJc w:val="left"/>
    </w:lvl>
    <w:lvl w:ilvl="5" w:tplc="4ED22B4A">
      <w:numFmt w:val="decimal"/>
      <w:lvlText w:val=""/>
      <w:lvlJc w:val="left"/>
    </w:lvl>
    <w:lvl w:ilvl="6" w:tplc="10AAAA96">
      <w:numFmt w:val="decimal"/>
      <w:lvlText w:val=""/>
      <w:lvlJc w:val="left"/>
    </w:lvl>
    <w:lvl w:ilvl="7" w:tplc="D0D88652">
      <w:numFmt w:val="decimal"/>
      <w:lvlText w:val=""/>
      <w:lvlJc w:val="left"/>
    </w:lvl>
    <w:lvl w:ilvl="8" w:tplc="7180DFF4">
      <w:numFmt w:val="decimal"/>
      <w:lvlText w:val=""/>
      <w:lvlJc w:val="left"/>
    </w:lvl>
  </w:abstractNum>
  <w:num w:numId="1" w16cid:durableId="726145216">
    <w:abstractNumId w:val="0"/>
    <w:lvlOverride w:ilvl="0">
      <w:startOverride w:val="1"/>
    </w:lvlOverride>
  </w:num>
  <w:num w:numId="2" w16cid:durableId="6512522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985"/>
    <w:rsid w:val="000832F7"/>
    <w:rsid w:val="000D4D23"/>
    <w:rsid w:val="001E1DFE"/>
    <w:rsid w:val="002610A2"/>
    <w:rsid w:val="00335DC4"/>
    <w:rsid w:val="00556D85"/>
    <w:rsid w:val="00563453"/>
    <w:rsid w:val="005C7AD4"/>
    <w:rsid w:val="00610F5D"/>
    <w:rsid w:val="006D19EF"/>
    <w:rsid w:val="00883087"/>
    <w:rsid w:val="008F51A3"/>
    <w:rsid w:val="00907A95"/>
    <w:rsid w:val="0099490D"/>
    <w:rsid w:val="00A050E1"/>
    <w:rsid w:val="00A15990"/>
    <w:rsid w:val="00A501BE"/>
    <w:rsid w:val="00B61551"/>
    <w:rsid w:val="00BA5252"/>
    <w:rsid w:val="00C7665F"/>
    <w:rsid w:val="00CC2C8F"/>
    <w:rsid w:val="00D63A59"/>
    <w:rsid w:val="00D7669F"/>
    <w:rsid w:val="00E267AB"/>
    <w:rsid w:val="00EB1985"/>
    <w:rsid w:val="00EB5ECA"/>
    <w:rsid w:val="00F20CA7"/>
    <w:rsid w:val="00F66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1A8C2"/>
  <w15:docId w15:val="{91754FE2-158E-462D-A9F0-69D6CD20E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ibliography">
    <w:name w:val="Bibliography"/>
    <w:basedOn w:val="Normal"/>
    <w:next w:val="Normal"/>
    <w:uiPriority w:val="37"/>
    <w:unhideWhenUsed/>
    <w:rsid w:val="002610A2"/>
    <w:pPr>
      <w:spacing w:line="480" w:lineRule="auto"/>
      <w:ind w:left="720" w:hanging="720"/>
    </w:pPr>
  </w:style>
  <w:style w:type="paragraph" w:styleId="Caption">
    <w:name w:val="caption"/>
    <w:basedOn w:val="Normal"/>
    <w:next w:val="Normal"/>
    <w:uiPriority w:val="35"/>
    <w:unhideWhenUsed/>
    <w:qFormat/>
    <w:rsid w:val="00BA5252"/>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8F51A3"/>
    <w:rPr>
      <w:color w:val="605E5C"/>
      <w:shd w:val="clear" w:color="auto" w:fill="E1DFDD"/>
    </w:rPr>
  </w:style>
  <w:style w:type="paragraph" w:styleId="Header">
    <w:name w:val="header"/>
    <w:basedOn w:val="Normal"/>
    <w:link w:val="HeaderChar"/>
    <w:uiPriority w:val="99"/>
    <w:unhideWhenUsed/>
    <w:rsid w:val="00883087"/>
    <w:pPr>
      <w:tabs>
        <w:tab w:val="center" w:pos="4680"/>
        <w:tab w:val="right" w:pos="9360"/>
      </w:tabs>
    </w:pPr>
  </w:style>
  <w:style w:type="character" w:customStyle="1" w:styleId="HeaderChar">
    <w:name w:val="Header Char"/>
    <w:basedOn w:val="DefaultParagraphFont"/>
    <w:link w:val="Header"/>
    <w:uiPriority w:val="99"/>
    <w:rsid w:val="00883087"/>
  </w:style>
  <w:style w:type="paragraph" w:styleId="Footer">
    <w:name w:val="footer"/>
    <w:basedOn w:val="Normal"/>
    <w:link w:val="FooterChar"/>
    <w:uiPriority w:val="99"/>
    <w:unhideWhenUsed/>
    <w:rsid w:val="00883087"/>
    <w:pPr>
      <w:tabs>
        <w:tab w:val="center" w:pos="4680"/>
        <w:tab w:val="right" w:pos="9360"/>
      </w:tabs>
    </w:pPr>
  </w:style>
  <w:style w:type="character" w:customStyle="1" w:styleId="FooterChar">
    <w:name w:val="Footer Char"/>
    <w:basedOn w:val="DefaultParagraphFont"/>
    <w:link w:val="Footer"/>
    <w:uiPriority w:val="99"/>
    <w:rsid w:val="008830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08D3D6-C78D-4810-BED2-D95E9B84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10</Pages>
  <Words>7716</Words>
  <Characters>43986</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Brave INKINDI</cp:lastModifiedBy>
  <cp:revision>26</cp:revision>
  <cp:lastPrinted>2026-03-20T21:37:00Z</cp:lastPrinted>
  <dcterms:created xsi:type="dcterms:W3CDTF">2026-03-20T21:24:00Z</dcterms:created>
  <dcterms:modified xsi:type="dcterms:W3CDTF">2026-03-20T21:39:00Z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id="xLFYsqWu"/&gt;&lt;style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