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Infrastructure as Code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resources are manually created, which is great for control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can be version controlled for example using git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to the infrastructure are reviewed through code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resources within the stack is staged with an identifier so you can easily see how much a stack costs you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estimate the cost of your resources using the CloudFormation template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Productivity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destroy and re-create an infrastructure on the cloud on the fly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generation of Diagram for you templates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Declarative programming (no need to figure out ordering and orchestration)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Separation of concern: create many stacks for many apps, and many layers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VPC stacks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Stacks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Stacks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How Cloudformation Works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Templates have to be uploaded in S3 and then referenced in CloudFormation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update a template, we can’t edit previous ones. We have to reupload a new version of the template to AWS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Stacks are identified by a name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Deleting a stack deletes every single artifact that was created by CloudFormation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Deploying CloudFormation Templates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way: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Editing templates in the CloudFormation Designer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console to input parameters, etc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way: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Editing templates in a YAML file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AWS CLI to deploy the templates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way when you want to fully automate your flow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CloudFormation Building Blocks: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Templates components (one course section for each)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Resources: your AWS resources declared in the template (</w:t>
      </w:r>
      <w:r w:rsidDel="00000000" w:rsidR="00000000" w:rsidRPr="00000000">
        <w:rPr>
          <w:b w:val="1"/>
          <w:rtl w:val="0"/>
        </w:rPr>
        <w:t xml:space="preserve">Mandatory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the dynamic inputs for you template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Mappings: the static variables for your template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Outputs: References to what has been created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Conditionals: List of conditions to perform resource creation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Template helpers: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