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FB8F4B" w14:textId="77777777" w:rsidR="00C0388C" w:rsidRPr="00C0388C" w:rsidRDefault="00C0388C" w:rsidP="0080402A">
      <w:pPr>
        <w:pStyle w:val="Heading1"/>
        <w:rPr>
          <w:rFonts w:eastAsia="Times New Roman"/>
          <w:lang w:eastAsia="en-GB"/>
        </w:rPr>
      </w:pPr>
      <w:r w:rsidRPr="00C0388C">
        <w:rPr>
          <w:rFonts w:eastAsia="Times New Roman"/>
          <w:lang w:eastAsia="en-GB"/>
        </w:rPr>
        <w:t>Legal / Compliance – Legal Precedent Summary Sheet</w:t>
      </w:r>
    </w:p>
    <w:p w14:paraId="49B50630" w14:textId="77777777" w:rsidR="00C0388C" w:rsidRPr="00C0388C" w:rsidRDefault="00C0388C" w:rsidP="00C0388C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C0388C">
        <w:rPr>
          <w:rFonts w:eastAsia="Times New Roman" w:cs="Times New Roman"/>
          <w:b/>
          <w:bCs/>
          <w:kern w:val="0"/>
          <w:lang w:eastAsia="en-GB"/>
          <w14:ligatures w14:val="none"/>
        </w:rPr>
        <w:t>Purpose:</w:t>
      </w:r>
      <w:r w:rsidRPr="00C0388C">
        <w:rPr>
          <w:rFonts w:eastAsia="Times New Roman" w:cs="Times New Roman"/>
          <w:kern w:val="0"/>
          <w:lang w:eastAsia="en-GB"/>
          <w14:ligatures w14:val="none"/>
        </w:rPr>
        <w:br/>
        <w:t>To provide legal, executive, and compliance stakeholders with a concise reference to relevant case law, regulatory guidance, or prior incidents that may inform breach response decisions. This sheet is intended to support consistency and defensibility in high-pressure legal scenarios.</w:t>
      </w:r>
    </w:p>
    <w:p w14:paraId="40BB4664" w14:textId="77777777" w:rsidR="00C0388C" w:rsidRPr="00C0388C" w:rsidRDefault="00DB1A27" w:rsidP="00C0388C">
      <w:pPr>
        <w:spacing w:after="0" w:line="240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rFonts w:eastAsia="Times New Roman" w:cs="Times New Roman"/>
          <w:noProof/>
          <w:kern w:val="0"/>
          <w:lang w:eastAsia="en-GB"/>
        </w:rPr>
        <w:pict w14:anchorId="3D8AC6F1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6B8833D5" w14:textId="77777777" w:rsidR="00C0388C" w:rsidRPr="00C0388C" w:rsidRDefault="00C0388C" w:rsidP="0080402A">
      <w:pPr>
        <w:pStyle w:val="Heading2"/>
        <w:rPr>
          <w:rFonts w:eastAsia="Times New Roman"/>
          <w:lang w:eastAsia="en-GB"/>
        </w:rPr>
      </w:pPr>
      <w:r w:rsidRPr="00C0388C">
        <w:rPr>
          <w:rFonts w:eastAsia="Times New Roman"/>
          <w:lang w:eastAsia="en-GB"/>
        </w:rPr>
        <w:t>When to Use</w:t>
      </w:r>
    </w:p>
    <w:p w14:paraId="6339537C" w14:textId="77777777" w:rsidR="00C0388C" w:rsidRPr="00C0388C" w:rsidRDefault="00C0388C" w:rsidP="00C038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C0388C">
        <w:rPr>
          <w:rFonts w:eastAsia="Times New Roman" w:cs="Times New Roman"/>
          <w:kern w:val="0"/>
          <w:lang w:eastAsia="en-GB"/>
          <w14:ligatures w14:val="none"/>
        </w:rPr>
        <w:t>During or after a major incident when:</w:t>
      </w:r>
    </w:p>
    <w:p w14:paraId="2944A579" w14:textId="77777777" w:rsidR="00C0388C" w:rsidRPr="00C0388C" w:rsidRDefault="00C0388C" w:rsidP="00C038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C0388C">
        <w:rPr>
          <w:rFonts w:eastAsia="Times New Roman" w:cs="Times New Roman"/>
          <w:kern w:val="0"/>
          <w:lang w:eastAsia="en-GB"/>
          <w14:ligatures w14:val="none"/>
        </w:rPr>
        <w:t>Disclosure obligations are unclear or contested</w:t>
      </w:r>
    </w:p>
    <w:p w14:paraId="498CDC3D" w14:textId="77777777" w:rsidR="00C0388C" w:rsidRPr="00C0388C" w:rsidRDefault="00C0388C" w:rsidP="00C038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C0388C">
        <w:rPr>
          <w:rFonts w:eastAsia="Times New Roman" w:cs="Times New Roman"/>
          <w:kern w:val="0"/>
          <w:lang w:eastAsia="en-GB"/>
          <w14:ligatures w14:val="none"/>
        </w:rPr>
        <w:t>Decision-makers request legal grounding for chosen actions</w:t>
      </w:r>
    </w:p>
    <w:p w14:paraId="3BE9DC5D" w14:textId="77777777" w:rsidR="00C0388C" w:rsidRPr="00C0388C" w:rsidRDefault="00C0388C" w:rsidP="00C038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C0388C">
        <w:rPr>
          <w:rFonts w:eastAsia="Times New Roman" w:cs="Times New Roman"/>
          <w:kern w:val="0"/>
          <w:lang w:eastAsia="en-GB"/>
          <w14:ligatures w14:val="none"/>
        </w:rPr>
        <w:t>Insurers or regulators request precedent or justification</w:t>
      </w:r>
    </w:p>
    <w:p w14:paraId="15B7AB36" w14:textId="77777777" w:rsidR="00C0388C" w:rsidRPr="00C0388C" w:rsidRDefault="00DB1A27" w:rsidP="00C0388C">
      <w:pPr>
        <w:spacing w:after="0" w:line="240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rFonts w:eastAsia="Times New Roman" w:cs="Times New Roman"/>
          <w:noProof/>
          <w:kern w:val="0"/>
          <w:lang w:eastAsia="en-GB"/>
        </w:rPr>
        <w:pict w14:anchorId="0FFED1B0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422FFEC6" w14:textId="77777777" w:rsidR="00C0388C" w:rsidRPr="00C0388C" w:rsidRDefault="00C0388C" w:rsidP="0080402A">
      <w:pPr>
        <w:pStyle w:val="Heading2"/>
        <w:rPr>
          <w:rFonts w:eastAsia="Times New Roman"/>
          <w:lang w:eastAsia="en-GB"/>
        </w:rPr>
      </w:pPr>
      <w:r w:rsidRPr="00C0388C">
        <w:rPr>
          <w:rFonts w:eastAsia="Times New Roman"/>
          <w:lang w:eastAsia="en-GB"/>
        </w:rPr>
        <w:t>Format &amp; Usage</w:t>
      </w:r>
    </w:p>
    <w:p w14:paraId="464DC8B2" w14:textId="77777777" w:rsidR="00C0388C" w:rsidRPr="00C0388C" w:rsidRDefault="00C0388C" w:rsidP="00C0388C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C0388C">
        <w:rPr>
          <w:rFonts w:eastAsia="Times New Roman" w:cs="Times New Roman"/>
          <w:kern w:val="0"/>
          <w:lang w:eastAsia="en-GB"/>
          <w14:ligatures w14:val="none"/>
        </w:rPr>
        <w:t>This document should summarise 2–4 relevant legal precedents or regulatory interpretations that have bearing on:</w:t>
      </w:r>
    </w:p>
    <w:p w14:paraId="31193B8B" w14:textId="77777777" w:rsidR="00C0388C" w:rsidRPr="00C0388C" w:rsidRDefault="00C0388C" w:rsidP="00C038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C0388C">
        <w:rPr>
          <w:rFonts w:eastAsia="Times New Roman" w:cs="Times New Roman"/>
          <w:kern w:val="0"/>
          <w:lang w:eastAsia="en-GB"/>
          <w14:ligatures w14:val="none"/>
        </w:rPr>
        <w:t>Data breach response</w:t>
      </w:r>
    </w:p>
    <w:p w14:paraId="300E0609" w14:textId="77777777" w:rsidR="00C0388C" w:rsidRPr="00C0388C" w:rsidRDefault="00C0388C" w:rsidP="00C038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C0388C">
        <w:rPr>
          <w:rFonts w:eastAsia="Times New Roman" w:cs="Times New Roman"/>
          <w:kern w:val="0"/>
          <w:lang w:eastAsia="en-GB"/>
          <w14:ligatures w14:val="none"/>
        </w:rPr>
        <w:t>Public communication obligations</w:t>
      </w:r>
    </w:p>
    <w:p w14:paraId="250A4623" w14:textId="77777777" w:rsidR="00C0388C" w:rsidRPr="00C0388C" w:rsidRDefault="00C0388C" w:rsidP="00C038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C0388C">
        <w:rPr>
          <w:rFonts w:eastAsia="Times New Roman" w:cs="Times New Roman"/>
          <w:kern w:val="0"/>
          <w:lang w:eastAsia="en-GB"/>
          <w14:ligatures w14:val="none"/>
        </w:rPr>
        <w:t>Duty to disclose under cyber, operational, or privacy law</w:t>
      </w:r>
    </w:p>
    <w:p w14:paraId="16316F67" w14:textId="77777777" w:rsidR="00C0388C" w:rsidRPr="00C0388C" w:rsidRDefault="00C0388C" w:rsidP="00C038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C0388C">
        <w:rPr>
          <w:rFonts w:eastAsia="Times New Roman" w:cs="Times New Roman"/>
          <w:kern w:val="0"/>
          <w:lang w:eastAsia="en-GB"/>
          <w14:ligatures w14:val="none"/>
        </w:rPr>
        <w:t>Insurer coverage thresholds</w:t>
      </w:r>
    </w:p>
    <w:p w14:paraId="018B8F39" w14:textId="77777777" w:rsidR="00C0388C" w:rsidRPr="00C0388C" w:rsidRDefault="00C0388C" w:rsidP="00C0388C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C0388C">
        <w:rPr>
          <w:rFonts w:eastAsia="Times New Roman" w:cs="Times New Roman"/>
          <w:kern w:val="0"/>
          <w:lang w:eastAsia="en-GB"/>
          <w14:ligatures w14:val="none"/>
        </w:rPr>
        <w:t>Each precedent should include:</w:t>
      </w:r>
    </w:p>
    <w:p w14:paraId="62023826" w14:textId="77777777" w:rsidR="00C0388C" w:rsidRPr="00C0388C" w:rsidRDefault="00C0388C" w:rsidP="00C0388C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:lang w:eastAsia="en-GB"/>
          <w14:ligatures w14:val="none"/>
        </w:rPr>
      </w:pPr>
      <w:r w:rsidRPr="00C0388C">
        <w:rPr>
          <w:rFonts w:eastAsia="Times New Roman" w:cs="Times New Roman"/>
          <w:b/>
          <w:bCs/>
          <w:kern w:val="0"/>
          <w:lang w:eastAsia="en-GB"/>
          <w14:ligatures w14:val="none"/>
        </w:rPr>
        <w:t>1. Case Name or Ruling Summary</w:t>
      </w:r>
    </w:p>
    <w:p w14:paraId="0A30FDB9" w14:textId="77777777" w:rsidR="00C0388C" w:rsidRPr="00C0388C" w:rsidRDefault="00C0388C" w:rsidP="00C0388C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C0388C">
        <w:rPr>
          <w:rFonts w:eastAsia="Times New Roman" w:cs="Times New Roman"/>
          <w:i/>
          <w:iCs/>
          <w:kern w:val="0"/>
          <w:lang w:eastAsia="en-GB"/>
          <w14:ligatures w14:val="none"/>
        </w:rPr>
        <w:t>E.g. “ACME Shipping Pty Ltd v Regional Port Authority (2021)”</w:t>
      </w:r>
    </w:p>
    <w:p w14:paraId="14826113" w14:textId="77777777" w:rsidR="00C0388C" w:rsidRPr="00C0388C" w:rsidRDefault="00C0388C" w:rsidP="00C0388C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:lang w:eastAsia="en-GB"/>
          <w14:ligatures w14:val="none"/>
        </w:rPr>
      </w:pPr>
      <w:r w:rsidRPr="00C0388C">
        <w:rPr>
          <w:rFonts w:eastAsia="Times New Roman" w:cs="Times New Roman"/>
          <w:b/>
          <w:bCs/>
          <w:kern w:val="0"/>
          <w:lang w:eastAsia="en-GB"/>
          <w14:ligatures w14:val="none"/>
        </w:rPr>
        <w:t>2. Relevance to Current Scenario</w:t>
      </w:r>
    </w:p>
    <w:p w14:paraId="68D2D896" w14:textId="77777777" w:rsidR="00C0388C" w:rsidRPr="00C0388C" w:rsidRDefault="00C0388C" w:rsidP="00C0388C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C0388C">
        <w:rPr>
          <w:rFonts w:eastAsia="Times New Roman" w:cs="Times New Roman"/>
          <w:i/>
          <w:iCs/>
          <w:kern w:val="0"/>
          <w:lang w:eastAsia="en-GB"/>
          <w14:ligatures w14:val="none"/>
        </w:rPr>
        <w:t>Explain how this case is similar (e.g. operational disruption, cyber compromise, public exposure)</w:t>
      </w:r>
    </w:p>
    <w:p w14:paraId="7BCBE5A7" w14:textId="77777777" w:rsidR="00C0388C" w:rsidRPr="00C0388C" w:rsidRDefault="00C0388C" w:rsidP="00C0388C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:lang w:eastAsia="en-GB"/>
          <w14:ligatures w14:val="none"/>
        </w:rPr>
      </w:pPr>
      <w:r w:rsidRPr="00C0388C">
        <w:rPr>
          <w:rFonts w:eastAsia="Times New Roman" w:cs="Times New Roman"/>
          <w:b/>
          <w:bCs/>
          <w:kern w:val="0"/>
          <w:lang w:eastAsia="en-GB"/>
          <w14:ligatures w14:val="none"/>
        </w:rPr>
        <w:t>3. Legal Interpretation or Outcome</w:t>
      </w:r>
    </w:p>
    <w:p w14:paraId="58363ED6" w14:textId="77777777" w:rsidR="00C0388C" w:rsidRPr="00C0388C" w:rsidRDefault="00C0388C" w:rsidP="00C0388C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C0388C">
        <w:rPr>
          <w:rFonts w:eastAsia="Times New Roman" w:cs="Times New Roman"/>
          <w:i/>
          <w:iCs/>
          <w:kern w:val="0"/>
          <w:lang w:eastAsia="en-GB"/>
          <w14:ligatures w14:val="none"/>
        </w:rPr>
        <w:t>Key principle or finding (e.g. failure to disclose in a timely manner voided indemnity coverage)</w:t>
      </w:r>
    </w:p>
    <w:p w14:paraId="34158BA8" w14:textId="77777777" w:rsidR="00C0388C" w:rsidRPr="00C0388C" w:rsidRDefault="00C0388C" w:rsidP="00C0388C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:lang w:eastAsia="en-GB"/>
          <w14:ligatures w14:val="none"/>
        </w:rPr>
      </w:pPr>
      <w:r w:rsidRPr="00C0388C">
        <w:rPr>
          <w:rFonts w:eastAsia="Times New Roman" w:cs="Times New Roman"/>
          <w:b/>
          <w:bCs/>
          <w:kern w:val="0"/>
          <w:lang w:eastAsia="en-GB"/>
          <w14:ligatures w14:val="none"/>
        </w:rPr>
        <w:lastRenderedPageBreak/>
        <w:t>4. Risk Implication</w:t>
      </w:r>
    </w:p>
    <w:p w14:paraId="399B85CC" w14:textId="77777777" w:rsidR="00C0388C" w:rsidRPr="00C0388C" w:rsidRDefault="00C0388C" w:rsidP="00C0388C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C0388C">
        <w:rPr>
          <w:rFonts w:eastAsia="Times New Roman" w:cs="Times New Roman"/>
          <w:i/>
          <w:iCs/>
          <w:kern w:val="0"/>
          <w:lang w:eastAsia="en-GB"/>
          <w14:ligatures w14:val="none"/>
        </w:rPr>
        <w:t>What this means for our current posture (e.g. delay in disclosure increases risk to insurance claims)</w:t>
      </w:r>
    </w:p>
    <w:p w14:paraId="1E68ADD1" w14:textId="77777777" w:rsidR="00C0388C" w:rsidRPr="00C0388C" w:rsidRDefault="00DB1A27" w:rsidP="00C0388C">
      <w:pPr>
        <w:spacing w:after="0" w:line="240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rFonts w:eastAsia="Times New Roman" w:cs="Times New Roman"/>
          <w:noProof/>
          <w:kern w:val="0"/>
          <w:lang w:eastAsia="en-GB"/>
        </w:rPr>
        <w:pict w14:anchorId="3DBF0103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30E0E213" w14:textId="77777777" w:rsidR="00C0388C" w:rsidRPr="00C0388C" w:rsidRDefault="00C0388C" w:rsidP="0080402A">
      <w:pPr>
        <w:pStyle w:val="Heading2"/>
        <w:rPr>
          <w:rFonts w:eastAsia="Times New Roman"/>
          <w:lang w:eastAsia="en-GB"/>
        </w:rPr>
      </w:pPr>
      <w:r w:rsidRPr="00C0388C">
        <w:rPr>
          <w:rFonts w:eastAsia="Times New Roman"/>
          <w:lang w:eastAsia="en-GB"/>
        </w:rPr>
        <w:t>Sample Table Format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6"/>
        <w:gridCol w:w="2098"/>
        <w:gridCol w:w="1910"/>
        <w:gridCol w:w="2752"/>
      </w:tblGrid>
      <w:tr w:rsidR="00C0388C" w:rsidRPr="00C0388C" w14:paraId="6D724CC6" w14:textId="77777777" w:rsidTr="00C0388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4DC0C1" w14:textId="77777777" w:rsidR="00C0388C" w:rsidRPr="00C0388C" w:rsidRDefault="00C0388C" w:rsidP="00C0388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C0388C"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  <w:t>Precedent</w:t>
            </w:r>
          </w:p>
        </w:tc>
        <w:tc>
          <w:tcPr>
            <w:tcW w:w="0" w:type="auto"/>
            <w:vAlign w:val="center"/>
            <w:hideMark/>
          </w:tcPr>
          <w:p w14:paraId="47E87B63" w14:textId="77777777" w:rsidR="00C0388C" w:rsidRPr="00C0388C" w:rsidRDefault="00C0388C" w:rsidP="00C0388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C0388C"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  <w:t>Key Issue</w:t>
            </w:r>
          </w:p>
        </w:tc>
        <w:tc>
          <w:tcPr>
            <w:tcW w:w="0" w:type="auto"/>
            <w:vAlign w:val="center"/>
            <w:hideMark/>
          </w:tcPr>
          <w:p w14:paraId="3CD2658C" w14:textId="77777777" w:rsidR="00C0388C" w:rsidRPr="00C0388C" w:rsidRDefault="00C0388C" w:rsidP="00C0388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C0388C"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  <w:t>Outcome</w:t>
            </w:r>
          </w:p>
        </w:tc>
        <w:tc>
          <w:tcPr>
            <w:tcW w:w="0" w:type="auto"/>
            <w:vAlign w:val="center"/>
            <w:hideMark/>
          </w:tcPr>
          <w:p w14:paraId="6E8E8ADE" w14:textId="77777777" w:rsidR="00C0388C" w:rsidRPr="00C0388C" w:rsidRDefault="00C0388C" w:rsidP="00C0388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C0388C"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  <w:t>Implication</w:t>
            </w:r>
          </w:p>
        </w:tc>
      </w:tr>
      <w:tr w:rsidR="00C0388C" w:rsidRPr="00C0388C" w14:paraId="14E378F5" w14:textId="77777777" w:rsidTr="00C038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F837F2" w14:textId="77777777" w:rsidR="00C0388C" w:rsidRPr="00C0388C" w:rsidRDefault="00C0388C" w:rsidP="00C0388C">
            <w:pPr>
              <w:spacing w:after="0" w:line="240" w:lineRule="auto"/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C0388C">
              <w:rPr>
                <w:rFonts w:eastAsia="Times New Roman" w:cs="Times New Roman"/>
                <w:i/>
                <w:iCs/>
                <w:kern w:val="0"/>
                <w:lang w:eastAsia="en-GB"/>
                <w14:ligatures w14:val="none"/>
              </w:rPr>
              <w:t>XYZ Maritime Ltd v Regulator (2020)</w:t>
            </w:r>
          </w:p>
        </w:tc>
        <w:tc>
          <w:tcPr>
            <w:tcW w:w="0" w:type="auto"/>
            <w:vAlign w:val="center"/>
            <w:hideMark/>
          </w:tcPr>
          <w:p w14:paraId="51872E08" w14:textId="77777777" w:rsidR="00C0388C" w:rsidRPr="00C0388C" w:rsidRDefault="00C0388C" w:rsidP="00C0388C">
            <w:pPr>
              <w:spacing w:after="0" w:line="240" w:lineRule="auto"/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C0388C">
              <w:rPr>
                <w:rFonts w:eastAsia="Times New Roman" w:cs="Times New Roman"/>
                <w:kern w:val="0"/>
                <w:lang w:eastAsia="en-GB"/>
                <w14:ligatures w14:val="none"/>
              </w:rPr>
              <w:t>Failure to notify within 48 hrs</w:t>
            </w:r>
          </w:p>
        </w:tc>
        <w:tc>
          <w:tcPr>
            <w:tcW w:w="0" w:type="auto"/>
            <w:vAlign w:val="center"/>
            <w:hideMark/>
          </w:tcPr>
          <w:p w14:paraId="49FDD10E" w14:textId="77777777" w:rsidR="00C0388C" w:rsidRPr="00C0388C" w:rsidRDefault="00C0388C" w:rsidP="00C0388C">
            <w:pPr>
              <w:spacing w:after="0" w:line="240" w:lineRule="auto"/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C0388C">
              <w:rPr>
                <w:rFonts w:eastAsia="Times New Roman" w:cs="Times New Roman"/>
                <w:kern w:val="0"/>
                <w:lang w:eastAsia="en-GB"/>
                <w14:ligatures w14:val="none"/>
              </w:rPr>
              <w:t>Breach confirmed; fine applied</w:t>
            </w:r>
          </w:p>
        </w:tc>
        <w:tc>
          <w:tcPr>
            <w:tcW w:w="0" w:type="auto"/>
            <w:vAlign w:val="center"/>
            <w:hideMark/>
          </w:tcPr>
          <w:p w14:paraId="2949F25C" w14:textId="77777777" w:rsidR="00C0388C" w:rsidRPr="00C0388C" w:rsidRDefault="00C0388C" w:rsidP="00C0388C">
            <w:pPr>
              <w:spacing w:after="0" w:line="240" w:lineRule="auto"/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C0388C">
              <w:rPr>
                <w:rFonts w:eastAsia="Times New Roman" w:cs="Times New Roman"/>
                <w:kern w:val="0"/>
                <w:lang w:eastAsia="en-GB"/>
                <w14:ligatures w14:val="none"/>
              </w:rPr>
              <w:t>Disclosure timing must be prioritised</w:t>
            </w:r>
          </w:p>
        </w:tc>
      </w:tr>
      <w:tr w:rsidR="00C0388C" w:rsidRPr="00C0388C" w14:paraId="320C1C63" w14:textId="77777777" w:rsidTr="00C038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A4180E" w14:textId="77777777" w:rsidR="00C0388C" w:rsidRPr="00C0388C" w:rsidRDefault="00C0388C" w:rsidP="00C0388C">
            <w:pPr>
              <w:spacing w:after="0" w:line="240" w:lineRule="auto"/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C0388C">
              <w:rPr>
                <w:rFonts w:eastAsia="Times New Roman" w:cs="Times New Roman"/>
                <w:i/>
                <w:iCs/>
                <w:kern w:val="0"/>
                <w:lang w:eastAsia="en-GB"/>
                <w14:ligatures w14:val="none"/>
              </w:rPr>
              <w:t>Insurance Code Interpretation 12.3</w:t>
            </w:r>
          </w:p>
        </w:tc>
        <w:tc>
          <w:tcPr>
            <w:tcW w:w="0" w:type="auto"/>
            <w:vAlign w:val="center"/>
            <w:hideMark/>
          </w:tcPr>
          <w:p w14:paraId="333BD51C" w14:textId="77777777" w:rsidR="00C0388C" w:rsidRPr="00C0388C" w:rsidRDefault="00C0388C" w:rsidP="00C0388C">
            <w:pPr>
              <w:spacing w:after="0" w:line="240" w:lineRule="auto"/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C0388C">
              <w:rPr>
                <w:rFonts w:eastAsia="Times New Roman" w:cs="Times New Roman"/>
                <w:kern w:val="0"/>
                <w:lang w:eastAsia="en-GB"/>
                <w14:ligatures w14:val="none"/>
              </w:rPr>
              <w:t>Delayed legal advice caused claim denial</w:t>
            </w:r>
          </w:p>
        </w:tc>
        <w:tc>
          <w:tcPr>
            <w:tcW w:w="0" w:type="auto"/>
            <w:vAlign w:val="center"/>
            <w:hideMark/>
          </w:tcPr>
          <w:p w14:paraId="196B6EF6" w14:textId="77777777" w:rsidR="00C0388C" w:rsidRPr="00C0388C" w:rsidRDefault="00C0388C" w:rsidP="00C0388C">
            <w:pPr>
              <w:spacing w:after="0" w:line="240" w:lineRule="auto"/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C0388C">
              <w:rPr>
                <w:rFonts w:eastAsia="Times New Roman" w:cs="Times New Roman"/>
                <w:kern w:val="0"/>
                <w:lang w:eastAsia="en-GB"/>
                <w14:ligatures w14:val="none"/>
              </w:rPr>
              <w:t>Claim voided</w:t>
            </w:r>
          </w:p>
        </w:tc>
        <w:tc>
          <w:tcPr>
            <w:tcW w:w="0" w:type="auto"/>
            <w:vAlign w:val="center"/>
            <w:hideMark/>
          </w:tcPr>
          <w:p w14:paraId="498C9A66" w14:textId="77777777" w:rsidR="00C0388C" w:rsidRPr="00C0388C" w:rsidRDefault="00C0388C" w:rsidP="00C0388C">
            <w:pPr>
              <w:spacing w:after="0" w:line="240" w:lineRule="auto"/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C0388C">
              <w:rPr>
                <w:rFonts w:eastAsia="Times New Roman" w:cs="Times New Roman"/>
                <w:kern w:val="0"/>
                <w:lang w:eastAsia="en-GB"/>
                <w14:ligatures w14:val="none"/>
              </w:rPr>
              <w:t>Early legal engagement required for insurer contact</w:t>
            </w:r>
          </w:p>
        </w:tc>
      </w:tr>
    </w:tbl>
    <w:p w14:paraId="15A9D9EF" w14:textId="77777777" w:rsidR="00C0388C" w:rsidRPr="00C0388C" w:rsidRDefault="00DB1A27" w:rsidP="00C0388C">
      <w:pPr>
        <w:spacing w:after="0" w:line="240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rFonts w:eastAsia="Times New Roman" w:cs="Times New Roman"/>
          <w:noProof/>
          <w:kern w:val="0"/>
          <w:lang w:eastAsia="en-GB"/>
        </w:rPr>
        <w:pict w14:anchorId="6396B325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301A62BE" w14:textId="77777777" w:rsidR="00C0388C" w:rsidRPr="00C0388C" w:rsidRDefault="00C0388C" w:rsidP="0080402A">
      <w:pPr>
        <w:pStyle w:val="Heading2"/>
        <w:rPr>
          <w:rFonts w:eastAsia="Times New Roman"/>
          <w:lang w:eastAsia="en-GB"/>
        </w:rPr>
      </w:pPr>
      <w:r w:rsidRPr="00C0388C">
        <w:rPr>
          <w:rFonts w:eastAsia="Times New Roman"/>
          <w:lang w:eastAsia="en-GB"/>
        </w:rPr>
        <w:t>Notes:</w:t>
      </w:r>
    </w:p>
    <w:p w14:paraId="7F4AE059" w14:textId="77777777" w:rsidR="00C0388C" w:rsidRPr="00C0388C" w:rsidRDefault="00C0388C" w:rsidP="00C0388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C0388C">
        <w:rPr>
          <w:rFonts w:eastAsia="Times New Roman" w:cs="Times New Roman"/>
          <w:kern w:val="0"/>
          <w:lang w:eastAsia="en-GB"/>
          <w14:ligatures w14:val="none"/>
        </w:rPr>
        <w:t>Legal Precedent Summaries must be reviewed by in-house legal counsel before inclusion in any external communications</w:t>
      </w:r>
    </w:p>
    <w:p w14:paraId="768DA18D" w14:textId="77777777" w:rsidR="00C0388C" w:rsidRPr="00C0388C" w:rsidRDefault="00C0388C" w:rsidP="00C0388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C0388C">
        <w:rPr>
          <w:rFonts w:eastAsia="Times New Roman" w:cs="Times New Roman"/>
          <w:kern w:val="0"/>
          <w:lang w:eastAsia="en-GB"/>
          <w14:ligatures w14:val="none"/>
        </w:rPr>
        <w:t>This document is for internal reference only unless otherwise cleared</w:t>
      </w:r>
    </w:p>
    <w:p w14:paraId="327B9BBB" w14:textId="77777777" w:rsidR="00C0388C" w:rsidRPr="00C0388C" w:rsidRDefault="00C0388C" w:rsidP="00C0388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C0388C">
        <w:rPr>
          <w:rFonts w:eastAsia="Times New Roman" w:cs="Times New Roman"/>
          <w:kern w:val="0"/>
          <w:lang w:eastAsia="en-GB"/>
          <w14:ligatures w14:val="none"/>
        </w:rPr>
        <w:t>When in doubt, apply principles in favour of transparency, defensibility, and regulatory alignment</w:t>
      </w:r>
    </w:p>
    <w:p w14:paraId="4B121200" w14:textId="77777777" w:rsidR="00C0388C" w:rsidRPr="00C0388C" w:rsidRDefault="00DB1A27" w:rsidP="00C0388C">
      <w:pPr>
        <w:spacing w:after="0" w:line="240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rFonts w:eastAsia="Times New Roman" w:cs="Times New Roman"/>
          <w:noProof/>
          <w:kern w:val="0"/>
          <w:lang w:eastAsia="en-GB"/>
        </w:rPr>
        <w:pict w14:anchorId="2763713A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0F496544" w14:textId="77777777" w:rsidR="00C0388C" w:rsidRPr="00C0388C" w:rsidRDefault="00C0388C" w:rsidP="00C0388C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C0388C">
        <w:rPr>
          <w:rFonts w:eastAsia="Times New Roman" w:cs="Times New Roman"/>
          <w:b/>
          <w:bCs/>
          <w:kern w:val="0"/>
          <w:lang w:eastAsia="en-GB"/>
          <w14:ligatures w14:val="none"/>
        </w:rPr>
        <w:t>Owner:</w:t>
      </w:r>
      <w:r w:rsidRPr="00C0388C">
        <w:rPr>
          <w:rFonts w:eastAsia="Times New Roman" w:cs="Times New Roman"/>
          <w:kern w:val="0"/>
          <w:lang w:eastAsia="en-GB"/>
          <w14:ligatures w14:val="none"/>
        </w:rPr>
        <w:t xml:space="preserve"> Legal / Compliance Lead</w:t>
      </w:r>
      <w:r w:rsidRPr="00C0388C">
        <w:rPr>
          <w:rFonts w:eastAsia="Times New Roman" w:cs="Times New Roman"/>
          <w:kern w:val="0"/>
          <w:lang w:eastAsia="en-GB"/>
          <w14:ligatures w14:val="none"/>
        </w:rPr>
        <w:br/>
      </w:r>
      <w:r w:rsidRPr="00C0388C">
        <w:rPr>
          <w:rFonts w:eastAsia="Times New Roman" w:cs="Times New Roman"/>
          <w:b/>
          <w:bCs/>
          <w:kern w:val="0"/>
          <w:lang w:eastAsia="en-GB"/>
          <w14:ligatures w14:val="none"/>
        </w:rPr>
        <w:t>Reference:</w:t>
      </w:r>
      <w:r w:rsidRPr="00C0388C">
        <w:rPr>
          <w:rFonts w:eastAsia="Times New Roman" w:cs="Times New Roman"/>
          <w:kern w:val="0"/>
          <w:lang w:eastAsia="en-GB"/>
          <w14:ligatures w14:val="none"/>
        </w:rPr>
        <w:t xml:space="preserve"> LEG-05</w:t>
      </w:r>
      <w:r w:rsidRPr="00C0388C">
        <w:rPr>
          <w:rFonts w:eastAsia="Times New Roman" w:cs="Times New Roman"/>
          <w:kern w:val="0"/>
          <w:lang w:eastAsia="en-GB"/>
          <w14:ligatures w14:val="none"/>
        </w:rPr>
        <w:br/>
      </w:r>
      <w:r w:rsidRPr="00C0388C">
        <w:rPr>
          <w:rFonts w:eastAsia="Times New Roman" w:cs="Times New Roman"/>
          <w:b/>
          <w:bCs/>
          <w:kern w:val="0"/>
          <w:lang w:eastAsia="en-GB"/>
          <w14:ligatures w14:val="none"/>
        </w:rPr>
        <w:t>Version:</w:t>
      </w:r>
      <w:r w:rsidRPr="00C0388C">
        <w:rPr>
          <w:rFonts w:eastAsia="Times New Roman" w:cs="Times New Roman"/>
          <w:kern w:val="0"/>
          <w:lang w:eastAsia="en-GB"/>
          <w14:ligatures w14:val="none"/>
        </w:rPr>
        <w:t xml:space="preserve"> 1.0</w:t>
      </w:r>
      <w:r w:rsidRPr="00C0388C">
        <w:rPr>
          <w:rFonts w:eastAsia="Times New Roman" w:cs="Times New Roman"/>
          <w:kern w:val="0"/>
          <w:lang w:eastAsia="en-GB"/>
          <w14:ligatures w14:val="none"/>
        </w:rPr>
        <w:br/>
      </w:r>
      <w:r w:rsidRPr="00C0388C">
        <w:rPr>
          <w:rFonts w:eastAsia="Times New Roman" w:cs="Times New Roman"/>
          <w:b/>
          <w:bCs/>
          <w:kern w:val="0"/>
          <w:lang w:eastAsia="en-GB"/>
          <w14:ligatures w14:val="none"/>
        </w:rPr>
        <w:t>Approved by:</w:t>
      </w:r>
      <w:r w:rsidRPr="00C0388C">
        <w:rPr>
          <w:rFonts w:eastAsia="Times New Roman" w:cs="Times New Roman"/>
          <w:kern w:val="0"/>
          <w:lang w:eastAsia="en-GB"/>
          <w14:ligatures w14:val="none"/>
        </w:rPr>
        <w:t xml:space="preserve"> Risk &amp; Legal Steering Group</w:t>
      </w:r>
    </w:p>
    <w:p w14:paraId="670F29D4" w14:textId="77777777" w:rsidR="00605B95" w:rsidRPr="00C0388C" w:rsidRDefault="00605B95"/>
    <w:sectPr w:rsidR="00605B95" w:rsidRPr="00C038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5C4362"/>
    <w:multiLevelType w:val="multilevel"/>
    <w:tmpl w:val="747C3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2674D4"/>
    <w:multiLevelType w:val="multilevel"/>
    <w:tmpl w:val="8236C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841433"/>
    <w:multiLevelType w:val="multilevel"/>
    <w:tmpl w:val="27C86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1136062">
    <w:abstractNumId w:val="1"/>
  </w:num>
  <w:num w:numId="2" w16cid:durableId="896892434">
    <w:abstractNumId w:val="2"/>
  </w:num>
  <w:num w:numId="3" w16cid:durableId="19398270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88C"/>
    <w:rsid w:val="001247A3"/>
    <w:rsid w:val="00605B95"/>
    <w:rsid w:val="0080402A"/>
    <w:rsid w:val="00813828"/>
    <w:rsid w:val="00BB5E10"/>
    <w:rsid w:val="00C0388C"/>
    <w:rsid w:val="00DB1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9B26E"/>
  <w15:chartTrackingRefBased/>
  <w15:docId w15:val="{A7514066-DC7A-8C4F-BFE4-4B07B0F1A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38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38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38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038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38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38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38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38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38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38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038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038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038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38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38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38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38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38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38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38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38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38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38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38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38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38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38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38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388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038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C0388C"/>
    <w:rPr>
      <w:b/>
      <w:bCs/>
    </w:rPr>
  </w:style>
  <w:style w:type="character" w:styleId="Emphasis">
    <w:name w:val="Emphasis"/>
    <w:basedOn w:val="DefaultParagraphFont"/>
    <w:uiPriority w:val="20"/>
    <w:qFormat/>
    <w:rsid w:val="00C0388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442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311</Words>
  <Characters>1775</Characters>
  <Application>Microsoft Office Word</Application>
  <DocSecurity>0</DocSecurity>
  <Lines>14</Lines>
  <Paragraphs>4</Paragraphs>
  <ScaleCrop>false</ScaleCrop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Burford</dc:creator>
  <cp:keywords/>
  <dc:description/>
  <cp:lastModifiedBy>Brett Burford</cp:lastModifiedBy>
  <cp:revision>2</cp:revision>
  <dcterms:created xsi:type="dcterms:W3CDTF">2025-06-04T04:34:00Z</dcterms:created>
  <dcterms:modified xsi:type="dcterms:W3CDTF">2025-06-11T04:06:00Z</dcterms:modified>
</cp:coreProperties>
</file>