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pStyle w:val="Title"/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sectPr>
          <w:pgSz w:h="16838" w:w="11906" w:orient="portrait"/>
          <w:pgMar w:bottom="863.9999999999999" w:top="1440" w:left="907.2" w:right="863.9999999999999" w:header="720" w:footer="720"/>
          <w:pgNumType w:start="1"/>
        </w:sectPr>
      </w:pPr>
      <w:bookmarkStart w:colFirst="0" w:colLast="0" w:name="_38bc3cojc0tu" w:id="0"/>
      <w:bookmarkEnd w:id="0"/>
      <w:r w:rsidDel="00000000" w:rsidR="00000000" w:rsidRPr="00000000">
        <w:rPr>
          <w:rFonts w:ascii="Lexend SemiBold" w:cs="Lexend SemiBold" w:eastAsia="Lexend SemiBold" w:hAnsi="Lexend SemiBold"/>
          <w:b w:val="0"/>
          <w:i w:val="0"/>
          <w:smallCaps w:val="0"/>
          <w:strike w:val="0"/>
          <w:color w:val="000000"/>
          <w:sz w:val="32"/>
          <w:szCs w:val="32"/>
          <w:u w:val="none"/>
          <w:shd w:fill="auto" w:val="clear"/>
          <w:vertAlign w:val="baseline"/>
          <w:rtl w:val="0"/>
        </w:rPr>
        <w:t xml:space="preserve">41951 Análise de Sistemas - 2024/25 [ASis25]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rPr/>
      </w:pPr>
      <w:bookmarkStart w:colFirst="0" w:colLast="0" w:name="_uwrn8clfsucb" w:id="1"/>
      <w:bookmarkEnd w:id="1"/>
      <w:r w:rsidDel="00000000" w:rsidR="00000000" w:rsidRPr="00000000">
        <w:rPr>
          <w:rtl w:val="0"/>
        </w:rPr>
        <w:t xml:space="preserve">Propostas de projeto de grupo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Cada grupo deve propor um tema para desenvolver na disciplina de Análise de Sistemas, durante o semestre.</w:t>
      </w:r>
    </w:p>
    <w:p w:rsidR="00000000" w:rsidDel="00000000" w:rsidP="00000000" w:rsidRDefault="00000000" w:rsidRPr="00000000" w14:paraId="00000004">
      <w:pPr>
        <w:pStyle w:val="Heading2"/>
        <w:rPr/>
      </w:pPr>
      <w:bookmarkStart w:colFirst="0" w:colLast="0" w:name="_9euv2bumg8uc" w:id="2"/>
      <w:bookmarkEnd w:id="2"/>
      <w:r w:rsidDel="00000000" w:rsidR="00000000" w:rsidRPr="00000000">
        <w:rPr>
          <w:rtl w:val="0"/>
        </w:rPr>
        <w:t xml:space="preserve">Objetivos/termos de referência</w:t>
      </w:r>
    </w:p>
    <w:p w:rsidR="00000000" w:rsidDel="00000000" w:rsidP="00000000" w:rsidRDefault="00000000" w:rsidRPr="00000000" w14:paraId="00000005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No trabalho de projeto em grupo, os alunos irão “simular” o percurso de um projeto de especificação e construção de um sistema de informação. Em AS, o foco será na componente de análise e especificação de requisitos, apoiadas em modelos. É importante que os alunos invistam na investigação do domínio do problema, para obter </w:t>
      </w:r>
      <w:r w:rsidDel="00000000" w:rsidR="00000000" w:rsidRPr="00000000">
        <w:rPr>
          <w:rFonts w:ascii="Inter" w:cs="Inter" w:eastAsia="Inter" w:hAnsi="Inter"/>
          <w:b w:val="1"/>
          <w:rtl w:val="0"/>
        </w:rPr>
        <w:t xml:space="preserve">requisitos relevantes e verossímeis</w:t>
      </w:r>
      <w:r w:rsidDel="00000000" w:rsidR="00000000" w:rsidRPr="00000000">
        <w:rPr>
          <w:rtl w:val="0"/>
        </w:rPr>
        <w:t xml:space="preserve">. </w:t>
      </w:r>
    </w:p>
    <w:p w:rsidR="00000000" w:rsidDel="00000000" w:rsidP="00000000" w:rsidRDefault="00000000" w:rsidRPr="00000000" w14:paraId="00000006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Os projetos devem, em termos gerais, implementar o conceito de um </w:t>
      </w:r>
      <w:r w:rsidDel="00000000" w:rsidR="00000000" w:rsidRPr="00000000">
        <w:rPr>
          <w:i w:val="1"/>
          <w:rtl w:val="0"/>
        </w:rPr>
        <w:t xml:space="preserve">marketplace</w:t>
      </w:r>
      <w:r w:rsidDel="00000000" w:rsidR="00000000" w:rsidRPr="00000000">
        <w:rPr>
          <w:rtl w:val="0"/>
        </w:rPr>
        <w:t xml:space="preserve"> electrónico: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Existe uma plataforma que agrega a oferta de vários fornecedores/parceiros de forma unificada para o utilizador.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Os utilizadores/clientes pesquisam na plataforma os produtos ou serviços que podem comprar/contratualizar.</w:t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A plataforma em si tem um Promotor que investe no seu desenvolvimento, normalmente com relações </w:t>
      </w:r>
      <w:r w:rsidDel="00000000" w:rsidR="00000000" w:rsidRPr="00000000">
        <w:rPr>
          <w:i w:val="1"/>
          <w:rtl w:val="0"/>
        </w:rPr>
        <w:t xml:space="preserve">B2B </w:t>
      </w:r>
      <w:r w:rsidDel="00000000" w:rsidR="00000000" w:rsidRPr="00000000">
        <w:rPr>
          <w:rtl w:val="0"/>
        </w:rPr>
        <w:t xml:space="preserve">com os parceiros/fornecedores.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Para a gestão de operações, é preciso um modelo de informação rico. 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240" w:before="0" w:beforeAutospacing="0" w:lineRule="auto"/>
        <w:ind w:left="720" w:hanging="360"/>
      </w:pPr>
      <w:r w:rsidDel="00000000" w:rsidR="00000000" w:rsidRPr="00000000">
        <w:rPr>
          <w:rFonts w:ascii="Times New Roman" w:cs="Times New Roman" w:eastAsia="Times New Roman" w:hAnsi="Times New Roman"/>
          <w:sz w:val="14"/>
          <w:szCs w:val="14"/>
          <w:rtl w:val="0"/>
        </w:rPr>
        <w:t xml:space="preserve">  </w:t>
      </w:r>
      <w:r w:rsidDel="00000000" w:rsidR="00000000" w:rsidRPr="00000000">
        <w:rPr>
          <w:rtl w:val="0"/>
        </w:rPr>
        <w:t xml:space="preserve">A principal interface com os utilizadores é uma aplicação Web, uma aplicação móvel, ou um cenário que integra ambas.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Os grupos devem conferir/validar o tema com os docentes.</w:t>
      </w:r>
    </w:p>
    <w:p w:rsidR="00000000" w:rsidDel="00000000" w:rsidP="00000000" w:rsidRDefault="00000000" w:rsidRPr="00000000" w14:paraId="0000000D">
      <w:pPr>
        <w:pStyle w:val="Heading2"/>
        <w:keepNext w:val="0"/>
        <w:keepLines w:val="0"/>
        <w:spacing w:after="80" w:lineRule="auto"/>
        <w:ind w:left="0"/>
        <w:rPr/>
      </w:pPr>
      <w:bookmarkStart w:colFirst="0" w:colLast="0" w:name="_5t2ly1nx0s01" w:id="3"/>
      <w:bookmarkEnd w:id="3"/>
      <w:r w:rsidDel="00000000" w:rsidR="00000000" w:rsidRPr="00000000">
        <w:rPr>
          <w:rtl w:val="0"/>
        </w:rPr>
        <w:t xml:space="preserve">Bolsa de temas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Esta lista apresenta algumas propostas abertas; não uma definição completa nem suficiente de requisitos. Continua a ser essencial que o grupo explore e defina o conceito do produto/serviços para o seu projeto.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1011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2670"/>
        <w:gridCol w:w="7440"/>
        <w:tblGridChange w:id="0">
          <w:tblGrid>
            <w:gridCol w:w="2670"/>
            <w:gridCol w:w="7440"/>
          </w:tblGrid>
        </w:tblGridChange>
      </w:tblGrid>
      <w:tr>
        <w:trPr>
          <w:cantSplit w:val="0"/>
          <w:tblHeader w:val="1"/>
        </w:trPr>
        <w:tc>
          <w:tcPr>
            <w:shd w:fill="d9d9d9" w:val="clear"/>
          </w:tcPr>
          <w:p w:rsidR="00000000" w:rsidDel="00000000" w:rsidP="00000000" w:rsidRDefault="00000000" w:rsidRPr="00000000" w14:paraId="00000010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Tema/título provisório</w:t>
            </w:r>
          </w:p>
        </w:tc>
        <w:tc>
          <w:tcPr>
            <w:shd w:fill="d9d9d9" w:val="clear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Descrição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2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DoçeRIA</w:t>
            </w:r>
          </w:p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Promoção das doçaria e tradições de Aveiro</w:t>
            </w:r>
          </w:p>
        </w:tc>
        <w:tc>
          <w:tcPr/>
          <w:p w:rsidR="00000000" w:rsidDel="00000000" w:rsidP="00000000" w:rsidRDefault="00000000" w:rsidRPr="00000000" w14:paraId="0000001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A DoçaRIA é uma plataforma integrada de comércio eletrónico que liga os produtores regionais aos consumidores, promovendo os produtos locais e aumentando a sua visibilidade no mercado. A plataforma servirá como um mercado onde as confeitarias e pequenos produtores podem apresentar os seus produtos da doçaria tradicional aveirense, gerir as vendas e interagir com os clientes.</w:t>
            </w:r>
          </w:p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Para além de listagem, pesquisa e compra e venda de produtos, a plataforma promove cada produtor com páginas personalizadas.</w:t>
            </w:r>
          </w:p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É importante disponibilizar quadros de indicadores (</w:t>
            </w:r>
            <w:r w:rsidDel="00000000" w:rsidR="00000000" w:rsidRPr="00000000">
              <w:rPr>
                <w:i w:val="1"/>
                <w:rtl w:val="0"/>
              </w:rPr>
              <w:t xml:space="preserve">analytics</w:t>
            </w:r>
            <w:r w:rsidDel="00000000" w:rsidR="00000000" w:rsidRPr="00000000">
              <w:rPr>
                <w:rtl w:val="0"/>
              </w:rPr>
              <w:t xml:space="preserve">) para os produtores poderem aceder a dados sobre tendências de vendas, preferências dos clientes e níveis de stock para tomar decisões comerciais informadas.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Inter" w:cs="Inter" w:eastAsia="Inter" w:hAnsi="Inter"/>
                <w:b w:val="1"/>
              </w:rPr>
            </w:pPr>
            <w:r w:rsidDel="00000000" w:rsidR="00000000" w:rsidRPr="00000000">
              <w:rPr>
                <w:rFonts w:ascii="Inter" w:cs="Inter" w:eastAsia="Inter" w:hAnsi="Inter"/>
                <w:b w:val="1"/>
                <w:rtl w:val="0"/>
              </w:rPr>
              <w:t xml:space="preserve">Pet-O-Tel</w:t>
            </w:r>
          </w:p>
          <w:p w:rsidR="00000000" w:rsidDel="00000000" w:rsidP="00000000" w:rsidRDefault="00000000" w:rsidRPr="00000000" w14:paraId="0000001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Serviços de hospitalidade para animais</w:t>
            </w:r>
          </w:p>
        </w:tc>
        <w:tc>
          <w:tcPr/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Plataforma para pesquisa e marcação de serviços de bem-estar animal, em especial períodos de alojamento/hotel. Outros serviços disponíveis, como pet sitting, adestramento, etc.; não inclui tratamentos veterinários/clínica animal. A plataforma funciona com vários prestadores associados à rede.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1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i w:val="1"/>
                <w:rtl w:val="0"/>
              </w:rPr>
              <w:t xml:space="preserve">[outras mais a disponibilizar…]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>
                <w:i w:val="1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sectPr>
      <w:headerReference r:id="rId6" w:type="default"/>
      <w:headerReference r:id="rId7" w:type="first"/>
      <w:footerReference r:id="rId8" w:type="first"/>
      <w:type w:val="nextPage"/>
      <w:pgSz w:h="16838" w:w="11906" w:orient="portrait"/>
      <w:pgMar w:bottom="863.9999999999999" w:top="1440" w:left="907.2" w:right="863.9999999999999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Georgia"/>
  <w:font w:name="Arial"/>
  <w:font w:name="Times New Roman"/>
  <w:font w:name="Lexend SemiBold">
    <w:embedRegular w:fontKey="{00000000-0000-0000-0000-000000000000}" r:id="rId1" w:subsetted="0"/>
    <w:embedBold w:fontKey="{00000000-0000-0000-0000-000000000000}" r:id="rId2" w:subsetted="0"/>
  </w:font>
  <w:font w:name="Inter Light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Inter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Lexend ExtraLight">
    <w:embedRegular w:fontKey="{00000000-0000-0000-0000-000000000000}" r:id="rId11" w:subsetted="0"/>
    <w:embedBold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F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E">
    <w:pPr>
      <w:rPr>
        <w:rFonts w:ascii="Lexend ExtraLight" w:cs="Lexend ExtraLight" w:eastAsia="Lexend ExtraLight" w:hAnsi="Lexend ExtraLight"/>
        <w:sz w:val="22"/>
        <w:szCs w:val="22"/>
      </w:rPr>
    </w:pPr>
    <w:r w:rsidDel="00000000" w:rsidR="00000000" w:rsidRPr="00000000">
      <w:rPr>
        <w:rFonts w:ascii="Lexend ExtraLight" w:cs="Lexend ExtraLight" w:eastAsia="Lexend ExtraLight" w:hAnsi="Lexend ExtraLight"/>
        <w:sz w:val="22"/>
        <w:szCs w:val="22"/>
        <w:rtl w:val="0"/>
      </w:rPr>
      <w:t xml:space="preserve">UNIVERSIDADE DE AVEIRO | 41951 Análise de Sistemas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0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Inter Light" w:cs="Inter Light" w:eastAsia="Inter Light" w:hAnsi="Inter Light"/>
        <w:sz w:val="24"/>
        <w:szCs w:val="24"/>
        <w:lang w:val="en"/>
      </w:rPr>
    </w:rPrDefault>
    <w:pPrDefault>
      <w:pPr>
        <w:spacing w:line="300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480" w:lineRule="auto"/>
      <w:ind w:left="450"/>
    </w:pPr>
    <w:rPr>
      <w:rFonts w:ascii="Lexend SemiBold" w:cs="Lexend SemiBold" w:eastAsia="Lexend SemiBold" w:hAnsi="Lexend SemiBold"/>
      <w:color w:val="666666"/>
      <w:sz w:val="28"/>
      <w:szCs w:val="28"/>
    </w:rPr>
  </w:style>
  <w:style w:type="paragraph" w:styleId="Heading3">
    <w:name w:val="heading 3"/>
    <w:basedOn w:val="Normal"/>
    <w:next w:val="Normal"/>
    <w:pPr>
      <w:keepNext w:val="1"/>
      <w:keepLines w:val="1"/>
      <w:spacing w:after="120" w:before="360" w:lineRule="auto"/>
      <w:ind w:left="1800"/>
    </w:pPr>
    <w:rPr>
      <w:rFonts w:ascii="Lexend SemiBold" w:cs="Lexend SemiBold" w:eastAsia="Lexend SemiBold" w:hAnsi="Lexend SemiBold"/>
      <w:color w:val="666666"/>
      <w:sz w:val="26"/>
      <w:szCs w:val="26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ind w:left="720" w:hanging="360"/>
    </w:pPr>
    <w:rPr>
      <w:i w:val="1"/>
      <w:color w:val="666666"/>
      <w:sz w:val="22"/>
      <w:szCs w:val="22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color w:val="666666"/>
      <w:sz w:val="20"/>
      <w:szCs w:val="20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i w:val="1"/>
      <w:color w:val="666666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rFonts w:ascii="Lexend SemiBold" w:cs="Lexend SemiBold" w:eastAsia="Lexend SemiBold" w:hAnsi="Lexend SemiBold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header" Target="header1.xml"/><Relationship Id="rId7" Type="http://schemas.openxmlformats.org/officeDocument/2006/relationships/header" Target="header2.xml"/><Relationship Id="rId8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LexendSemiBold-regular.ttf"/><Relationship Id="rId2" Type="http://schemas.openxmlformats.org/officeDocument/2006/relationships/font" Target="fonts/LexendSemiBold-bold.ttf"/><Relationship Id="rId3" Type="http://schemas.openxmlformats.org/officeDocument/2006/relationships/font" Target="fonts/InterLight-regular.ttf"/><Relationship Id="rId4" Type="http://schemas.openxmlformats.org/officeDocument/2006/relationships/font" Target="fonts/InterLight-bold.ttf"/><Relationship Id="rId11" Type="http://schemas.openxmlformats.org/officeDocument/2006/relationships/font" Target="fonts/LexendExtraLight-regular.ttf"/><Relationship Id="rId10" Type="http://schemas.openxmlformats.org/officeDocument/2006/relationships/font" Target="fonts/Inter-boldItalic.ttf"/><Relationship Id="rId12" Type="http://schemas.openxmlformats.org/officeDocument/2006/relationships/font" Target="fonts/LexendExtraLight-bold.ttf"/><Relationship Id="rId9" Type="http://schemas.openxmlformats.org/officeDocument/2006/relationships/font" Target="fonts/Inter-italic.ttf"/><Relationship Id="rId5" Type="http://schemas.openxmlformats.org/officeDocument/2006/relationships/font" Target="fonts/InterLight-italic.ttf"/><Relationship Id="rId6" Type="http://schemas.openxmlformats.org/officeDocument/2006/relationships/font" Target="fonts/InterLight-boldItalic.ttf"/><Relationship Id="rId7" Type="http://schemas.openxmlformats.org/officeDocument/2006/relationships/font" Target="fonts/Inter-regular.ttf"/><Relationship Id="rId8" Type="http://schemas.openxmlformats.org/officeDocument/2006/relationships/font" Target="fonts/Inter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