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lineRule="auto" w:line="276" w:before="0" w:after="140"/>
        <w:jc w:val="start"/>
        <w:rPr/>
      </w:pPr>
      <w:r>
        <w:rPr/>
        <w:t>BUGEMA UNIVERSITY</w:t>
      </w:r>
    </w:p>
    <w:p>
      <w:pPr>
        <w:pStyle w:val="BodyText"/>
        <w:bidi w:val="0"/>
        <w:jc w:val="start"/>
        <w:rPr/>
      </w:pPr>
      <w:r>
        <w:rPr>
          <w:rStyle w:val="Strong"/>
        </w:rPr>
        <w:t>School of:</w:t>
      </w:r>
      <w:r>
        <w:rPr/>
        <w:t xml:space="preserve"> </w:t>
      </w:r>
      <w:r>
        <w:rPr/>
        <w:t>EDUCATION</w:t>
        <w:br/>
      </w:r>
      <w:r>
        <w:rPr>
          <w:rStyle w:val="Strong"/>
        </w:rPr>
        <w:t>Department of:</w:t>
      </w:r>
      <w:r>
        <w:rPr/>
        <w:t xml:space="preserve"> </w:t>
      </w:r>
      <w:r>
        <w:rPr/>
        <w:t>SCIENCE</w:t>
      </w:r>
      <w:r>
        <w:rPr/>
        <w:br/>
      </w:r>
      <w:r>
        <w:rPr>
          <w:rStyle w:val="Strong"/>
        </w:rPr>
        <w:t>Programme:</w:t>
      </w:r>
      <w:r>
        <w:rPr/>
        <w:t xml:space="preserve"> </w:t>
      </w:r>
      <w:r>
        <w:rPr/>
        <w:t>BACHELOR OF SCIENCE IN EDUCATION</w:t>
      </w:r>
    </w:p>
    <w:p>
      <w:pPr>
        <w:pStyle w:val="Heading3"/>
        <w:bidi w:val="0"/>
        <w:spacing w:lineRule="auto" w:line="276" w:before="0" w:after="140"/>
        <w:jc w:val="start"/>
        <w:rPr/>
      </w:pPr>
      <w:r>
        <w:rPr/>
        <w:t>Research Concept Note</w:t>
      </w:r>
    </w:p>
    <w:p>
      <w:pPr>
        <w:pStyle w:val="Heading2"/>
        <w:bidi w:val="0"/>
        <w:spacing w:lineRule="auto" w:line="276" w:before="0" w:after="140"/>
        <w:jc w:val="start"/>
        <w:rPr/>
      </w:pPr>
      <w:r>
        <w:rPr>
          <w:rStyle w:val="Strong"/>
          <w:b/>
          <w:bCs/>
        </w:rPr>
        <w:t>Design and Evaluation of a PCA-Based Machine-Learning Framework for Predicting Maize Yield in Uganda Using Secondary Agricultural and Climate Data</w:t>
      </w:r>
    </w:p>
    <w:p>
      <w:pPr>
        <w:pStyle w:val="BodyText"/>
        <w:bidi w:val="0"/>
        <w:jc w:val="start"/>
        <w:rPr/>
      </w:pPr>
      <w:r>
        <w:rPr>
          <w:rStyle w:val="Strong"/>
        </w:rPr>
        <w:t>Student Name:</w:t>
      </w:r>
      <w:r>
        <w:rPr/>
        <w:t xml:space="preserve"> </w:t>
      </w:r>
      <w:r>
        <w:rPr/>
        <w:t>OLIMI BRAVE</w:t>
      </w:r>
      <w:r>
        <w:rPr/>
        <w:br/>
      </w:r>
      <w:r>
        <w:rPr>
          <w:rStyle w:val="Strong"/>
        </w:rPr>
        <w:t>Registration Number:</w:t>
      </w:r>
      <w:r>
        <w:rPr/>
        <w:t xml:space="preserve"> </w:t>
      </w:r>
      <w:r>
        <w:rPr/>
        <w:t>23/EDS/BU/R/0013</w:t>
      </w:r>
      <w:r>
        <w:rPr/>
        <w:br/>
      </w:r>
      <w:r>
        <w:rPr>
          <w:rStyle w:val="Strong"/>
        </w:rPr>
        <w:t>Supervisor:</w:t>
      </w:r>
      <w:r>
        <w:rPr/>
        <w:t xml:space="preserve"> </w:t>
        <w:br/>
      </w:r>
      <w:r>
        <w:rPr>
          <w:rStyle w:val="Strong"/>
        </w:rPr>
        <w:t>Date:</w:t>
      </w:r>
      <w:r>
        <w:rPr/>
        <w:t xml:space="preserve"> </w:t>
      </w:r>
      <w:r>
        <w:rPr/>
        <w:t>30TH JULY 2026</w:t>
      </w:r>
    </w:p>
    <w:p>
      <w:pPr>
        <w:pStyle w:val="Heading2"/>
        <w:bidi w:val="0"/>
        <w:spacing w:lineRule="auto" w:line="276" w:before="0" w:after="140"/>
        <w:jc w:val="start"/>
        <w:rPr/>
      </w:pPr>
      <w:r>
        <w:rPr/>
        <w:t>1. Introduction and Background</w:t>
      </w:r>
    </w:p>
    <w:p>
      <w:pPr>
        <w:pStyle w:val="BodyText"/>
        <w:bidi w:val="0"/>
        <w:jc w:val="start"/>
        <w:rPr/>
      </w:pPr>
      <w:r>
        <w:rPr/>
        <w:t>Agriculture plays an important role in Uganda’s economy, food security, employment, and rural livelihoods. According to the Uganda Bureau of Statistics, approximately seven million households cultivated land or reared livestock in 2019, representing about 80 percent of all households in the country. Maize is one of the crops commonly grown for household consumption, animal feed, trade, and industrial use. Improving the analysis and prediction of maize yield can therefore contribute to better agricultural planning, research, and resource allocation. (</w:t>
      </w:r>
      <w:hyperlink r:id="rId2">
        <w:r>
          <w:rPr>
            <w:rStyle w:val="Hyperlink"/>
          </w:rPr>
          <w:t>Ubos</w:t>
        </w:r>
      </w:hyperlink>
      <w:r>
        <w:rPr/>
        <w:t>)</w:t>
      </w:r>
    </w:p>
    <w:p>
      <w:pPr>
        <w:pStyle w:val="BodyText"/>
        <w:bidi w:val="0"/>
        <w:jc w:val="start"/>
        <w:rPr/>
      </w:pPr>
      <w:r>
        <w:rPr/>
        <w:t>Maize yield is influenced by several interacting factors, including rainfall amount and distribution, dry spells, plot size, seed type, fertilizer use, agricultural labour, access to extension services, household resources, soil conditions, and geographical location. These factors are frequently correlated. For example, farmers who apply fertilizer may also be more likely to use improved seed, hire labour, cultivate larger plots, or have greater access to agricultural services. Similarly, total seasonal rainfall may be strongly related to the number of rainy days and the length of dry spells.</w:t>
      </w:r>
    </w:p>
    <w:p>
      <w:pPr>
        <w:pStyle w:val="BodyText"/>
        <w:bidi w:val="0"/>
        <w:jc w:val="start"/>
        <w:rPr/>
      </w:pPr>
      <w:r>
        <w:rPr/>
        <w:t>The presence of many correlated variables creates difficulties for statistical analysis. When correlated variables are included together in an ordinary regression model, multicollinearity may increase the variance of estimated coefficients, make the coefficients unstable, and complicate interpretation. Large numbers of predictors may also increase model complexity and the risk of overfitting, especially where the available number of observations is limited.</w:t>
      </w:r>
    </w:p>
    <w:p>
      <w:pPr>
        <w:pStyle w:val="BodyText"/>
        <w:bidi w:val="0"/>
        <w:jc w:val="start"/>
        <w:rPr/>
      </w:pPr>
      <w:r>
        <w:rPr/>
        <w:t>Principal Component Analysis, commonly abbreviated as PCA, is a dimensionality-reduction technique that transforms a set of correlated numerical variables into a smaller set of uncorrelated variables known as principal components. Each principal component is a linear combination of the original variables. The first principal component captures the largest possible amount of variation in the predictors, while subsequent components capture progressively smaller amounts of the remaining variation. PCA can therefore improve interpretability and reduce redundancy while attempting to preserve important information in the original dataset (Jolliffe &amp; Cadima, 2016). (</w:t>
      </w:r>
      <w:hyperlink r:id="rId3">
        <w:r>
          <w:rPr>
            <w:rStyle w:val="Hyperlink"/>
          </w:rPr>
          <w:t>Royal Society Publishing</w:t>
        </w:r>
      </w:hyperlink>
      <w:r>
        <w:rPr/>
        <w:t>)</w:t>
      </w:r>
    </w:p>
    <w:p>
      <w:pPr>
        <w:pStyle w:val="BodyText"/>
        <w:bidi w:val="0"/>
        <w:jc w:val="start"/>
        <w:rPr/>
      </w:pPr>
      <w:r>
        <w:rPr/>
        <w:t>However, PCA is an unsupervised method. It identifies directions that explain variation among predictor variables, but it does not directly identify the variables that are most useful for predicting maize yield. A component that explains a large amount of predictor variance may not necessarily be strongly associated with yield. Similarly, a variable with low overall variance may still be important for yield prediction. It is therefore necessary to evaluate PCA empirically rather than assume that it will always improve predictive performance.</w:t>
      </w:r>
    </w:p>
    <w:p>
      <w:pPr>
        <w:pStyle w:val="BodyText"/>
        <w:bidi w:val="0"/>
        <w:jc w:val="start"/>
        <w:rPr/>
      </w:pPr>
      <w:r>
        <w:rPr/>
        <w:t>Uganda has several agricultural and climate datasets that can support this type of analysis without requiring immediate fieldwork. The Uganda National Panel Survey provides anonymised household-, parcel-, plot-, and agricultural-production information. The 2018/2019 survey was implemented over twelve months, included two agricultural visits, and contains information at household, parcel, and plot levels. (</w:t>
      </w:r>
      <w:hyperlink r:id="rId4">
        <w:r>
          <w:rPr>
            <w:rStyle w:val="Hyperlink"/>
          </w:rPr>
          <w:t>microdata.worldbank.org</w:t>
        </w:r>
      </w:hyperlink>
      <w:r>
        <w:rPr/>
        <w:t>)</w:t>
      </w:r>
    </w:p>
    <w:p>
      <w:pPr>
        <w:pStyle w:val="BodyText"/>
        <w:bidi w:val="0"/>
        <w:jc w:val="start"/>
        <w:rPr/>
      </w:pPr>
      <w:r>
        <w:rPr/>
        <w:t>The Uganda Bureau of Statistics Annual Agricultural Survey provides official information on agricultural production, practices, extension services, household characteristics, and other indicators. The Annual Agricultural Survey 2019 was conducted in two agricultural seasons and included post-planting and post-harvest visits. (</w:t>
      </w:r>
      <w:hyperlink r:id="rId5">
        <w:r>
          <w:rPr>
            <w:rStyle w:val="Hyperlink"/>
          </w:rPr>
          <w:t>FAO Microdata</w:t>
        </w:r>
      </w:hyperlink>
      <w:r>
        <w:rPr/>
        <w:t>)</w:t>
      </w:r>
    </w:p>
    <w:p>
      <w:pPr>
        <w:pStyle w:val="BodyText"/>
        <w:bidi w:val="0"/>
        <w:jc w:val="start"/>
        <w:rPr/>
      </w:pPr>
      <w:r>
        <w:rPr/>
        <w:t>Rainfall information can be obtained from the Climate Hazards Centre InfraRed Precipitation with Station data, known as CHIRPS. CHIRPS provides daily precipitation estimates at approximately 0.05-degree spatial resolution and combines satellite imagery with ground-station observations. The dataset is available through Google Earth Engine and is suitable for seasonal rainfall and dry-spell analysis. (</w:t>
      </w:r>
      <w:hyperlink r:id="rId6">
        <w:r>
          <w:rPr>
            <w:rStyle w:val="Hyperlink"/>
          </w:rPr>
          <w:t>Google for Developers</w:t>
        </w:r>
      </w:hyperlink>
      <w:r>
        <w:rPr/>
        <w:t>)</w:t>
      </w:r>
    </w:p>
    <w:p>
      <w:pPr>
        <w:pStyle w:val="BodyText"/>
        <w:bidi w:val="0"/>
        <w:jc w:val="start"/>
        <w:rPr/>
      </w:pPr>
      <w:r>
        <w:rPr/>
        <w:t>Recent research has demonstrated the feasibility of applying machine learning to maize-yield prediction in Uganda. For example, Taremwa et al. developed a CNN-LSTM framework using climate, vegetation, and maize-yield data. Their work demonstrates the growing potential of data-driven yield forecasting. However, the proposed study focuses on a different and more interpretable methodological question: whether mathematically verified PCA improves or reduces the performance of classical and tree-based models when applied to publicly accessible household, plot, and rainfall data. (</w:t>
      </w:r>
      <w:hyperlink r:id="rId7">
        <w:r>
          <w:rPr>
            <w:rStyle w:val="Hyperlink"/>
          </w:rPr>
          <w:t>Springer</w:t>
        </w:r>
      </w:hyperlink>
      <w:r>
        <w:rPr/>
        <w:t>)</w:t>
      </w:r>
    </w:p>
    <w:p>
      <w:pPr>
        <w:pStyle w:val="BodyText"/>
        <w:bidi w:val="0"/>
        <w:jc w:val="start"/>
        <w:rPr/>
      </w:pPr>
      <w:r>
        <w:rPr/>
        <w:t>The proposed study will therefore use existing online secondary data to derive and verify PCA, identify latent agricultural and climatic factors, and develop maize-yield prediction models. It will be treated as a computational proof of concept. No interviews, questionnaires, farm visits, physical crop measurements, or primary field-data collection will be conducted during this phase.</w:t>
      </w:r>
    </w:p>
    <w:p>
      <w:pPr>
        <w:pStyle w:val="Heading2"/>
        <w:bidi w:val="0"/>
        <w:spacing w:lineRule="auto" w:line="276" w:before="0" w:after="140"/>
        <w:jc w:val="start"/>
        <w:rPr/>
      </w:pPr>
      <w:r>
        <w:rPr/>
        <w:t>2. Statement of the Problem</w:t>
      </w:r>
    </w:p>
    <w:p>
      <w:pPr>
        <w:pStyle w:val="BodyText"/>
        <w:bidi w:val="0"/>
        <w:jc w:val="start"/>
        <w:rPr/>
      </w:pPr>
      <w:r>
        <w:rPr/>
        <w:t>Uganda has agricultural, household, production, and climate datasets that could support data-driven analysis of maize production. However, these datasets are held in different repositories, collected at different spatial and temporal levels, and contain variables measured using different units and structures. As a result, they cannot be used directly for machine-learning analysis without careful acquisition, cleaning, harmonisation, transformation, and integration.</w:t>
      </w:r>
    </w:p>
    <w:p>
      <w:pPr>
        <w:pStyle w:val="BodyText"/>
        <w:bidi w:val="0"/>
        <w:jc w:val="start"/>
        <w:rPr/>
      </w:pPr>
      <w:r>
        <w:rPr/>
        <w:t>The agricultural variables contained in these datasets are also likely to be highly correlated. Rainfall total, number of rainy days, rainfall variability, and dry-spell duration may describe related aspects of seasonal climate. Fertilizer, improved seed, labour, landholding, machinery, livestock, and extension access may similarly represent related dimensions of agricultural resources and farm management. Applying ordinary regression directly to such variables may produce multicollinearity and unstable coefficients, while applying more complex machine-learning models to a small or noisy dataset may result in overfitting.</w:t>
      </w:r>
    </w:p>
    <w:p>
      <w:pPr>
        <w:pStyle w:val="BodyText"/>
        <w:bidi w:val="0"/>
        <w:jc w:val="start"/>
        <w:rPr/>
      </w:pPr>
      <w:r>
        <w:rPr/>
        <w:t>PCA offers a possible solution by transforming correlated predictors into fewer uncorrelated components. Nevertheless, because PCA maximises variation among predictors rather than prediction of the outcome, it may remove variables that are important for maize yield. PCA may improve linear models such as OLS and Ridge Regression but provide little benefit, or even reduce performance, for nonlinear models such as Random Forest and XGBoost.</w:t>
      </w:r>
    </w:p>
    <w:p>
      <w:pPr>
        <w:pStyle w:val="BodyText"/>
        <w:bidi w:val="0"/>
        <w:jc w:val="start"/>
        <w:rPr/>
      </w:pPr>
      <w:r>
        <w:rPr/>
        <w:t>Although machine-learning methods have previously been explored for maize-yield forecasting in Uganda, there remains a methodological need to evaluate whether PCA produces agriculturally meaningful latent factors and whether those components improve prediction when compared with original variables. The mathematical foundations of PCA are also commonly implemented through software without being manually derived and verified by student researchers.</w:t>
      </w:r>
    </w:p>
    <w:p>
      <w:pPr>
        <w:pStyle w:val="BodyText"/>
        <w:bidi w:val="0"/>
        <w:jc w:val="start"/>
        <w:rPr/>
      </w:pPr>
      <w:r>
        <w:rPr/>
        <w:t>This study will address these challenges by constructing a reproducible secondary-data pipeline, proving and computationally verifying the mathematical foundations of PCA, applying PCA to Ugandan agricultural and rainfall data, and comparing maize-yield models developed from raw, PCA-reduced, and hybrid feature representations. The resulting framework will not be presented as a field-validated national forecasting system. It will be presented as a research prototype that may justify future field validation by the Ministry of Agriculture, Animal Industry and Fisheries, UBOS, NARO, a university, or another agricultural organisation.</w:t>
      </w:r>
    </w:p>
    <w:p>
      <w:pPr>
        <w:pStyle w:val="Heading2"/>
        <w:bidi w:val="0"/>
        <w:spacing w:lineRule="auto" w:line="276" w:before="0" w:after="140"/>
        <w:jc w:val="start"/>
        <w:rPr/>
      </w:pPr>
      <w:r>
        <w:rPr/>
        <w:t>3. Purpose of the Study</w:t>
      </w:r>
    </w:p>
    <w:p>
      <w:pPr>
        <w:pStyle w:val="BodyText"/>
        <w:bidi w:val="0"/>
        <w:jc w:val="start"/>
        <w:rPr/>
      </w:pPr>
      <w:r>
        <w:rPr/>
        <w:t>The purpose of this study is to investigate whether Principal Component Analysis can identify meaningful latent dimensions in Ugandan agricultural and climate data and whether these dimensions can improve maize-yield prediction.</w:t>
      </w:r>
    </w:p>
    <w:p>
      <w:pPr>
        <w:pStyle w:val="Heading2"/>
        <w:bidi w:val="0"/>
        <w:spacing w:lineRule="auto" w:line="276" w:before="0" w:after="140"/>
        <w:jc w:val="start"/>
        <w:rPr/>
      </w:pPr>
      <w:r>
        <w:rPr/>
        <w:t>4. General Objective</w:t>
      </w:r>
    </w:p>
    <w:p>
      <w:pPr>
        <w:pStyle w:val="BodyText"/>
        <w:bidi w:val="0"/>
        <w:jc w:val="start"/>
        <w:rPr/>
      </w:pPr>
      <w:r>
        <w:rPr/>
        <w:t>To design and evaluate a Principal Component Analysis-based machine-learning framework for predicting maize yield in Uganda using secondary agricultural and climate data.</w:t>
      </w:r>
    </w:p>
    <w:p>
      <w:pPr>
        <w:pStyle w:val="Heading2"/>
        <w:bidi w:val="0"/>
        <w:spacing w:lineRule="auto" w:line="276" w:before="0" w:after="140"/>
        <w:jc w:val="start"/>
        <w:rPr/>
      </w:pPr>
      <w:r>
        <w:rPr/>
        <w:t>5. Specific Objectives</w:t>
      </w:r>
    </w:p>
    <w:p>
      <w:pPr>
        <w:pStyle w:val="BodyText"/>
        <w:numPr>
          <w:ilvl w:val="0"/>
          <w:numId w:val="2"/>
        </w:numPr>
        <w:tabs>
          <w:tab w:val="clear" w:pos="709"/>
          <w:tab w:val="left" w:pos="709" w:leader="none"/>
        </w:tabs>
        <w:bidi w:val="0"/>
        <w:ind w:hanging="283" w:start="709"/>
        <w:jc w:val="start"/>
        <w:rPr/>
      </w:pPr>
      <w:r>
        <w:rPr>
          <w:rStyle w:val="Strong"/>
        </w:rPr>
        <w:t>To acquire, integrate, clean, and explore publicly available agricultural and climate data suitable for maize-yield analysis in Uganda.</w:t>
      </w:r>
    </w:p>
    <w:p>
      <w:pPr>
        <w:pStyle w:val="BodyText"/>
        <w:numPr>
          <w:ilvl w:val="0"/>
          <w:numId w:val="2"/>
        </w:numPr>
        <w:tabs>
          <w:tab w:val="clear" w:pos="709"/>
          <w:tab w:val="left" w:pos="709" w:leader="none"/>
        </w:tabs>
        <w:bidi w:val="0"/>
        <w:ind w:hanging="283" w:start="709"/>
        <w:jc w:val="start"/>
        <w:rPr/>
      </w:pPr>
      <w:r>
        <w:rPr>
          <w:rStyle w:val="Strong"/>
        </w:rPr>
        <w:t>To mathematically verify and apply Principal Component Analysis in identifying and interpreting latent climatic, farm-management, and household-resource factors within the prepared maize dataset.</w:t>
      </w:r>
    </w:p>
    <w:p>
      <w:pPr>
        <w:pStyle w:val="BodyText"/>
        <w:numPr>
          <w:ilvl w:val="0"/>
          <w:numId w:val="2"/>
        </w:numPr>
        <w:tabs>
          <w:tab w:val="clear" w:pos="709"/>
          <w:tab w:val="left" w:pos="709" w:leader="none"/>
        </w:tabs>
        <w:bidi w:val="0"/>
        <w:ind w:hanging="283" w:start="709"/>
        <w:jc w:val="start"/>
        <w:rPr/>
      </w:pPr>
      <w:r>
        <w:rPr>
          <w:rStyle w:val="Strong"/>
        </w:rPr>
        <w:t>To develop and compare OLS, Ridge Regression, Random Forest, and XGBoost models for predicting maize yield using raw, PCA-reduced, and hybrid feature representations.</w:t>
      </w:r>
    </w:p>
    <w:p>
      <w:pPr>
        <w:pStyle w:val="Heading2"/>
        <w:bidi w:val="0"/>
        <w:spacing w:lineRule="auto" w:line="276" w:before="0" w:after="140"/>
        <w:jc w:val="start"/>
        <w:rPr/>
      </w:pPr>
      <w:r>
        <w:rPr/>
        <w:t>6. Research Questions</w:t>
      </w:r>
    </w:p>
    <w:p>
      <w:pPr>
        <w:pStyle w:val="BodyText"/>
        <w:numPr>
          <w:ilvl w:val="0"/>
          <w:numId w:val="3"/>
        </w:numPr>
        <w:tabs>
          <w:tab w:val="clear" w:pos="709"/>
          <w:tab w:val="left" w:pos="709" w:leader="none"/>
        </w:tabs>
        <w:bidi w:val="0"/>
        <w:ind w:hanging="283" w:start="709"/>
        <w:jc w:val="start"/>
        <w:rPr/>
      </w:pPr>
      <w:r>
        <w:rPr>
          <w:rStyle w:val="Strong"/>
        </w:rPr>
        <w:t>How can publicly available agricultural and climate datasets be integrated, cleaned, and prepared for maize-yield analysis in Uganda?</w:t>
      </w:r>
    </w:p>
    <w:p>
      <w:pPr>
        <w:pStyle w:val="BodyText"/>
        <w:numPr>
          <w:ilvl w:val="0"/>
          <w:numId w:val="3"/>
        </w:numPr>
        <w:tabs>
          <w:tab w:val="clear" w:pos="709"/>
          <w:tab w:val="left" w:pos="709" w:leader="none"/>
        </w:tabs>
        <w:bidi w:val="0"/>
        <w:ind w:hanging="283" w:start="709"/>
        <w:jc w:val="start"/>
        <w:rPr/>
      </w:pPr>
      <w:r>
        <w:rPr>
          <w:rStyle w:val="Strong"/>
        </w:rPr>
        <w:t>What latent climatic, farm-management, and household-resource factors can be identified and interpreted using Principal Component Analysis?</w:t>
      </w:r>
    </w:p>
    <w:p>
      <w:pPr>
        <w:pStyle w:val="BodyText"/>
        <w:numPr>
          <w:ilvl w:val="0"/>
          <w:numId w:val="3"/>
        </w:numPr>
        <w:tabs>
          <w:tab w:val="clear" w:pos="709"/>
          <w:tab w:val="left" w:pos="709" w:leader="none"/>
        </w:tabs>
        <w:bidi w:val="0"/>
        <w:ind w:hanging="283" w:start="709"/>
        <w:jc w:val="start"/>
        <w:rPr/>
      </w:pPr>
      <w:r>
        <w:rPr>
          <w:rStyle w:val="Strong"/>
        </w:rPr>
        <w:t>How does the predictive performance of OLS, Ridge Regression, Random Forest, and XGBoost differ when using raw, PCA-reduced, and hybrid feature representations?</w:t>
      </w:r>
    </w:p>
    <w:p>
      <w:pPr>
        <w:pStyle w:val="Heading2"/>
        <w:bidi w:val="0"/>
        <w:spacing w:lineRule="auto" w:line="276" w:before="0" w:after="140"/>
        <w:jc w:val="start"/>
        <w:rPr/>
      </w:pPr>
      <w:r>
        <w:rPr/>
        <w:t>7. Alignment of Objectives and Research Questions</w:t>
      </w:r>
    </w:p>
    <w:tbl>
      <w:tblPr>
        <w:tblW w:w="9972" w:type="dxa"/>
        <w:jc w:val="start"/>
        <w:tblInd w:w="0" w:type="dxa"/>
        <w:tblLayout w:type="fixed"/>
        <w:tblCellMar>
          <w:top w:w="28" w:type="dxa"/>
          <w:start w:w="28" w:type="dxa"/>
          <w:bottom w:w="28" w:type="dxa"/>
          <w:end w:w="28" w:type="dxa"/>
        </w:tblCellMar>
      </w:tblPr>
      <w:tblGrid>
        <w:gridCol w:w="2880"/>
        <w:gridCol w:w="2987"/>
        <w:gridCol w:w="4105"/>
      </w:tblGrid>
      <w:tr>
        <w:trPr>
          <w:tblHeader w:val="true"/>
        </w:trPr>
        <w:tc>
          <w:tcPr>
            <w:tcW w:w="2880" w:type="dxa"/>
            <w:tcBorders/>
            <w:vAlign w:val="center"/>
          </w:tcPr>
          <w:p>
            <w:pPr>
              <w:pStyle w:val="TableHeading"/>
              <w:suppressLineNumbers/>
              <w:bidi w:val="0"/>
              <w:jc w:val="center"/>
              <w:rPr/>
            </w:pPr>
            <w:r>
              <w:rPr/>
              <w:t>Specific objective</w:t>
            </w:r>
          </w:p>
        </w:tc>
        <w:tc>
          <w:tcPr>
            <w:tcW w:w="2987" w:type="dxa"/>
            <w:tcBorders/>
            <w:vAlign w:val="center"/>
          </w:tcPr>
          <w:p>
            <w:pPr>
              <w:pStyle w:val="TableHeading"/>
              <w:suppressLineNumbers/>
              <w:bidi w:val="0"/>
              <w:jc w:val="center"/>
              <w:rPr/>
            </w:pPr>
            <w:r>
              <w:rPr/>
              <w:t>Corresponding research question</w:t>
            </w:r>
          </w:p>
        </w:tc>
        <w:tc>
          <w:tcPr>
            <w:tcW w:w="4105" w:type="dxa"/>
            <w:tcBorders/>
            <w:vAlign w:val="center"/>
          </w:tcPr>
          <w:p>
            <w:pPr>
              <w:pStyle w:val="TableHeading"/>
              <w:suppressLineNumbers/>
              <w:bidi w:val="0"/>
              <w:jc w:val="center"/>
              <w:rPr/>
            </w:pPr>
            <w:r>
              <w:rPr/>
              <w:t>Main expected output</w:t>
            </w:r>
          </w:p>
        </w:tc>
      </w:tr>
      <w:tr>
        <w:trPr/>
        <w:tc>
          <w:tcPr>
            <w:tcW w:w="2880" w:type="dxa"/>
            <w:tcBorders/>
            <w:vAlign w:val="center"/>
          </w:tcPr>
          <w:p>
            <w:pPr>
              <w:pStyle w:val="TableContents"/>
              <w:widowControl w:val="false"/>
              <w:suppressLineNumbers/>
              <w:bidi w:val="0"/>
              <w:jc w:val="start"/>
              <w:rPr/>
            </w:pPr>
            <w:r>
              <w:rPr/>
              <w:t>Acquire, integrate, clean, and explore secondary agricultural and climate data</w:t>
            </w:r>
          </w:p>
        </w:tc>
        <w:tc>
          <w:tcPr>
            <w:tcW w:w="2987" w:type="dxa"/>
            <w:tcBorders/>
            <w:vAlign w:val="center"/>
          </w:tcPr>
          <w:p>
            <w:pPr>
              <w:pStyle w:val="TableContents"/>
              <w:widowControl w:val="false"/>
              <w:suppressLineNumbers/>
              <w:bidi w:val="0"/>
              <w:jc w:val="start"/>
              <w:rPr/>
            </w:pPr>
            <w:r>
              <w:rPr/>
              <w:t>How can the datasets be integrated, cleaned, and prepared?</w:t>
            </w:r>
          </w:p>
        </w:tc>
        <w:tc>
          <w:tcPr>
            <w:tcW w:w="4105" w:type="dxa"/>
            <w:tcBorders/>
            <w:vAlign w:val="center"/>
          </w:tcPr>
          <w:p>
            <w:pPr>
              <w:pStyle w:val="TableContents"/>
              <w:widowControl w:val="false"/>
              <w:suppressLineNumbers/>
              <w:bidi w:val="0"/>
              <w:jc w:val="start"/>
              <w:rPr/>
            </w:pPr>
            <w:r>
              <w:rPr/>
              <w:t>Clean analytical CSV, data dictionary, descriptive statistics, missing-data analysis, outlier analysis, and correlation matrix</w:t>
            </w:r>
          </w:p>
        </w:tc>
      </w:tr>
      <w:tr>
        <w:trPr/>
        <w:tc>
          <w:tcPr>
            <w:tcW w:w="2880" w:type="dxa"/>
            <w:tcBorders/>
            <w:vAlign w:val="center"/>
          </w:tcPr>
          <w:p>
            <w:pPr>
              <w:pStyle w:val="TableContents"/>
              <w:widowControl w:val="false"/>
              <w:suppressLineNumbers/>
              <w:bidi w:val="0"/>
              <w:jc w:val="start"/>
              <w:rPr/>
            </w:pPr>
            <w:r>
              <w:rPr/>
              <w:t>Verify and apply PCA to identify latent factors</w:t>
            </w:r>
          </w:p>
        </w:tc>
        <w:tc>
          <w:tcPr>
            <w:tcW w:w="2987" w:type="dxa"/>
            <w:tcBorders/>
            <w:vAlign w:val="center"/>
          </w:tcPr>
          <w:p>
            <w:pPr>
              <w:pStyle w:val="TableContents"/>
              <w:widowControl w:val="false"/>
              <w:suppressLineNumbers/>
              <w:bidi w:val="0"/>
              <w:jc w:val="start"/>
              <w:rPr/>
            </w:pPr>
            <w:r>
              <w:rPr/>
              <w:t>What latent factors can PCA identify and how can they be interpreted?</w:t>
            </w:r>
          </w:p>
        </w:tc>
        <w:tc>
          <w:tcPr>
            <w:tcW w:w="4105" w:type="dxa"/>
            <w:tcBorders/>
            <w:vAlign w:val="center"/>
          </w:tcPr>
          <w:p>
            <w:pPr>
              <w:pStyle w:val="TableContents"/>
              <w:widowControl w:val="false"/>
              <w:suppressLineNumbers/>
              <w:bidi w:val="0"/>
              <w:jc w:val="start"/>
              <w:rPr/>
            </w:pPr>
            <w:r>
              <w:rPr/>
              <w:t>Mathematical proof, eigenvalue verification, scree plot, loadings, biplot, loadings heatmap, and PC1 interpretation</w:t>
            </w:r>
          </w:p>
        </w:tc>
      </w:tr>
      <w:tr>
        <w:trPr/>
        <w:tc>
          <w:tcPr>
            <w:tcW w:w="2880" w:type="dxa"/>
            <w:tcBorders/>
            <w:vAlign w:val="center"/>
          </w:tcPr>
          <w:p>
            <w:pPr>
              <w:pStyle w:val="TableContents"/>
              <w:widowControl w:val="false"/>
              <w:suppressLineNumbers/>
              <w:bidi w:val="0"/>
              <w:jc w:val="start"/>
              <w:rPr/>
            </w:pPr>
            <w:r>
              <w:rPr/>
              <w:t>Develop and compare yield-prediction models</w:t>
            </w:r>
          </w:p>
        </w:tc>
        <w:tc>
          <w:tcPr>
            <w:tcW w:w="2987" w:type="dxa"/>
            <w:tcBorders/>
            <w:vAlign w:val="center"/>
          </w:tcPr>
          <w:p>
            <w:pPr>
              <w:pStyle w:val="TableContents"/>
              <w:widowControl w:val="false"/>
              <w:suppressLineNumbers/>
              <w:bidi w:val="0"/>
              <w:jc w:val="start"/>
              <w:rPr/>
            </w:pPr>
            <w:r>
              <w:rPr/>
              <w:t>How does model performance differ across algorithms and feature representations?</w:t>
            </w:r>
          </w:p>
        </w:tc>
        <w:tc>
          <w:tcPr>
            <w:tcW w:w="4105" w:type="dxa"/>
            <w:tcBorders/>
            <w:vAlign w:val="center"/>
          </w:tcPr>
          <w:p>
            <w:pPr>
              <w:pStyle w:val="TableContents"/>
              <w:widowControl w:val="false"/>
              <w:suppressLineNumbers/>
              <w:bidi w:val="0"/>
              <w:jc w:val="start"/>
              <w:rPr/>
            </w:pPr>
            <w:r>
              <w:rPr/>
              <w:t>Cross-validation results, RMSE, (R^2), model-comparison table, and discussion of when PCA helps or hurts</w:t>
            </w:r>
          </w:p>
        </w:tc>
      </w:tr>
    </w:tbl>
    <w:p>
      <w:pPr>
        <w:pStyle w:val="Heading2"/>
        <w:bidi w:val="0"/>
        <w:spacing w:lineRule="auto" w:line="276" w:before="0" w:after="140"/>
        <w:jc w:val="start"/>
        <w:rPr/>
      </w:pPr>
      <w:r>
        <w:rPr/>
      </w:r>
    </w:p>
    <w:p>
      <w:pPr>
        <w:pStyle w:val="Heading2"/>
        <w:bidi w:val="0"/>
        <w:spacing w:lineRule="auto" w:line="276" w:before="0" w:after="140"/>
        <w:jc w:val="start"/>
        <w:rPr/>
      </w:pPr>
      <w:r>
        <w:rPr/>
        <w:t>8. Scope of the Study</w:t>
      </w:r>
    </w:p>
    <w:p>
      <w:pPr>
        <w:pStyle w:val="Heading3"/>
        <w:bidi w:val="0"/>
        <w:spacing w:lineRule="auto" w:line="276" w:before="0" w:after="140"/>
        <w:jc w:val="start"/>
        <w:rPr/>
      </w:pPr>
      <w:r>
        <w:rPr/>
        <w:t>8.1 Content scope</w:t>
      </w:r>
    </w:p>
    <w:p>
      <w:pPr>
        <w:pStyle w:val="BodyText"/>
        <w:bidi w:val="0"/>
        <w:jc w:val="start"/>
        <w:rPr/>
      </w:pPr>
      <w:r>
        <w:rPr/>
        <w:t>The study will focus on:</w:t>
      </w:r>
    </w:p>
    <w:p>
      <w:pPr>
        <w:pStyle w:val="BodyText"/>
        <w:numPr>
          <w:ilvl w:val="0"/>
          <w:numId w:val="4"/>
        </w:numPr>
        <w:tabs>
          <w:tab w:val="clear" w:pos="709"/>
          <w:tab w:val="left" w:pos="709" w:leader="none"/>
        </w:tabs>
        <w:bidi w:val="0"/>
        <w:ind w:hanging="283" w:start="709"/>
        <w:jc w:val="start"/>
        <w:rPr/>
      </w:pPr>
      <w:r>
        <w:rPr/>
        <w:t>Acquisition and integration of online secondary data.</w:t>
      </w:r>
    </w:p>
    <w:p>
      <w:pPr>
        <w:pStyle w:val="BodyText"/>
        <w:numPr>
          <w:ilvl w:val="0"/>
          <w:numId w:val="4"/>
        </w:numPr>
        <w:tabs>
          <w:tab w:val="clear" w:pos="709"/>
          <w:tab w:val="left" w:pos="709" w:leader="none"/>
        </w:tabs>
        <w:bidi w:val="0"/>
        <w:ind w:hanging="283" w:start="709"/>
        <w:jc w:val="start"/>
        <w:rPr/>
      </w:pPr>
      <w:r>
        <w:rPr/>
        <w:t>Construction of maize yield in kilograms per hectare.</w:t>
      </w:r>
    </w:p>
    <w:p>
      <w:pPr>
        <w:pStyle w:val="BodyText"/>
        <w:numPr>
          <w:ilvl w:val="0"/>
          <w:numId w:val="4"/>
        </w:numPr>
        <w:tabs>
          <w:tab w:val="clear" w:pos="709"/>
          <w:tab w:val="left" w:pos="709" w:leader="none"/>
        </w:tabs>
        <w:bidi w:val="0"/>
        <w:ind w:hanging="283" w:start="709"/>
        <w:jc w:val="start"/>
        <w:rPr/>
      </w:pPr>
      <w:r>
        <w:rPr/>
        <w:t>Rainfall and dry-spell feature engineering.</w:t>
      </w:r>
    </w:p>
    <w:p>
      <w:pPr>
        <w:pStyle w:val="BodyText"/>
        <w:numPr>
          <w:ilvl w:val="0"/>
          <w:numId w:val="4"/>
        </w:numPr>
        <w:tabs>
          <w:tab w:val="clear" w:pos="709"/>
          <w:tab w:val="left" w:pos="709" w:leader="none"/>
        </w:tabs>
        <w:bidi w:val="0"/>
        <w:ind w:hanging="283" w:start="709"/>
        <w:jc w:val="start"/>
        <w:rPr/>
      </w:pPr>
      <w:r>
        <w:rPr/>
        <w:t>Missing-value treatment.</w:t>
      </w:r>
    </w:p>
    <w:p>
      <w:pPr>
        <w:pStyle w:val="BodyText"/>
        <w:numPr>
          <w:ilvl w:val="0"/>
          <w:numId w:val="4"/>
        </w:numPr>
        <w:tabs>
          <w:tab w:val="clear" w:pos="709"/>
          <w:tab w:val="left" w:pos="709" w:leader="none"/>
        </w:tabs>
        <w:bidi w:val="0"/>
        <w:ind w:hanging="283" w:start="709"/>
        <w:jc w:val="start"/>
        <w:rPr/>
      </w:pPr>
      <w:r>
        <w:rPr/>
        <w:t>Standardisation of numerical variables.</w:t>
      </w:r>
    </w:p>
    <w:p>
      <w:pPr>
        <w:pStyle w:val="BodyText"/>
        <w:numPr>
          <w:ilvl w:val="0"/>
          <w:numId w:val="4"/>
        </w:numPr>
        <w:tabs>
          <w:tab w:val="clear" w:pos="709"/>
          <w:tab w:val="left" w:pos="709" w:leader="none"/>
        </w:tabs>
        <w:bidi w:val="0"/>
        <w:ind w:hanging="283" w:start="709"/>
        <w:jc w:val="start"/>
        <w:rPr/>
      </w:pPr>
      <w:r>
        <w:rPr/>
        <w:t>Multivariate outlier detection using Mahalanobis distance.</w:t>
      </w:r>
    </w:p>
    <w:p>
      <w:pPr>
        <w:pStyle w:val="BodyText"/>
        <w:numPr>
          <w:ilvl w:val="0"/>
          <w:numId w:val="4"/>
        </w:numPr>
        <w:tabs>
          <w:tab w:val="clear" w:pos="709"/>
          <w:tab w:val="left" w:pos="709" w:leader="none"/>
        </w:tabs>
        <w:bidi w:val="0"/>
        <w:ind w:hanging="283" w:start="709"/>
        <w:jc w:val="start"/>
        <w:rPr/>
      </w:pPr>
      <w:r>
        <w:rPr/>
        <w:t>Mathematical derivation and computational verification of PCA.</w:t>
      </w:r>
    </w:p>
    <w:p>
      <w:pPr>
        <w:pStyle w:val="BodyText"/>
        <w:numPr>
          <w:ilvl w:val="0"/>
          <w:numId w:val="4"/>
        </w:numPr>
        <w:tabs>
          <w:tab w:val="clear" w:pos="709"/>
          <w:tab w:val="left" w:pos="709" w:leader="none"/>
        </w:tabs>
        <w:bidi w:val="0"/>
        <w:ind w:hanging="283" w:start="709"/>
        <w:jc w:val="start"/>
        <w:rPr/>
      </w:pPr>
      <w:r>
        <w:rPr/>
        <w:t>Interpretation of principal components.</w:t>
      </w:r>
    </w:p>
    <w:p>
      <w:pPr>
        <w:pStyle w:val="BodyText"/>
        <w:numPr>
          <w:ilvl w:val="0"/>
          <w:numId w:val="4"/>
        </w:numPr>
        <w:tabs>
          <w:tab w:val="clear" w:pos="709"/>
          <w:tab w:val="left" w:pos="709" w:leader="none"/>
        </w:tabs>
        <w:bidi w:val="0"/>
        <w:ind w:hanging="283" w:start="709"/>
        <w:jc w:val="start"/>
        <w:rPr/>
      </w:pPr>
      <w:r>
        <w:rPr/>
        <w:t>Development of OLS, Ridge Regression, Random Forest, and XGBoost models.</w:t>
      </w:r>
    </w:p>
    <w:p>
      <w:pPr>
        <w:pStyle w:val="BodyText"/>
        <w:numPr>
          <w:ilvl w:val="0"/>
          <w:numId w:val="4"/>
        </w:numPr>
        <w:tabs>
          <w:tab w:val="clear" w:pos="709"/>
          <w:tab w:val="left" w:pos="709" w:leader="none"/>
        </w:tabs>
        <w:bidi w:val="0"/>
        <w:ind w:hanging="283" w:start="709"/>
        <w:jc w:val="start"/>
        <w:rPr/>
      </w:pPr>
      <w:r>
        <w:rPr/>
        <w:t>Comparison of raw, PCA-reduced, and hybrid feature representations.</w:t>
      </w:r>
    </w:p>
    <w:p>
      <w:pPr>
        <w:pStyle w:val="BodyText"/>
        <w:numPr>
          <w:ilvl w:val="0"/>
          <w:numId w:val="4"/>
        </w:numPr>
        <w:tabs>
          <w:tab w:val="clear" w:pos="709"/>
          <w:tab w:val="left" w:pos="709" w:leader="none"/>
        </w:tabs>
        <w:bidi w:val="0"/>
        <w:ind w:hanging="283" w:start="709"/>
        <w:jc w:val="start"/>
        <w:rPr/>
      </w:pPr>
      <w:r>
        <w:rPr/>
        <w:t>Evaluation using five-fold cross-validation, RMSE, and (R^2).</w:t>
      </w:r>
    </w:p>
    <w:p>
      <w:pPr>
        <w:pStyle w:val="BodyText"/>
        <w:bidi w:val="0"/>
        <w:jc w:val="start"/>
        <w:rPr/>
      </w:pPr>
      <w:r>
        <w:rPr/>
        <w:t>The study will not attempt to construct a national operational forecasting platform or determine causal relationships between individual agricultural practices and maize yield.</w:t>
      </w:r>
    </w:p>
    <w:p>
      <w:pPr>
        <w:pStyle w:val="Heading3"/>
        <w:bidi w:val="0"/>
        <w:spacing w:lineRule="auto" w:line="276" w:before="0" w:after="140"/>
        <w:jc w:val="start"/>
        <w:rPr/>
      </w:pPr>
      <w:r>
        <w:rPr/>
        <w:t>8.2 Geographical scope</w:t>
      </w:r>
    </w:p>
    <w:p>
      <w:pPr>
        <w:pStyle w:val="BodyText"/>
        <w:bidi w:val="0"/>
        <w:jc w:val="start"/>
        <w:rPr/>
      </w:pPr>
      <w:r>
        <w:rPr/>
        <w:t>The study will concern Uganda, with the final analysis focusing on three selected districts or comparable agricultural zones represented in the available secondary data.</w:t>
      </w:r>
    </w:p>
    <w:p>
      <w:pPr>
        <w:pStyle w:val="BodyText"/>
        <w:bidi w:val="0"/>
        <w:jc w:val="start"/>
        <w:rPr/>
      </w:pPr>
      <w:r>
        <w:rPr/>
        <w:t>The districts will be selected after inspecting the number of usable maize observations. Selection will consider:</w:t>
      </w:r>
    </w:p>
    <w:p>
      <w:pPr>
        <w:pStyle w:val="BodyText"/>
        <w:numPr>
          <w:ilvl w:val="0"/>
          <w:numId w:val="5"/>
        </w:numPr>
        <w:tabs>
          <w:tab w:val="clear" w:pos="709"/>
          <w:tab w:val="left" w:pos="709" w:leader="none"/>
        </w:tabs>
        <w:bidi w:val="0"/>
        <w:ind w:hanging="283" w:start="709"/>
        <w:jc w:val="start"/>
        <w:rPr/>
      </w:pPr>
      <w:r>
        <w:rPr/>
        <w:t>Availability of adequate maize plot-season records.</w:t>
      </w:r>
    </w:p>
    <w:p>
      <w:pPr>
        <w:pStyle w:val="BodyText"/>
        <w:numPr>
          <w:ilvl w:val="0"/>
          <w:numId w:val="5"/>
        </w:numPr>
        <w:tabs>
          <w:tab w:val="clear" w:pos="709"/>
          <w:tab w:val="left" w:pos="709" w:leader="none"/>
        </w:tabs>
        <w:bidi w:val="0"/>
        <w:ind w:hanging="283" w:start="709"/>
        <w:jc w:val="start"/>
        <w:rPr/>
      </w:pPr>
      <w:r>
        <w:rPr/>
        <w:t>Availability of geographic and seasonal identifiers.</w:t>
      </w:r>
    </w:p>
    <w:p>
      <w:pPr>
        <w:pStyle w:val="BodyText"/>
        <w:numPr>
          <w:ilvl w:val="0"/>
          <w:numId w:val="5"/>
        </w:numPr>
        <w:tabs>
          <w:tab w:val="clear" w:pos="709"/>
          <w:tab w:val="left" w:pos="709" w:leader="none"/>
        </w:tabs>
        <w:bidi w:val="0"/>
        <w:ind w:hanging="283" w:start="709"/>
        <w:jc w:val="start"/>
        <w:rPr/>
      </w:pPr>
      <w:r>
        <w:rPr/>
        <w:t>Variation in rainfall or agricultural conditions.</w:t>
      </w:r>
    </w:p>
    <w:p>
      <w:pPr>
        <w:pStyle w:val="BodyText"/>
        <w:numPr>
          <w:ilvl w:val="0"/>
          <w:numId w:val="5"/>
        </w:numPr>
        <w:tabs>
          <w:tab w:val="clear" w:pos="709"/>
          <w:tab w:val="left" w:pos="709" w:leader="none"/>
        </w:tabs>
        <w:bidi w:val="0"/>
        <w:ind w:hanging="283" w:start="709"/>
        <w:jc w:val="start"/>
        <w:rPr/>
      </w:pPr>
      <w:r>
        <w:rPr/>
        <w:t>Ability to obtain at least 100 usable observations after cleaning.</w:t>
      </w:r>
    </w:p>
    <w:p>
      <w:pPr>
        <w:pStyle w:val="BodyText"/>
        <w:bidi w:val="0"/>
        <w:jc w:val="start"/>
        <w:rPr/>
      </w:pPr>
      <w:r>
        <w:rPr/>
        <w:t>The selected records will not automatically be treated as statistically representative of every maize farmer in the selected districts.</w:t>
      </w:r>
    </w:p>
    <w:p>
      <w:pPr>
        <w:pStyle w:val="Heading3"/>
        <w:bidi w:val="0"/>
        <w:spacing w:lineRule="auto" w:line="276" w:before="0" w:after="140"/>
        <w:jc w:val="start"/>
        <w:rPr/>
      </w:pPr>
      <w:r>
        <w:rPr/>
        <w:t>8.3 Time scope</w:t>
      </w:r>
    </w:p>
    <w:p>
      <w:pPr>
        <w:pStyle w:val="BodyText"/>
        <w:bidi w:val="0"/>
        <w:jc w:val="start"/>
        <w:rPr/>
      </w:pPr>
      <w:r>
        <w:rPr/>
        <w:t>The primary agricultural dataset is expected to be the Uganda National Panel Survey 2018/2019 wave. Rainfall information will be extracted for cultivation periods corresponding to the agricultural records. Historical CHIRPS rainfall may also be used to calculate seasonal rainfall anomalies.</w:t>
      </w:r>
    </w:p>
    <w:p>
      <w:pPr>
        <w:pStyle w:val="BodyText"/>
        <w:bidi w:val="0"/>
        <w:jc w:val="start"/>
        <w:rPr/>
      </w:pPr>
      <w:r>
        <w:rPr/>
        <w:t>The UBOS Annual Agricultural Survey 2019 will be used mainly as an official benchmark for agricultural characteristics and production patterns.</w:t>
      </w:r>
    </w:p>
    <w:p>
      <w:pPr>
        <w:pStyle w:val="Heading3"/>
        <w:bidi w:val="0"/>
        <w:spacing w:lineRule="auto" w:line="276" w:before="0" w:after="140"/>
        <w:jc w:val="start"/>
        <w:rPr/>
      </w:pPr>
      <w:r>
        <w:rPr/>
        <w:t>8.4 Methodological scope</w:t>
      </w:r>
    </w:p>
    <w:p>
      <w:pPr>
        <w:pStyle w:val="BodyText"/>
        <w:bidi w:val="0"/>
        <w:jc w:val="start"/>
        <w:rPr/>
      </w:pPr>
      <w:r>
        <w:rPr/>
        <w:t>The study will be quantitative, computational, exploratory, and predictive. It will use secondary data only.</w:t>
      </w:r>
    </w:p>
    <w:p>
      <w:pPr>
        <w:pStyle w:val="BodyText"/>
        <w:bidi w:val="0"/>
        <w:jc w:val="start"/>
        <w:rPr/>
      </w:pPr>
      <w:r>
        <w:rPr/>
        <w:t>No field visits, interviews, questionnaires, focus-group discussions, physical plot measurements, or direct interactions with farmers will be undertaken during the proposed undergraduate study.</w:t>
      </w:r>
    </w:p>
    <w:p>
      <w:pPr>
        <w:pStyle w:val="Heading2"/>
        <w:bidi w:val="0"/>
        <w:spacing w:lineRule="auto" w:line="276" w:before="0" w:after="140"/>
        <w:jc w:val="start"/>
        <w:rPr/>
      </w:pPr>
      <w:r>
        <w:rPr/>
        <w:t>9. Significance of the Study</w:t>
      </w:r>
    </w:p>
    <w:p>
      <w:pPr>
        <w:pStyle w:val="Heading3"/>
        <w:bidi w:val="0"/>
        <w:spacing w:lineRule="auto" w:line="276" w:before="0" w:after="140"/>
        <w:jc w:val="start"/>
        <w:rPr/>
      </w:pPr>
      <w:r>
        <w:rPr/>
        <w:t>9.1 Significance to the student and the university</w:t>
      </w:r>
    </w:p>
    <w:p>
      <w:pPr>
        <w:pStyle w:val="BodyText"/>
        <w:bidi w:val="0"/>
        <w:jc w:val="start"/>
        <w:rPr/>
      </w:pPr>
      <w:r>
        <w:rPr/>
        <w:t>The study will connect mathematical theory, statistics, agricultural data analysis, and machine learning. It will demonstrate the researcher’s ability to:</w:t>
      </w:r>
    </w:p>
    <w:p>
      <w:pPr>
        <w:pStyle w:val="BodyText"/>
        <w:numPr>
          <w:ilvl w:val="0"/>
          <w:numId w:val="6"/>
        </w:numPr>
        <w:tabs>
          <w:tab w:val="clear" w:pos="709"/>
          <w:tab w:val="left" w:pos="709" w:leader="none"/>
        </w:tabs>
        <w:bidi w:val="0"/>
        <w:ind w:hanging="283" w:start="709"/>
        <w:jc w:val="start"/>
        <w:rPr/>
      </w:pPr>
      <w:r>
        <w:rPr/>
        <w:t>Derive and prove the mathematical foundations of PCA.</w:t>
      </w:r>
    </w:p>
    <w:p>
      <w:pPr>
        <w:pStyle w:val="BodyText"/>
        <w:numPr>
          <w:ilvl w:val="0"/>
          <w:numId w:val="6"/>
        </w:numPr>
        <w:tabs>
          <w:tab w:val="clear" w:pos="709"/>
          <w:tab w:val="left" w:pos="709" w:leader="none"/>
        </w:tabs>
        <w:bidi w:val="0"/>
        <w:ind w:hanging="283" w:start="709"/>
        <w:jc w:val="start"/>
        <w:rPr/>
      </w:pPr>
      <w:r>
        <w:rPr/>
        <w:t>Process data from multiple online sources.</w:t>
      </w:r>
    </w:p>
    <w:p>
      <w:pPr>
        <w:pStyle w:val="BodyText"/>
        <w:numPr>
          <w:ilvl w:val="0"/>
          <w:numId w:val="6"/>
        </w:numPr>
        <w:tabs>
          <w:tab w:val="clear" w:pos="709"/>
          <w:tab w:val="left" w:pos="709" w:leader="none"/>
        </w:tabs>
        <w:bidi w:val="0"/>
        <w:ind w:hanging="283" w:start="709"/>
        <w:jc w:val="start"/>
        <w:rPr/>
      </w:pPr>
      <w:r>
        <w:rPr/>
        <w:t>Develop reproducible data pipelines.</w:t>
      </w:r>
    </w:p>
    <w:p>
      <w:pPr>
        <w:pStyle w:val="BodyText"/>
        <w:numPr>
          <w:ilvl w:val="0"/>
          <w:numId w:val="6"/>
        </w:numPr>
        <w:tabs>
          <w:tab w:val="clear" w:pos="709"/>
          <w:tab w:val="left" w:pos="709" w:leader="none"/>
        </w:tabs>
        <w:bidi w:val="0"/>
        <w:ind w:hanging="283" w:start="709"/>
        <w:jc w:val="start"/>
        <w:rPr/>
      </w:pPr>
      <w:r>
        <w:rPr/>
        <w:t>Apply statistical and machine-learning models.</w:t>
      </w:r>
    </w:p>
    <w:p>
      <w:pPr>
        <w:pStyle w:val="BodyText"/>
        <w:numPr>
          <w:ilvl w:val="0"/>
          <w:numId w:val="6"/>
        </w:numPr>
        <w:tabs>
          <w:tab w:val="clear" w:pos="709"/>
          <w:tab w:val="left" w:pos="709" w:leader="none"/>
        </w:tabs>
        <w:bidi w:val="0"/>
        <w:ind w:hanging="283" w:start="709"/>
        <w:jc w:val="start"/>
        <w:rPr/>
      </w:pPr>
      <w:r>
        <w:rPr/>
        <w:t>Interpret rather than merely execute machine-learning algorithms.</w:t>
      </w:r>
    </w:p>
    <w:p>
      <w:pPr>
        <w:pStyle w:val="BodyText"/>
        <w:numPr>
          <w:ilvl w:val="0"/>
          <w:numId w:val="6"/>
        </w:numPr>
        <w:tabs>
          <w:tab w:val="clear" w:pos="709"/>
          <w:tab w:val="left" w:pos="709" w:leader="none"/>
        </w:tabs>
        <w:bidi w:val="0"/>
        <w:ind w:hanging="283" w:start="709"/>
        <w:jc w:val="start"/>
        <w:rPr/>
      </w:pPr>
      <w:r>
        <w:rPr/>
        <w:t>Communicate results through technical reports, visualisations, presentations, and source code.</w:t>
      </w:r>
    </w:p>
    <w:p>
      <w:pPr>
        <w:pStyle w:val="BodyText"/>
        <w:bidi w:val="0"/>
        <w:jc w:val="start"/>
        <w:rPr/>
      </w:pPr>
      <w:r>
        <w:rPr/>
        <w:t>The completed work may serve as a portfolio-ready undergraduate research project.</w:t>
      </w:r>
    </w:p>
    <w:p>
      <w:pPr>
        <w:pStyle w:val="Heading3"/>
        <w:bidi w:val="0"/>
        <w:spacing w:lineRule="auto" w:line="276" w:before="0" w:after="140"/>
        <w:jc w:val="start"/>
        <w:rPr/>
      </w:pPr>
      <w:r>
        <w:rPr/>
        <w:t>9.2 Significance to agricultural researchers</w:t>
      </w:r>
    </w:p>
    <w:p>
      <w:pPr>
        <w:pStyle w:val="BodyText"/>
        <w:bidi w:val="0"/>
        <w:jc w:val="start"/>
        <w:rPr/>
      </w:pPr>
      <w:r>
        <w:rPr/>
        <w:t>The study will provide evidence about whether PCA can produce meaningful latent agricultural factors from Ugandan secondary data. Researchers will be able to examine whether factors such as rainfall conditions, resource intensity, household capacity, and farm-management practices emerge from the component structure.</w:t>
      </w:r>
    </w:p>
    <w:p>
      <w:pPr>
        <w:pStyle w:val="Heading3"/>
        <w:bidi w:val="0"/>
        <w:spacing w:lineRule="auto" w:line="276" w:before="0" w:after="140"/>
        <w:jc w:val="start"/>
        <w:rPr/>
      </w:pPr>
      <w:r>
        <w:rPr/>
        <w:t>9.3 Significance to agricultural organisations</w:t>
      </w:r>
    </w:p>
    <w:p>
      <w:pPr>
        <w:pStyle w:val="BodyText"/>
        <w:bidi w:val="0"/>
        <w:jc w:val="start"/>
        <w:rPr/>
      </w:pPr>
      <w:r>
        <w:rPr/>
        <w:t>The proposed framework may provide preliminary evidence that could inform a future collaboration with MAAIF, UBOS, NARO, district agricultural offices, universities, or development organisations.</w:t>
      </w:r>
    </w:p>
    <w:p>
      <w:pPr>
        <w:pStyle w:val="BodyText"/>
        <w:bidi w:val="0"/>
        <w:jc w:val="start"/>
        <w:rPr/>
      </w:pPr>
      <w:r>
        <w:rPr/>
        <w:t>The model will not initially be suitable for direct farmer-level decision-making. However, the results may help an organisation determine whether investment in field validation and more precise data collection is justified.</w:t>
      </w:r>
    </w:p>
    <w:p>
      <w:pPr>
        <w:pStyle w:val="Heading3"/>
        <w:bidi w:val="0"/>
        <w:spacing w:lineRule="auto" w:line="276" w:before="0" w:after="140"/>
        <w:jc w:val="start"/>
        <w:rPr/>
      </w:pPr>
      <w:r>
        <w:rPr/>
        <w:t>9.4 Significance to future studies</w:t>
      </w:r>
    </w:p>
    <w:p>
      <w:pPr>
        <w:pStyle w:val="BodyText"/>
        <w:bidi w:val="0"/>
        <w:jc w:val="start"/>
        <w:rPr/>
      </w:pPr>
      <w:r>
        <w:rPr/>
        <w:t>The project will establish a reproducible baseline that can later be tested using primary data collected from farms. Future researchers may apply the same PCA transformation and prediction models to newly measured plot size, rainfall, input use, crop management, and harvested yield.</w:t>
      </w:r>
    </w:p>
    <w:p>
      <w:pPr>
        <w:pStyle w:val="Heading2"/>
        <w:bidi w:val="0"/>
        <w:spacing w:lineRule="auto" w:line="276" w:before="0" w:after="140"/>
        <w:jc w:val="start"/>
        <w:rPr/>
      </w:pPr>
      <w:r>
        <w:rPr/>
        <w:t>10. Preliminary Literature Review</w:t>
      </w:r>
    </w:p>
    <w:p>
      <w:pPr>
        <w:pStyle w:val="Heading3"/>
        <w:bidi w:val="0"/>
        <w:spacing w:lineRule="auto" w:line="276" w:before="0" w:after="140"/>
        <w:jc w:val="start"/>
        <w:rPr/>
      </w:pPr>
      <w:r>
        <w:rPr/>
        <w:t>10.1 Principal Component Analysis</w:t>
      </w:r>
    </w:p>
    <w:p>
      <w:pPr>
        <w:pStyle w:val="BodyText"/>
        <w:bidi w:val="0"/>
        <w:jc w:val="start"/>
        <w:rPr/>
      </w:pPr>
      <w:r>
        <w:rPr/>
        <w:t>PCA reduces the dimensionality of numerical data by constructing new uncorrelated variables that successively maximise variance. The components are determined through eigenvalue and eigenvector decomposition of a covariance or correlation matrix. The eigenvalue represents the amount of variation associated with a component, while the eigenvector provides the direction and coefficients used to construct that component (Jolliffe &amp; Cadima, 2016). (</w:t>
      </w:r>
      <w:hyperlink r:id="rId8">
        <w:r>
          <w:rPr>
            <w:rStyle w:val="Hyperlink"/>
          </w:rPr>
          <w:t>Royal Society Publishing</w:t>
        </w:r>
      </w:hyperlink>
      <w:r>
        <w:rPr/>
        <w:t>)</w:t>
      </w:r>
    </w:p>
    <w:p>
      <w:pPr>
        <w:pStyle w:val="BodyText"/>
        <w:bidi w:val="0"/>
        <w:jc w:val="start"/>
        <w:rPr/>
      </w:pPr>
      <w:r>
        <w:rPr/>
        <w:t>For a standardised data matrix, PCA can reveal groups of variables that move together. For example, fertilizer use, hired labour, improved seed use, and agricultural machinery may load strongly on one component that could be interpreted as a resource-intensive farming dimension. Rainfall total, rainy days, and dry-spell duration may form another climatic dimension.</w:t>
      </w:r>
    </w:p>
    <w:p>
      <w:pPr>
        <w:pStyle w:val="BodyText"/>
        <w:bidi w:val="0"/>
        <w:jc w:val="start"/>
        <w:rPr/>
      </w:pPr>
      <w:r>
        <w:rPr/>
        <w:t>Such labels must be based on the observed loadings. The first component cannot automatically be called “productivity,” “wealth,” or “good farming.” Its interpretation depends on the variables included, their scaling, and their positive and negative loadings.</w:t>
      </w:r>
    </w:p>
    <w:p>
      <w:pPr>
        <w:pStyle w:val="Heading3"/>
        <w:bidi w:val="0"/>
        <w:spacing w:lineRule="auto" w:line="276" w:before="0" w:after="140"/>
        <w:jc w:val="start"/>
        <w:rPr/>
      </w:pPr>
      <w:r>
        <w:rPr/>
        <w:t>10.2 PCA and predictive modelling</w:t>
      </w:r>
    </w:p>
    <w:p>
      <w:pPr>
        <w:pStyle w:val="BodyText"/>
        <w:bidi w:val="0"/>
        <w:jc w:val="start"/>
        <w:rPr/>
      </w:pPr>
      <w:r>
        <w:rPr/>
        <w:t>PCA may improve predictive modelling where predictors are highly correlated, noisy, or numerous relative to the number of observations. Linear models may benefit from orthogonal components because multicollinearity is reduced.</w:t>
      </w:r>
    </w:p>
    <w:p>
      <w:pPr>
        <w:pStyle w:val="BodyText"/>
        <w:bidi w:val="0"/>
        <w:jc w:val="start"/>
        <w:rPr/>
      </w:pPr>
      <w:r>
        <w:rPr/>
        <w:t>However, PCA does not use the outcome variable when selecting its components. It is therefore possible for PCA to discard low-variance predictors that are important for predicting yield. Nonlinear tree-based models may also benefit more from retaining original variables because they can identify thresholds and interactions that are less visible after linear transformation.</w:t>
      </w:r>
    </w:p>
    <w:p>
      <w:pPr>
        <w:pStyle w:val="BodyText"/>
        <w:bidi w:val="0"/>
        <w:jc w:val="start"/>
        <w:rPr/>
      </w:pPr>
      <w:r>
        <w:rPr/>
        <w:t>The proposed comparison between raw, PCA-reduced, and hybrid features is therefore necessary to establish whether PCA improves or harms predictive performance in this particular dataset.</w:t>
      </w:r>
    </w:p>
    <w:p>
      <w:pPr>
        <w:pStyle w:val="Heading3"/>
        <w:bidi w:val="0"/>
        <w:spacing w:lineRule="auto" w:line="276" w:before="0" w:after="140"/>
        <w:jc w:val="start"/>
        <w:rPr/>
      </w:pPr>
      <w:r>
        <w:rPr/>
        <w:t>10.3 Machine learning for maize-yield prediction</w:t>
      </w:r>
    </w:p>
    <w:p>
      <w:pPr>
        <w:pStyle w:val="BodyText"/>
        <w:bidi w:val="0"/>
        <w:jc w:val="start"/>
        <w:rPr/>
      </w:pPr>
      <w:r>
        <w:rPr/>
        <w:t>OLS provides a transparent statistical baseline and allows examination of linear relationships. Ridge Regression introduces regularisation, which may help when predictors are correlated. Random Forest combines multiple decision trees and can identify nonlinear relationships and interactions. XGBoost applies gradient-boosted decision trees and can model complex predictive structures (Breiman, 2001; Chen &amp; Guestrin, 2016). (</w:t>
      </w:r>
      <w:hyperlink r:id="rId9">
        <w:r>
          <w:rPr>
            <w:rStyle w:val="Hyperlink"/>
          </w:rPr>
          <w:t>Springer</w:t>
        </w:r>
      </w:hyperlink>
      <w:r>
        <w:rPr/>
        <w:t>)</w:t>
      </w:r>
    </w:p>
    <w:p>
      <w:pPr>
        <w:pStyle w:val="BodyText"/>
        <w:bidi w:val="0"/>
        <w:jc w:val="start"/>
        <w:rPr/>
      </w:pPr>
      <w:r>
        <w:rPr/>
        <w:t>Recent Ugandan research has used climate and remote-sensing variables in advanced maize-yield models. Taremwa et al. reported that a CNN-LSTM architecture outperformed standalone Random Forest and CNN models in their dataset. Their results support the feasibility of data-driven maize-yield prediction while also showing that performance depends on the selected data, features, validation procedure, and model architecture. (</w:t>
      </w:r>
      <w:hyperlink r:id="rId10">
        <w:r>
          <w:rPr>
            <w:rStyle w:val="Hyperlink"/>
          </w:rPr>
          <w:t>Springer</w:t>
        </w:r>
      </w:hyperlink>
      <w:r>
        <w:rPr/>
        <w:t>)</w:t>
      </w:r>
    </w:p>
    <w:p>
      <w:pPr>
        <w:pStyle w:val="BodyText"/>
        <w:bidi w:val="0"/>
        <w:jc w:val="start"/>
        <w:rPr/>
      </w:pPr>
      <w:r>
        <w:rPr/>
        <w:t>The present study differs by emphasising mathematical verification, component interpretation, household- and plot-related variables, and direct comparison of raw and PCA-transformed predictors.</w:t>
      </w:r>
    </w:p>
    <w:p>
      <w:pPr>
        <w:pStyle w:val="Heading3"/>
        <w:bidi w:val="0"/>
        <w:spacing w:lineRule="auto" w:line="276" w:before="0" w:after="140"/>
        <w:jc w:val="start"/>
        <w:rPr/>
      </w:pPr>
      <w:r>
        <w:rPr/>
        <w:t>10.4 Secondary agricultural and climate data</w:t>
      </w:r>
    </w:p>
    <w:p>
      <w:pPr>
        <w:pStyle w:val="BodyText"/>
        <w:bidi w:val="0"/>
        <w:jc w:val="start"/>
        <w:rPr/>
      </w:pPr>
      <w:r>
        <w:rPr/>
        <w:t>The UNPS 2018/2019 dataset contains agricultural sections on landholdings, labour and inputs, crops and seeds, production quantities, extension services, machinery, livestock, and household characteristics. It also provides data at household, parcel, and plot levels. (</w:t>
      </w:r>
      <w:hyperlink r:id="rId11">
        <w:r>
          <w:rPr>
            <w:rStyle w:val="Hyperlink"/>
          </w:rPr>
          <w:t>microdata.worldbank.org</w:t>
        </w:r>
      </w:hyperlink>
      <w:r>
        <w:rPr/>
        <w:t>)</w:t>
      </w:r>
    </w:p>
    <w:p>
      <w:pPr>
        <w:pStyle w:val="BodyText"/>
        <w:bidi w:val="0"/>
        <w:jc w:val="start"/>
        <w:rPr/>
      </w:pPr>
      <w:r>
        <w:rPr/>
        <w:t>CHIRPS provides daily precipitation measurements in millimetres per day. Its approximately 0.05-degree grid can support the construction of seasonal rainfall totals, rainy-day counts, rainfall variation, and dry-spell indicators. (</w:t>
      </w:r>
      <w:hyperlink r:id="rId12">
        <w:r>
          <w:rPr>
            <w:rStyle w:val="Hyperlink"/>
          </w:rPr>
          <w:t>Google for Developers</w:t>
        </w:r>
      </w:hyperlink>
      <w:r>
        <w:rPr/>
        <w:t>)</w:t>
      </w:r>
    </w:p>
    <w:p>
      <w:pPr>
        <w:pStyle w:val="BodyText"/>
        <w:bidi w:val="0"/>
        <w:jc w:val="start"/>
        <w:rPr/>
      </w:pPr>
      <w:r>
        <w:rPr/>
        <w:t>The AAS 2019 provides official agricultural-sector indicators and is based on a separate survey design. It will therefore not be directly merged household-by-household with UNPS. It will be used for aggregate benchmarking or contextual comparison at a compatible geographical and seasonal level. (</w:t>
      </w:r>
      <w:hyperlink r:id="rId13">
        <w:r>
          <w:rPr>
            <w:rStyle w:val="Hyperlink"/>
          </w:rPr>
          <w:t>FAO Microdata</w:t>
        </w:r>
      </w:hyperlink>
      <w:r>
        <w:rPr/>
        <w:t>)</w:t>
      </w:r>
    </w:p>
    <w:p>
      <w:pPr>
        <w:pStyle w:val="Heading2"/>
        <w:bidi w:val="0"/>
        <w:spacing w:lineRule="auto" w:line="276" w:before="0" w:after="140"/>
        <w:jc w:val="start"/>
        <w:rPr/>
      </w:pPr>
      <w:r>
        <w:rPr/>
        <w:t>11. Conceptual Framework</w:t>
      </w:r>
    </w:p>
    <w:p>
      <w:pPr>
        <w:pStyle w:val="BodyText"/>
        <w:bidi w:val="0"/>
        <w:jc w:val="start"/>
        <w:rPr/>
      </w:pPr>
      <w:r>
        <w:rPr/>
        <w:t>The study assumes that maize yield can be predicted using three broad groups of information:</w:t>
      </w:r>
    </w:p>
    <w:tbl>
      <w:tblPr>
        <w:tblW w:w="9972" w:type="dxa"/>
        <w:jc w:val="start"/>
        <w:tblInd w:w="0" w:type="dxa"/>
        <w:tblLayout w:type="fixed"/>
        <w:tblCellMar>
          <w:top w:w="28" w:type="dxa"/>
          <w:start w:w="28" w:type="dxa"/>
          <w:bottom w:w="28" w:type="dxa"/>
          <w:end w:w="28" w:type="dxa"/>
        </w:tblCellMar>
      </w:tblPr>
      <w:tblGrid>
        <w:gridCol w:w="2500"/>
        <w:gridCol w:w="7472"/>
      </w:tblGrid>
      <w:tr>
        <w:trPr>
          <w:tblHeader w:val="true"/>
        </w:trPr>
        <w:tc>
          <w:tcPr>
            <w:tcW w:w="2500" w:type="dxa"/>
            <w:tcBorders/>
            <w:vAlign w:val="center"/>
          </w:tcPr>
          <w:p>
            <w:pPr>
              <w:pStyle w:val="TableHeading"/>
              <w:suppressLineNumbers/>
              <w:bidi w:val="0"/>
              <w:jc w:val="center"/>
              <w:rPr/>
            </w:pPr>
            <w:r>
              <w:rPr/>
              <w:t>Predictor category</w:t>
            </w:r>
          </w:p>
        </w:tc>
        <w:tc>
          <w:tcPr>
            <w:tcW w:w="7472" w:type="dxa"/>
            <w:tcBorders/>
            <w:vAlign w:val="center"/>
          </w:tcPr>
          <w:p>
            <w:pPr>
              <w:pStyle w:val="TableHeading"/>
              <w:suppressLineNumbers/>
              <w:bidi w:val="0"/>
              <w:jc w:val="center"/>
              <w:rPr/>
            </w:pPr>
            <w:r>
              <w:rPr/>
              <w:t>Examples</w:t>
            </w:r>
          </w:p>
        </w:tc>
      </w:tr>
      <w:tr>
        <w:trPr/>
        <w:tc>
          <w:tcPr>
            <w:tcW w:w="2500" w:type="dxa"/>
            <w:tcBorders/>
            <w:vAlign w:val="center"/>
          </w:tcPr>
          <w:p>
            <w:pPr>
              <w:pStyle w:val="TableContents"/>
              <w:widowControl w:val="false"/>
              <w:suppressLineNumbers/>
              <w:bidi w:val="0"/>
              <w:jc w:val="start"/>
              <w:rPr/>
            </w:pPr>
            <w:r>
              <w:rPr/>
              <w:t>Climatic factors</w:t>
            </w:r>
          </w:p>
        </w:tc>
        <w:tc>
          <w:tcPr>
            <w:tcW w:w="7472" w:type="dxa"/>
            <w:tcBorders/>
            <w:vAlign w:val="center"/>
          </w:tcPr>
          <w:p>
            <w:pPr>
              <w:pStyle w:val="TableContents"/>
              <w:widowControl w:val="false"/>
              <w:suppressLineNumbers/>
              <w:bidi w:val="0"/>
              <w:jc w:val="start"/>
              <w:rPr/>
            </w:pPr>
            <w:r>
              <w:rPr/>
              <w:t>Seasonal rainfall, rainy days, rainfall variability, rainfall anomaly, and maximum dry-spell duration</w:t>
            </w:r>
          </w:p>
        </w:tc>
      </w:tr>
      <w:tr>
        <w:trPr/>
        <w:tc>
          <w:tcPr>
            <w:tcW w:w="2500" w:type="dxa"/>
            <w:tcBorders/>
            <w:vAlign w:val="center"/>
          </w:tcPr>
          <w:p>
            <w:pPr>
              <w:pStyle w:val="TableContents"/>
              <w:widowControl w:val="false"/>
              <w:suppressLineNumbers/>
              <w:bidi w:val="0"/>
              <w:jc w:val="start"/>
              <w:rPr/>
            </w:pPr>
            <w:r>
              <w:rPr/>
              <w:t>Farm-management factors</w:t>
            </w:r>
          </w:p>
        </w:tc>
        <w:tc>
          <w:tcPr>
            <w:tcW w:w="7472" w:type="dxa"/>
            <w:tcBorders/>
            <w:vAlign w:val="center"/>
          </w:tcPr>
          <w:p>
            <w:pPr>
              <w:pStyle w:val="TableContents"/>
              <w:widowControl w:val="false"/>
              <w:suppressLineNumbers/>
              <w:bidi w:val="0"/>
              <w:jc w:val="start"/>
              <w:rPr/>
            </w:pPr>
            <w:r>
              <w:rPr/>
              <w:t>Plot size, fertilizer intensity, seed type, labour use, pesticide use, extension access, and irrigation</w:t>
            </w:r>
          </w:p>
        </w:tc>
      </w:tr>
      <w:tr>
        <w:trPr/>
        <w:tc>
          <w:tcPr>
            <w:tcW w:w="2500" w:type="dxa"/>
            <w:tcBorders/>
            <w:vAlign w:val="center"/>
          </w:tcPr>
          <w:p>
            <w:pPr>
              <w:pStyle w:val="TableContents"/>
              <w:widowControl w:val="false"/>
              <w:suppressLineNumbers/>
              <w:bidi w:val="0"/>
              <w:jc w:val="start"/>
              <w:rPr/>
            </w:pPr>
            <w:r>
              <w:rPr/>
              <w:t>Household-resource factors</w:t>
            </w:r>
          </w:p>
        </w:tc>
        <w:tc>
          <w:tcPr>
            <w:tcW w:w="7472" w:type="dxa"/>
            <w:tcBorders/>
            <w:vAlign w:val="center"/>
          </w:tcPr>
          <w:p>
            <w:pPr>
              <w:pStyle w:val="TableContents"/>
              <w:widowControl w:val="false"/>
              <w:suppressLineNumbers/>
              <w:bidi w:val="0"/>
              <w:jc w:val="start"/>
              <w:rPr/>
            </w:pPr>
            <w:r>
              <w:rPr/>
              <w:t>Household size, education, landholding, livestock ownership, productive assets, and access to agricultural services</w:t>
            </w:r>
          </w:p>
        </w:tc>
      </w:tr>
    </w:tbl>
    <w:p>
      <w:pPr>
        <w:pStyle w:val="BodyText"/>
        <w:bidi w:val="0"/>
        <w:jc w:val="start"/>
        <w:rPr/>
      </w:pPr>
      <w:r>
        <w:rPr/>
        <w:t>The dependent variable will be:</w:t>
      </w:r>
    </w:p>
    <w:p>
      <w:pPr>
        <w:pStyle w:val="BodyText"/>
        <w:bidi w:val="0"/>
        <w:jc w:val="start"/>
        <w:rPr/>
      </w:pPr>
      <w:r>
        <w:rPr/>
        <w:t>[</w:t>
        <w:br/>
        <w:t>\text{Maize yield in kg/ha}</w:t>
        <w:br/>
        <w:t>]</w:t>
      </w:r>
    </w:p>
    <w:p>
      <w:pPr>
        <w:pStyle w:val="BodyText"/>
        <w:bidi w:val="0"/>
        <w:jc w:val="start"/>
        <w:rPr/>
      </w:pPr>
      <w:r>
        <w:rPr/>
        <w:t>The computational process will follow this framework:</w:t>
      </w:r>
    </w:p>
    <w:p>
      <w:pPr>
        <w:pStyle w:val="PreformattedText"/>
        <w:bidi w:val="0"/>
        <w:spacing w:lineRule="auto" w:line="276" w:before="0" w:after="140"/>
        <w:jc w:val="start"/>
        <w:rPr/>
      </w:pPr>
      <w:r>
        <w:rPr>
          <w:rStyle w:val="SourceText"/>
        </w:rPr>
        <w:t>Online secondary data</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Data acquisition and harmonisation</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Missing-value treatment, unit conversion and standardisation</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Exploratory data analysis and outlier assessment</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PCA extraction and interpretation</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Three feature representations</w:t>
      </w:r>
    </w:p>
    <w:p>
      <w:pPr>
        <w:pStyle w:val="PreformattedText"/>
        <w:bidi w:val="0"/>
        <w:spacing w:lineRule="auto" w:line="276" w:before="0" w:after="140"/>
        <w:jc w:val="start"/>
        <w:rPr/>
      </w:pPr>
      <w:r>
        <w:rPr>
          <w:rStyle w:val="SourceText"/>
        </w:rPr>
        <w:t xml:space="preserve">  ├── </w:t>
      </w:r>
      <w:r>
        <w:rPr>
          <w:rStyle w:val="SourceText"/>
        </w:rPr>
        <w:t>Raw features</w:t>
      </w:r>
    </w:p>
    <w:p>
      <w:pPr>
        <w:pStyle w:val="PreformattedText"/>
        <w:bidi w:val="0"/>
        <w:spacing w:lineRule="auto" w:line="276" w:before="0" w:after="140"/>
        <w:jc w:val="start"/>
        <w:rPr/>
      </w:pPr>
      <w:r>
        <w:rPr>
          <w:rStyle w:val="SourceText"/>
        </w:rPr>
        <w:t xml:space="preserve">  ├── </w:t>
      </w:r>
      <w:r>
        <w:rPr>
          <w:rStyle w:val="SourceText"/>
        </w:rPr>
        <w:t>PCA-reduced features</w:t>
      </w:r>
    </w:p>
    <w:p>
      <w:pPr>
        <w:pStyle w:val="PreformattedText"/>
        <w:bidi w:val="0"/>
        <w:spacing w:lineRule="auto" w:line="276" w:before="0" w:after="140"/>
        <w:jc w:val="start"/>
        <w:rPr/>
      </w:pPr>
      <w:r>
        <w:rPr>
          <w:rStyle w:val="SourceText"/>
        </w:rPr>
        <w:t xml:space="preserve">  └── </w:t>
      </w:r>
      <w:r>
        <w:rPr>
          <w:rStyle w:val="SourceText"/>
        </w:rPr>
        <w:t>PCA plus non-PCA contextual features</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OLS, Ridge, Random Forest and XGBoost</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Five-fold cross-validation</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RMSE and R² comparison</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Computational proof-of-concept model</w:t>
      </w:r>
    </w:p>
    <w:p>
      <w:pPr>
        <w:pStyle w:val="PreformattedText"/>
        <w:bidi w:val="0"/>
        <w:spacing w:lineRule="auto" w:line="276" w:before="0" w:after="140"/>
        <w:jc w:val="start"/>
        <w:rPr/>
      </w:pPr>
      <w:r>
        <w:rPr>
          <w:rStyle w:val="SourceText"/>
        </w:rPr>
        <w:t xml:space="preserve">        ↓</w:t>
      </w:r>
    </w:p>
    <w:p>
      <w:pPr>
        <w:pStyle w:val="PreformattedText"/>
        <w:bidi w:val="0"/>
        <w:spacing w:lineRule="auto" w:line="276" w:before="0" w:after="140"/>
        <w:jc w:val="start"/>
        <w:rPr/>
      </w:pPr>
      <w:r>
        <w:rPr>
          <w:rStyle w:val="SourceText"/>
        </w:rPr>
        <w:t>Recommendation on future field validation</w:t>
      </w:r>
    </w:p>
    <w:p>
      <w:pPr>
        <w:pStyle w:val="BodyText"/>
        <w:bidi w:val="0"/>
        <w:jc w:val="start"/>
        <w:rPr/>
      </w:pPr>
      <w:r>
        <w:rPr/>
        <w:t>The future field-validation stage falls outside the current study.</w:t>
      </w:r>
    </w:p>
    <w:p>
      <w:pPr>
        <w:pStyle w:val="Heading2"/>
        <w:bidi w:val="0"/>
        <w:spacing w:lineRule="auto" w:line="276" w:before="0" w:after="140"/>
        <w:jc w:val="start"/>
        <w:rPr/>
      </w:pPr>
      <w:r>
        <w:rPr/>
        <w:t>12. Methodology</w:t>
      </w:r>
    </w:p>
    <w:p>
      <w:pPr>
        <w:pStyle w:val="Heading3"/>
        <w:bidi w:val="0"/>
        <w:spacing w:lineRule="auto" w:line="276" w:before="0" w:after="140"/>
        <w:jc w:val="start"/>
        <w:rPr/>
      </w:pPr>
      <w:r>
        <w:rPr/>
        <w:t>12.1 Research design</w:t>
      </w:r>
    </w:p>
    <w:p>
      <w:pPr>
        <w:pStyle w:val="BodyText"/>
        <w:bidi w:val="0"/>
        <w:jc w:val="start"/>
        <w:rPr/>
      </w:pPr>
      <w:r>
        <w:rPr/>
        <w:t xml:space="preserve">The study will use a </w:t>
      </w:r>
      <w:r>
        <w:rPr>
          <w:rStyle w:val="Strong"/>
        </w:rPr>
        <w:t>quantitative secondary-data research design</w:t>
      </w:r>
      <w:r>
        <w:rPr/>
        <w:t xml:space="preserve"> incorporating exploratory, mathematical, and predictive analysis.</w:t>
      </w:r>
    </w:p>
    <w:p>
      <w:pPr>
        <w:pStyle w:val="BodyText"/>
        <w:bidi w:val="0"/>
        <w:jc w:val="start"/>
        <w:rPr/>
      </w:pPr>
      <w:r>
        <w:rPr/>
        <w:t>It will have three connected stages:</w:t>
      </w:r>
    </w:p>
    <w:p>
      <w:pPr>
        <w:pStyle w:val="BodyText"/>
        <w:numPr>
          <w:ilvl w:val="0"/>
          <w:numId w:val="7"/>
        </w:numPr>
        <w:tabs>
          <w:tab w:val="clear" w:pos="709"/>
          <w:tab w:val="left" w:pos="709" w:leader="none"/>
        </w:tabs>
        <w:bidi w:val="0"/>
        <w:ind w:hanging="283" w:start="709"/>
        <w:jc w:val="start"/>
        <w:rPr/>
      </w:pPr>
      <w:r>
        <w:rPr/>
        <w:t>Secondary-data acquisition, integration, cleaning, and exploration.</w:t>
      </w:r>
    </w:p>
    <w:p>
      <w:pPr>
        <w:pStyle w:val="BodyText"/>
        <w:numPr>
          <w:ilvl w:val="0"/>
          <w:numId w:val="7"/>
        </w:numPr>
        <w:tabs>
          <w:tab w:val="clear" w:pos="709"/>
          <w:tab w:val="left" w:pos="709" w:leader="none"/>
        </w:tabs>
        <w:bidi w:val="0"/>
        <w:ind w:hanging="283" w:start="709"/>
        <w:jc w:val="start"/>
        <w:rPr/>
      </w:pPr>
      <w:r>
        <w:rPr/>
        <w:t>Mathematical verification, application, and interpretation of PCA.</w:t>
      </w:r>
    </w:p>
    <w:p>
      <w:pPr>
        <w:pStyle w:val="BodyText"/>
        <w:numPr>
          <w:ilvl w:val="0"/>
          <w:numId w:val="7"/>
        </w:numPr>
        <w:tabs>
          <w:tab w:val="clear" w:pos="709"/>
          <w:tab w:val="left" w:pos="709" w:leader="none"/>
        </w:tabs>
        <w:bidi w:val="0"/>
        <w:ind w:hanging="283" w:start="709"/>
        <w:jc w:val="start"/>
        <w:rPr/>
      </w:pPr>
      <w:r>
        <w:rPr/>
        <w:t>Development and comparison of maize-yield prediction models.</w:t>
      </w:r>
    </w:p>
    <w:p>
      <w:pPr>
        <w:pStyle w:val="Heading3"/>
        <w:bidi w:val="0"/>
        <w:spacing w:lineRule="auto" w:line="276" w:before="0" w:after="140"/>
        <w:jc w:val="start"/>
        <w:rPr/>
      </w:pPr>
      <w:r>
        <w:rPr/>
        <w:t>12.2 Data sources</w:t>
      </w:r>
    </w:p>
    <w:p>
      <w:pPr>
        <w:pStyle w:val="Heading4"/>
        <w:bidi w:val="0"/>
        <w:spacing w:lineRule="auto" w:line="276" w:before="0" w:after="140"/>
        <w:jc w:val="start"/>
        <w:rPr/>
      </w:pPr>
      <w:r>
        <w:rPr/>
        <w:t>Uganda National Panel Survey</w:t>
      </w:r>
    </w:p>
    <w:p>
      <w:pPr>
        <w:pStyle w:val="BodyText"/>
        <w:bidi w:val="0"/>
        <w:jc w:val="start"/>
        <w:rPr/>
      </w:pPr>
      <w:r>
        <w:rPr/>
        <w:t>UNPS will be the primary source of household-, parcel-, plot-, crop-, input-, and production-related variables. The data will be accessed from the World Bank Microdata Library subject to the applicable registration and data-use conditions.</w:t>
      </w:r>
    </w:p>
    <w:p>
      <w:pPr>
        <w:pStyle w:val="Heading4"/>
        <w:bidi w:val="0"/>
        <w:spacing w:lineRule="auto" w:line="276" w:before="0" w:after="140"/>
        <w:jc w:val="start"/>
        <w:rPr/>
      </w:pPr>
      <w:r>
        <w:rPr/>
        <w:t>CHIRPS rainfall data</w:t>
      </w:r>
    </w:p>
    <w:p>
      <w:pPr>
        <w:pStyle w:val="BodyText"/>
        <w:bidi w:val="0"/>
        <w:jc w:val="start"/>
        <w:rPr/>
      </w:pPr>
      <w:r>
        <w:rPr/>
        <w:t>Daily CHIRPS rainfall data will be obtained through Google Earth Engine. It will be matched to the available anonymised geographical locations or to an appropriate geographic unit and agricultural season.</w:t>
      </w:r>
    </w:p>
    <w:p>
      <w:pPr>
        <w:pStyle w:val="BodyText"/>
        <w:bidi w:val="0"/>
        <w:jc w:val="start"/>
        <w:rPr/>
      </w:pPr>
      <w:r>
        <w:rPr/>
        <w:t>The following rainfall variables may be generated:</w:t>
      </w:r>
    </w:p>
    <w:p>
      <w:pPr>
        <w:pStyle w:val="BodyText"/>
        <w:numPr>
          <w:ilvl w:val="0"/>
          <w:numId w:val="8"/>
        </w:numPr>
        <w:tabs>
          <w:tab w:val="clear" w:pos="709"/>
          <w:tab w:val="left" w:pos="709" w:leader="none"/>
        </w:tabs>
        <w:bidi w:val="0"/>
        <w:ind w:hanging="283" w:start="709"/>
        <w:jc w:val="start"/>
        <w:rPr/>
      </w:pPr>
      <w:r>
        <w:rPr/>
        <w:t>Seasonal rainfall total.</w:t>
      </w:r>
    </w:p>
    <w:p>
      <w:pPr>
        <w:pStyle w:val="BodyText"/>
        <w:numPr>
          <w:ilvl w:val="0"/>
          <w:numId w:val="8"/>
        </w:numPr>
        <w:tabs>
          <w:tab w:val="clear" w:pos="709"/>
          <w:tab w:val="left" w:pos="709" w:leader="none"/>
        </w:tabs>
        <w:bidi w:val="0"/>
        <w:ind w:hanging="283" w:start="709"/>
        <w:jc w:val="start"/>
        <w:rPr/>
      </w:pPr>
      <w:r>
        <w:rPr/>
        <w:t>Number of rainy days.</w:t>
      </w:r>
    </w:p>
    <w:p>
      <w:pPr>
        <w:pStyle w:val="BodyText"/>
        <w:numPr>
          <w:ilvl w:val="0"/>
          <w:numId w:val="8"/>
        </w:numPr>
        <w:tabs>
          <w:tab w:val="clear" w:pos="709"/>
          <w:tab w:val="left" w:pos="709" w:leader="none"/>
        </w:tabs>
        <w:bidi w:val="0"/>
        <w:ind w:hanging="283" w:start="709"/>
        <w:jc w:val="start"/>
        <w:rPr/>
      </w:pPr>
      <w:r>
        <w:rPr/>
        <w:t>Longest consecutive dry spell.</w:t>
      </w:r>
    </w:p>
    <w:p>
      <w:pPr>
        <w:pStyle w:val="BodyText"/>
        <w:numPr>
          <w:ilvl w:val="0"/>
          <w:numId w:val="8"/>
        </w:numPr>
        <w:tabs>
          <w:tab w:val="clear" w:pos="709"/>
          <w:tab w:val="left" w:pos="709" w:leader="none"/>
        </w:tabs>
        <w:bidi w:val="0"/>
        <w:ind w:hanging="283" w:start="709"/>
        <w:jc w:val="start"/>
        <w:rPr/>
      </w:pPr>
      <w:r>
        <w:rPr/>
        <w:t>Rainfall coefficient of variation.</w:t>
      </w:r>
    </w:p>
    <w:p>
      <w:pPr>
        <w:pStyle w:val="BodyText"/>
        <w:numPr>
          <w:ilvl w:val="0"/>
          <w:numId w:val="8"/>
        </w:numPr>
        <w:tabs>
          <w:tab w:val="clear" w:pos="709"/>
          <w:tab w:val="left" w:pos="709" w:leader="none"/>
        </w:tabs>
        <w:bidi w:val="0"/>
        <w:ind w:hanging="283" w:start="709"/>
        <w:jc w:val="start"/>
        <w:rPr/>
      </w:pPr>
      <w:r>
        <w:rPr/>
        <w:t>Seasonal rainfall anomaly.</w:t>
      </w:r>
    </w:p>
    <w:p>
      <w:pPr>
        <w:pStyle w:val="Heading4"/>
        <w:bidi w:val="0"/>
        <w:spacing w:lineRule="auto" w:line="276" w:before="0" w:after="140"/>
        <w:jc w:val="start"/>
        <w:rPr/>
      </w:pPr>
      <w:r>
        <w:rPr/>
        <w:t>UBOS Annual Agricultural Survey</w:t>
      </w:r>
    </w:p>
    <w:p>
      <w:pPr>
        <w:pStyle w:val="BodyText"/>
        <w:bidi w:val="0"/>
        <w:jc w:val="start"/>
        <w:rPr/>
      </w:pPr>
      <w:r>
        <w:rPr/>
        <w:t>AAS tables will provide official benchmarks such as maize area, production, yield, input use, and agricultural-household characteristics.</w:t>
      </w:r>
    </w:p>
    <w:p>
      <w:pPr>
        <w:pStyle w:val="BodyText"/>
        <w:bidi w:val="0"/>
        <w:jc w:val="start"/>
        <w:rPr/>
      </w:pPr>
      <w:r>
        <w:rPr/>
        <w:t>Because AAS and UNPS are separate surveys, no direct household-to-household merge will be attempted unless official documentation provides a valid common identifier. Aggregate AAS values may be used for contextual comparison at a compatible regional, agricultural-zone, or seasonal level.</w:t>
      </w:r>
    </w:p>
    <w:p>
      <w:pPr>
        <w:pStyle w:val="Heading3"/>
        <w:bidi w:val="0"/>
        <w:spacing w:lineRule="auto" w:line="276" w:before="0" w:after="140"/>
        <w:jc w:val="start"/>
        <w:rPr/>
      </w:pPr>
      <w:r>
        <w:rPr/>
        <w:t>12.3 Study population</w:t>
      </w:r>
    </w:p>
    <w:p>
      <w:pPr>
        <w:pStyle w:val="BodyText"/>
        <w:bidi w:val="0"/>
        <w:jc w:val="start"/>
        <w:rPr/>
      </w:pPr>
      <w:r>
        <w:rPr/>
        <w:t>The conceptual study population will consist of maize-growing households and maize plots represented within the selected Ugandan secondary datasets.</w:t>
      </w:r>
    </w:p>
    <w:p>
      <w:pPr>
        <w:pStyle w:val="Heading3"/>
        <w:bidi w:val="0"/>
        <w:spacing w:lineRule="auto" w:line="276" w:before="0" w:after="140"/>
        <w:jc w:val="start"/>
        <w:rPr/>
      </w:pPr>
      <w:r>
        <w:rPr/>
        <w:t>12.4 Unit of analysis</w:t>
      </w:r>
    </w:p>
    <w:p>
      <w:pPr>
        <w:pStyle w:val="BodyText"/>
        <w:bidi w:val="0"/>
        <w:jc w:val="start"/>
        <w:rPr/>
      </w:pPr>
      <w:r>
        <w:rPr/>
        <w:t>The preferred unit of analysis will be:</w:t>
      </w:r>
    </w:p>
    <w:p>
      <w:pPr>
        <w:pStyle w:val="BlockQuotation"/>
        <w:bidi w:val="0"/>
        <w:spacing w:lineRule="auto" w:line="276" w:before="0" w:after="140"/>
        <w:jc w:val="start"/>
        <w:rPr/>
      </w:pPr>
      <w:r>
        <w:rPr/>
        <w:t>One maize plot during one agricultural season.</w:t>
      </w:r>
    </w:p>
    <w:p>
      <w:pPr>
        <w:pStyle w:val="BodyText"/>
        <w:bidi w:val="0"/>
        <w:jc w:val="start"/>
        <w:rPr/>
      </w:pPr>
      <w:r>
        <w:rPr/>
        <w:t>A unique analytical identifier may be constructed using:</w:t>
      </w:r>
    </w:p>
    <w:p>
      <w:pPr>
        <w:pStyle w:val="PreformattedText"/>
        <w:bidi w:val="0"/>
        <w:spacing w:lineRule="auto" w:line="276" w:before="0" w:after="140"/>
        <w:jc w:val="start"/>
        <w:rPr/>
      </w:pPr>
      <w:r>
        <w:rPr>
          <w:rStyle w:val="SourceText"/>
        </w:rPr>
        <w:t>Household ID + parcel ID + plot ID + crop ID + season</w:t>
      </w:r>
    </w:p>
    <w:p>
      <w:pPr>
        <w:pStyle w:val="BodyText"/>
        <w:bidi w:val="0"/>
        <w:jc w:val="start"/>
        <w:rPr/>
      </w:pPr>
      <w:r>
        <w:rPr/>
        <w:t>The identifiers will be anonymised or replaced before any public release.</w:t>
      </w:r>
    </w:p>
    <w:p>
      <w:pPr>
        <w:pStyle w:val="Heading3"/>
        <w:bidi w:val="0"/>
        <w:spacing w:lineRule="auto" w:line="276" w:before="0" w:after="140"/>
        <w:jc w:val="start"/>
        <w:rPr/>
      </w:pPr>
      <w:r>
        <w:rPr/>
        <w:t>12.5 Sample selection and anticipated sample size</w:t>
      </w:r>
    </w:p>
    <w:p>
      <w:pPr>
        <w:pStyle w:val="BodyText"/>
        <w:bidi w:val="0"/>
        <w:jc w:val="start"/>
        <w:rPr/>
      </w:pPr>
      <w:r>
        <w:rPr/>
        <w:t>All records meeting the eligibility criteria within the selected districts will be considered.</w:t>
      </w:r>
    </w:p>
    <w:p>
      <w:pPr>
        <w:pStyle w:val="BodyText"/>
        <w:bidi w:val="0"/>
        <w:jc w:val="start"/>
        <w:rPr/>
      </w:pPr>
      <w:r>
        <w:rPr/>
        <w:t>A record will be eligible where it has:</w:t>
      </w:r>
    </w:p>
    <w:p>
      <w:pPr>
        <w:pStyle w:val="BodyText"/>
        <w:numPr>
          <w:ilvl w:val="0"/>
          <w:numId w:val="9"/>
        </w:numPr>
        <w:tabs>
          <w:tab w:val="clear" w:pos="709"/>
          <w:tab w:val="left" w:pos="709" w:leader="none"/>
        </w:tabs>
        <w:bidi w:val="0"/>
        <w:ind w:hanging="283" w:start="709"/>
        <w:jc w:val="start"/>
        <w:rPr/>
      </w:pPr>
      <w:r>
        <w:rPr/>
        <w:t>A confirmed maize crop record.</w:t>
      </w:r>
    </w:p>
    <w:p>
      <w:pPr>
        <w:pStyle w:val="BodyText"/>
        <w:numPr>
          <w:ilvl w:val="0"/>
          <w:numId w:val="9"/>
        </w:numPr>
        <w:tabs>
          <w:tab w:val="clear" w:pos="709"/>
          <w:tab w:val="left" w:pos="709" w:leader="none"/>
        </w:tabs>
        <w:bidi w:val="0"/>
        <w:ind w:hanging="283" w:start="709"/>
        <w:jc w:val="start"/>
        <w:rPr/>
      </w:pPr>
      <w:r>
        <w:rPr/>
        <w:t>A valid season or cultivation period.</w:t>
      </w:r>
    </w:p>
    <w:p>
      <w:pPr>
        <w:pStyle w:val="BodyText"/>
        <w:numPr>
          <w:ilvl w:val="0"/>
          <w:numId w:val="9"/>
        </w:numPr>
        <w:tabs>
          <w:tab w:val="clear" w:pos="709"/>
          <w:tab w:val="left" w:pos="709" w:leader="none"/>
        </w:tabs>
        <w:bidi w:val="0"/>
        <w:ind w:hanging="283" w:start="709"/>
        <w:jc w:val="start"/>
        <w:rPr/>
      </w:pPr>
      <w:r>
        <w:rPr/>
        <w:t>A valid harvested quantity.</w:t>
      </w:r>
    </w:p>
    <w:p>
      <w:pPr>
        <w:pStyle w:val="BodyText"/>
        <w:numPr>
          <w:ilvl w:val="0"/>
          <w:numId w:val="9"/>
        </w:numPr>
        <w:tabs>
          <w:tab w:val="clear" w:pos="709"/>
          <w:tab w:val="left" w:pos="709" w:leader="none"/>
        </w:tabs>
        <w:bidi w:val="0"/>
        <w:ind w:hanging="283" w:start="709"/>
        <w:jc w:val="start"/>
        <w:rPr/>
      </w:pPr>
      <w:r>
        <w:rPr/>
        <w:t>A valid harvested or cultivated area.</w:t>
      </w:r>
    </w:p>
    <w:p>
      <w:pPr>
        <w:pStyle w:val="BodyText"/>
        <w:numPr>
          <w:ilvl w:val="0"/>
          <w:numId w:val="9"/>
        </w:numPr>
        <w:tabs>
          <w:tab w:val="clear" w:pos="709"/>
          <w:tab w:val="left" w:pos="709" w:leader="none"/>
        </w:tabs>
        <w:bidi w:val="0"/>
        <w:ind w:hanging="283" w:start="709"/>
        <w:jc w:val="start"/>
        <w:rPr/>
      </w:pPr>
      <w:r>
        <w:rPr/>
        <w:t>Sufficient predictor information for analysis.</w:t>
      </w:r>
    </w:p>
    <w:p>
      <w:pPr>
        <w:pStyle w:val="BodyText"/>
        <w:numPr>
          <w:ilvl w:val="0"/>
          <w:numId w:val="9"/>
        </w:numPr>
        <w:tabs>
          <w:tab w:val="clear" w:pos="709"/>
          <w:tab w:val="left" w:pos="709" w:leader="none"/>
        </w:tabs>
        <w:bidi w:val="0"/>
        <w:ind w:hanging="283" w:start="709"/>
        <w:jc w:val="start"/>
        <w:rPr/>
      </w:pPr>
      <w:r>
        <w:rPr/>
        <w:t>A valid geographic identifier for rainfall matching.</w:t>
      </w:r>
    </w:p>
    <w:p>
      <w:pPr>
        <w:pStyle w:val="BodyText"/>
        <w:bidi w:val="0"/>
        <w:jc w:val="start"/>
        <w:rPr/>
      </w:pPr>
      <w:r>
        <w:rPr/>
        <w:t>The study will seek a minimum of 100 usable observations and at least eight predictor variables. A larger number of observations will be retained where available because Random Forest and XGBoost require sufficient data to avoid unstable performance.</w:t>
      </w:r>
    </w:p>
    <w:p>
      <w:pPr>
        <w:pStyle w:val="Heading3"/>
        <w:bidi w:val="0"/>
        <w:spacing w:lineRule="auto" w:line="276" w:before="0" w:after="140"/>
        <w:jc w:val="start"/>
        <w:rPr/>
      </w:pPr>
      <w:r>
        <w:rPr/>
        <w:t>12.6 Study variables</w:t>
      </w:r>
    </w:p>
    <w:p>
      <w:pPr>
        <w:pStyle w:val="Heading4"/>
        <w:bidi w:val="0"/>
        <w:spacing w:lineRule="auto" w:line="276" w:before="0" w:after="140"/>
        <w:jc w:val="start"/>
        <w:rPr/>
      </w:pPr>
      <w:r>
        <w:rPr/>
        <w:t>Dependent variable</w:t>
      </w:r>
    </w:p>
    <w:p>
      <w:pPr>
        <w:pStyle w:val="BodyText"/>
        <w:bidi w:val="0"/>
        <w:jc w:val="start"/>
        <w:rPr/>
      </w:pPr>
      <w:r>
        <w:rPr/>
        <w:t>Maize yield will be calculated as:</w:t>
      </w:r>
    </w:p>
    <w:p>
      <w:pPr>
        <w:pStyle w:val="Heading1"/>
        <w:bidi w:val="0"/>
        <w:spacing w:lineRule="auto" w:line="276" w:before="0" w:after="140"/>
        <w:jc w:val="start"/>
        <w:rPr/>
      </w:pPr>
      <w:r>
        <w:rPr/>
        <w:t>[</w:t>
        <w:br/>
        <w:t>\text{Yield}_{i}</w:t>
      </w:r>
    </w:p>
    <w:p>
      <w:pPr>
        <w:pStyle w:val="BodyText"/>
        <w:bidi w:val="0"/>
        <w:jc w:val="start"/>
        <w:rPr/>
      </w:pPr>
      <w:r>
        <w:rPr/>
        <w:t>\frac{\text{Harvest quantity in kilograms}</w:t>
      </w:r>
      <w:r>
        <w:rPr>
          <w:rStyle w:val="Emphasis"/>
        </w:rPr>
        <w:t>{i}}</w:t>
        <w:br/>
        <w:t>{\text{Harvested maize area in hectares}</w:t>
      </w:r>
      <w:r>
        <w:rPr/>
        <w:t>{i}}</w:t>
        <w:br/>
        <w:t>]</w:t>
      </w:r>
    </w:p>
    <w:p>
      <w:pPr>
        <w:pStyle w:val="BodyText"/>
        <w:bidi w:val="0"/>
        <w:jc w:val="start"/>
        <w:rPr/>
      </w:pPr>
      <w:r>
        <w:rPr/>
        <w:t>Local units will be converted to kilograms and hectares using documented conversion rules.</w:t>
      </w:r>
    </w:p>
    <w:p>
      <w:pPr>
        <w:pStyle w:val="Heading4"/>
        <w:bidi w:val="0"/>
        <w:spacing w:lineRule="auto" w:line="276" w:before="0" w:after="140"/>
        <w:jc w:val="start"/>
        <w:rPr/>
      </w:pPr>
      <w:r>
        <w:rPr/>
        <w:t>Predictor variables</w:t>
      </w:r>
    </w:p>
    <w:p>
      <w:pPr>
        <w:pStyle w:val="BodyText"/>
        <w:bidi w:val="0"/>
        <w:jc w:val="start"/>
        <w:rPr/>
      </w:pPr>
      <w:r>
        <w:rPr/>
        <w:t>The final predictors will depend on data availability and quality. Candidate variables include:</w:t>
      </w:r>
    </w:p>
    <w:p>
      <w:pPr>
        <w:pStyle w:val="BodyText"/>
        <w:numPr>
          <w:ilvl w:val="0"/>
          <w:numId w:val="10"/>
        </w:numPr>
        <w:tabs>
          <w:tab w:val="clear" w:pos="709"/>
          <w:tab w:val="left" w:pos="709" w:leader="none"/>
        </w:tabs>
        <w:bidi w:val="0"/>
        <w:ind w:hanging="283" w:start="709"/>
        <w:jc w:val="start"/>
        <w:rPr/>
      </w:pPr>
      <w:r>
        <w:rPr/>
        <w:t>Seasonal rainfall total.</w:t>
      </w:r>
    </w:p>
    <w:p>
      <w:pPr>
        <w:pStyle w:val="BodyText"/>
        <w:numPr>
          <w:ilvl w:val="0"/>
          <w:numId w:val="10"/>
        </w:numPr>
        <w:tabs>
          <w:tab w:val="clear" w:pos="709"/>
          <w:tab w:val="left" w:pos="709" w:leader="none"/>
        </w:tabs>
        <w:bidi w:val="0"/>
        <w:ind w:hanging="283" w:start="709"/>
        <w:jc w:val="start"/>
        <w:rPr/>
      </w:pPr>
      <w:r>
        <w:rPr/>
        <w:t>Number of rainy days.</w:t>
      </w:r>
    </w:p>
    <w:p>
      <w:pPr>
        <w:pStyle w:val="BodyText"/>
        <w:numPr>
          <w:ilvl w:val="0"/>
          <w:numId w:val="10"/>
        </w:numPr>
        <w:tabs>
          <w:tab w:val="clear" w:pos="709"/>
          <w:tab w:val="left" w:pos="709" w:leader="none"/>
        </w:tabs>
        <w:bidi w:val="0"/>
        <w:ind w:hanging="283" w:start="709"/>
        <w:jc w:val="start"/>
        <w:rPr/>
      </w:pPr>
      <w:r>
        <w:rPr/>
        <w:t>Longest dry spell.</w:t>
      </w:r>
    </w:p>
    <w:p>
      <w:pPr>
        <w:pStyle w:val="BodyText"/>
        <w:numPr>
          <w:ilvl w:val="0"/>
          <w:numId w:val="10"/>
        </w:numPr>
        <w:tabs>
          <w:tab w:val="clear" w:pos="709"/>
          <w:tab w:val="left" w:pos="709" w:leader="none"/>
        </w:tabs>
        <w:bidi w:val="0"/>
        <w:ind w:hanging="283" w:start="709"/>
        <w:jc w:val="start"/>
        <w:rPr/>
      </w:pPr>
      <w:r>
        <w:rPr/>
        <w:t>Rainfall variability.</w:t>
      </w:r>
    </w:p>
    <w:p>
      <w:pPr>
        <w:pStyle w:val="BodyText"/>
        <w:numPr>
          <w:ilvl w:val="0"/>
          <w:numId w:val="10"/>
        </w:numPr>
        <w:tabs>
          <w:tab w:val="clear" w:pos="709"/>
          <w:tab w:val="left" w:pos="709" w:leader="none"/>
        </w:tabs>
        <w:bidi w:val="0"/>
        <w:ind w:hanging="283" w:start="709"/>
        <w:jc w:val="start"/>
        <w:rPr/>
      </w:pPr>
      <w:r>
        <w:rPr/>
        <w:t>Rainfall anomaly.</w:t>
      </w:r>
    </w:p>
    <w:p>
      <w:pPr>
        <w:pStyle w:val="BodyText"/>
        <w:numPr>
          <w:ilvl w:val="0"/>
          <w:numId w:val="10"/>
        </w:numPr>
        <w:tabs>
          <w:tab w:val="clear" w:pos="709"/>
          <w:tab w:val="left" w:pos="709" w:leader="none"/>
        </w:tabs>
        <w:bidi w:val="0"/>
        <w:ind w:hanging="283" w:start="709"/>
        <w:jc w:val="start"/>
        <w:rPr/>
      </w:pPr>
      <w:r>
        <w:rPr/>
        <w:t>Plot area.</w:t>
      </w:r>
    </w:p>
    <w:p>
      <w:pPr>
        <w:pStyle w:val="BodyText"/>
        <w:numPr>
          <w:ilvl w:val="0"/>
          <w:numId w:val="10"/>
        </w:numPr>
        <w:tabs>
          <w:tab w:val="clear" w:pos="709"/>
          <w:tab w:val="left" w:pos="709" w:leader="none"/>
        </w:tabs>
        <w:bidi w:val="0"/>
        <w:ind w:hanging="283" w:start="709"/>
        <w:jc w:val="start"/>
        <w:rPr/>
      </w:pPr>
      <w:r>
        <w:rPr/>
        <w:t>Total household landholding.</w:t>
      </w:r>
    </w:p>
    <w:p>
      <w:pPr>
        <w:pStyle w:val="BodyText"/>
        <w:numPr>
          <w:ilvl w:val="0"/>
          <w:numId w:val="10"/>
        </w:numPr>
        <w:tabs>
          <w:tab w:val="clear" w:pos="709"/>
          <w:tab w:val="left" w:pos="709" w:leader="none"/>
        </w:tabs>
        <w:bidi w:val="0"/>
        <w:ind w:hanging="283" w:start="709"/>
        <w:jc w:val="start"/>
        <w:rPr/>
      </w:pPr>
      <w:r>
        <w:rPr/>
        <w:t>Fertilizer use per hectare.</w:t>
      </w:r>
    </w:p>
    <w:p>
      <w:pPr>
        <w:pStyle w:val="BodyText"/>
        <w:numPr>
          <w:ilvl w:val="0"/>
          <w:numId w:val="10"/>
        </w:numPr>
        <w:tabs>
          <w:tab w:val="clear" w:pos="709"/>
          <w:tab w:val="left" w:pos="709" w:leader="none"/>
        </w:tabs>
        <w:bidi w:val="0"/>
        <w:ind w:hanging="283" w:start="709"/>
        <w:jc w:val="start"/>
        <w:rPr/>
      </w:pPr>
      <w:r>
        <w:rPr/>
        <w:t>Family labour per hectare.</w:t>
      </w:r>
    </w:p>
    <w:p>
      <w:pPr>
        <w:pStyle w:val="BodyText"/>
        <w:numPr>
          <w:ilvl w:val="0"/>
          <w:numId w:val="10"/>
        </w:numPr>
        <w:tabs>
          <w:tab w:val="clear" w:pos="709"/>
          <w:tab w:val="left" w:pos="709" w:leader="none"/>
        </w:tabs>
        <w:bidi w:val="0"/>
        <w:ind w:hanging="283" w:start="709"/>
        <w:jc w:val="start"/>
        <w:rPr/>
      </w:pPr>
      <w:r>
        <w:rPr/>
        <w:t>Hired labour per hectare.</w:t>
      </w:r>
    </w:p>
    <w:p>
      <w:pPr>
        <w:pStyle w:val="BodyText"/>
        <w:numPr>
          <w:ilvl w:val="0"/>
          <w:numId w:val="10"/>
        </w:numPr>
        <w:tabs>
          <w:tab w:val="clear" w:pos="709"/>
          <w:tab w:val="left" w:pos="709" w:leader="none"/>
        </w:tabs>
        <w:bidi w:val="0"/>
        <w:ind w:hanging="283" w:start="709"/>
        <w:jc w:val="start"/>
        <w:rPr/>
      </w:pPr>
      <w:r>
        <w:rPr/>
        <w:t>Household size.</w:t>
      </w:r>
    </w:p>
    <w:p>
      <w:pPr>
        <w:pStyle w:val="BodyText"/>
        <w:numPr>
          <w:ilvl w:val="0"/>
          <w:numId w:val="10"/>
        </w:numPr>
        <w:tabs>
          <w:tab w:val="clear" w:pos="709"/>
          <w:tab w:val="left" w:pos="709" w:leader="none"/>
        </w:tabs>
        <w:bidi w:val="0"/>
        <w:ind w:hanging="283" w:start="709"/>
        <w:jc w:val="start"/>
        <w:rPr/>
      </w:pPr>
      <w:r>
        <w:rPr/>
        <w:t>Education of household head.</w:t>
      </w:r>
    </w:p>
    <w:p>
      <w:pPr>
        <w:pStyle w:val="BodyText"/>
        <w:numPr>
          <w:ilvl w:val="0"/>
          <w:numId w:val="10"/>
        </w:numPr>
        <w:tabs>
          <w:tab w:val="clear" w:pos="709"/>
          <w:tab w:val="left" w:pos="709" w:leader="none"/>
        </w:tabs>
        <w:bidi w:val="0"/>
        <w:ind w:hanging="283" w:start="709"/>
        <w:jc w:val="start"/>
        <w:rPr/>
      </w:pPr>
      <w:r>
        <w:rPr/>
        <w:t>Livestock ownership.</w:t>
      </w:r>
    </w:p>
    <w:p>
      <w:pPr>
        <w:pStyle w:val="BodyText"/>
        <w:numPr>
          <w:ilvl w:val="0"/>
          <w:numId w:val="10"/>
        </w:numPr>
        <w:tabs>
          <w:tab w:val="clear" w:pos="709"/>
          <w:tab w:val="left" w:pos="709" w:leader="none"/>
        </w:tabs>
        <w:bidi w:val="0"/>
        <w:ind w:hanging="283" w:start="709"/>
        <w:jc w:val="start"/>
        <w:rPr/>
      </w:pPr>
      <w:r>
        <w:rPr/>
        <w:t>Improved seed use.</w:t>
      </w:r>
    </w:p>
    <w:p>
      <w:pPr>
        <w:pStyle w:val="BodyText"/>
        <w:numPr>
          <w:ilvl w:val="0"/>
          <w:numId w:val="10"/>
        </w:numPr>
        <w:tabs>
          <w:tab w:val="clear" w:pos="709"/>
          <w:tab w:val="left" w:pos="709" w:leader="none"/>
        </w:tabs>
        <w:bidi w:val="0"/>
        <w:ind w:hanging="283" w:start="709"/>
        <w:jc w:val="start"/>
        <w:rPr/>
      </w:pPr>
      <w:r>
        <w:rPr/>
        <w:t>Pesticide use.</w:t>
      </w:r>
    </w:p>
    <w:p>
      <w:pPr>
        <w:pStyle w:val="BodyText"/>
        <w:numPr>
          <w:ilvl w:val="0"/>
          <w:numId w:val="10"/>
        </w:numPr>
        <w:tabs>
          <w:tab w:val="clear" w:pos="709"/>
          <w:tab w:val="left" w:pos="709" w:leader="none"/>
        </w:tabs>
        <w:bidi w:val="0"/>
        <w:ind w:hanging="283" w:start="709"/>
        <w:jc w:val="start"/>
        <w:rPr/>
      </w:pPr>
      <w:r>
        <w:rPr/>
        <w:t>Irrigation use.</w:t>
      </w:r>
    </w:p>
    <w:p>
      <w:pPr>
        <w:pStyle w:val="BodyText"/>
        <w:numPr>
          <w:ilvl w:val="0"/>
          <w:numId w:val="10"/>
        </w:numPr>
        <w:tabs>
          <w:tab w:val="clear" w:pos="709"/>
          <w:tab w:val="left" w:pos="709" w:leader="none"/>
        </w:tabs>
        <w:bidi w:val="0"/>
        <w:ind w:hanging="283" w:start="709"/>
        <w:jc w:val="start"/>
        <w:rPr/>
      </w:pPr>
      <w:r>
        <w:rPr/>
        <w:t>Extension-service access.</w:t>
      </w:r>
    </w:p>
    <w:p>
      <w:pPr>
        <w:pStyle w:val="BodyText"/>
        <w:numPr>
          <w:ilvl w:val="0"/>
          <w:numId w:val="10"/>
        </w:numPr>
        <w:tabs>
          <w:tab w:val="clear" w:pos="709"/>
          <w:tab w:val="left" w:pos="709" w:leader="none"/>
        </w:tabs>
        <w:bidi w:val="0"/>
        <w:ind w:hanging="283" w:start="709"/>
        <w:jc w:val="start"/>
        <w:rPr/>
      </w:pPr>
      <w:r>
        <w:rPr/>
        <w:t>District or agricultural zone.</w:t>
      </w:r>
    </w:p>
    <w:p>
      <w:pPr>
        <w:pStyle w:val="BodyText"/>
        <w:numPr>
          <w:ilvl w:val="0"/>
          <w:numId w:val="10"/>
        </w:numPr>
        <w:tabs>
          <w:tab w:val="clear" w:pos="709"/>
          <w:tab w:val="left" w:pos="709" w:leader="none"/>
        </w:tabs>
        <w:bidi w:val="0"/>
        <w:ind w:hanging="283" w:start="709"/>
        <w:jc w:val="start"/>
        <w:rPr/>
      </w:pPr>
      <w:r>
        <w:rPr/>
        <w:t>Agricultural season.</w:t>
      </w:r>
    </w:p>
    <w:p>
      <w:pPr>
        <w:pStyle w:val="BodyText"/>
        <w:bidi w:val="0"/>
        <w:jc w:val="start"/>
        <w:rPr/>
      </w:pPr>
      <w:r>
        <w:rPr/>
        <w:t>Maize yield and variables directly used to calculate it will not be included as PCA predictors.</w:t>
      </w:r>
    </w:p>
    <w:p>
      <w:pPr>
        <w:pStyle w:val="Heading3"/>
        <w:bidi w:val="0"/>
        <w:spacing w:lineRule="auto" w:line="276" w:before="0" w:after="140"/>
        <w:jc w:val="start"/>
        <w:rPr/>
      </w:pPr>
      <w:r>
        <w:rPr/>
        <w:t>12.7 Data acquisition and integration</w:t>
      </w:r>
    </w:p>
    <w:p>
      <w:pPr>
        <w:pStyle w:val="BodyText"/>
        <w:bidi w:val="0"/>
        <w:jc w:val="start"/>
        <w:rPr/>
      </w:pPr>
      <w:r>
        <w:rPr/>
        <w:t>The researcher will:</w:t>
      </w:r>
    </w:p>
    <w:p>
      <w:pPr>
        <w:pStyle w:val="BodyText"/>
        <w:numPr>
          <w:ilvl w:val="0"/>
          <w:numId w:val="11"/>
        </w:numPr>
        <w:tabs>
          <w:tab w:val="clear" w:pos="709"/>
          <w:tab w:val="left" w:pos="709" w:leader="none"/>
        </w:tabs>
        <w:bidi w:val="0"/>
        <w:ind w:hanging="283" w:start="709"/>
        <w:jc w:val="start"/>
        <w:rPr/>
      </w:pPr>
      <w:r>
        <w:rPr/>
        <w:t>Download the required UNPS files and accompanying documentation.</w:t>
      </w:r>
    </w:p>
    <w:p>
      <w:pPr>
        <w:pStyle w:val="BodyText"/>
        <w:numPr>
          <w:ilvl w:val="0"/>
          <w:numId w:val="11"/>
        </w:numPr>
        <w:tabs>
          <w:tab w:val="clear" w:pos="709"/>
          <w:tab w:val="left" w:pos="709" w:leader="none"/>
        </w:tabs>
        <w:bidi w:val="0"/>
        <w:ind w:hanging="283" w:start="709"/>
        <w:jc w:val="start"/>
        <w:rPr/>
      </w:pPr>
      <w:r>
        <w:rPr/>
        <w:t>Identify the household, parcel, plot, crop, production, input, labour, and geographic files.</w:t>
      </w:r>
    </w:p>
    <w:p>
      <w:pPr>
        <w:pStyle w:val="BodyText"/>
        <w:numPr>
          <w:ilvl w:val="0"/>
          <w:numId w:val="11"/>
        </w:numPr>
        <w:tabs>
          <w:tab w:val="clear" w:pos="709"/>
          <w:tab w:val="left" w:pos="709" w:leader="none"/>
        </w:tabs>
        <w:bidi w:val="0"/>
        <w:ind w:hanging="283" w:start="709"/>
        <w:jc w:val="start"/>
        <w:rPr/>
      </w:pPr>
      <w:r>
        <w:rPr/>
        <w:t>Identify maize using the official crop labels rather than relying on an undocumented numeric code.</w:t>
      </w:r>
    </w:p>
    <w:p>
      <w:pPr>
        <w:pStyle w:val="BodyText"/>
        <w:numPr>
          <w:ilvl w:val="0"/>
          <w:numId w:val="11"/>
        </w:numPr>
        <w:tabs>
          <w:tab w:val="clear" w:pos="709"/>
          <w:tab w:val="left" w:pos="709" w:leader="none"/>
        </w:tabs>
        <w:bidi w:val="0"/>
        <w:ind w:hanging="283" w:start="709"/>
        <w:jc w:val="start"/>
        <w:rPr/>
      </w:pPr>
      <w:r>
        <w:rPr/>
        <w:t>Harmonise identifiers across files.</w:t>
      </w:r>
    </w:p>
    <w:p>
      <w:pPr>
        <w:pStyle w:val="BodyText"/>
        <w:numPr>
          <w:ilvl w:val="0"/>
          <w:numId w:val="11"/>
        </w:numPr>
        <w:tabs>
          <w:tab w:val="clear" w:pos="709"/>
          <w:tab w:val="left" w:pos="709" w:leader="none"/>
        </w:tabs>
        <w:bidi w:val="0"/>
        <w:ind w:hanging="283" w:start="709"/>
        <w:jc w:val="start"/>
        <w:rPr/>
      </w:pPr>
      <w:r>
        <w:rPr/>
        <w:t>Convert production quantities and cultivated areas into standard units.</w:t>
      </w:r>
    </w:p>
    <w:p>
      <w:pPr>
        <w:pStyle w:val="BodyText"/>
        <w:numPr>
          <w:ilvl w:val="0"/>
          <w:numId w:val="11"/>
        </w:numPr>
        <w:tabs>
          <w:tab w:val="clear" w:pos="709"/>
          <w:tab w:val="left" w:pos="709" w:leader="none"/>
        </w:tabs>
        <w:bidi w:val="0"/>
        <w:ind w:hanging="283" w:start="709"/>
        <w:jc w:val="start"/>
        <w:rPr/>
      </w:pPr>
      <w:r>
        <w:rPr/>
        <w:t>Extract corresponding rainfall measurements.</w:t>
      </w:r>
    </w:p>
    <w:p>
      <w:pPr>
        <w:pStyle w:val="BodyText"/>
        <w:numPr>
          <w:ilvl w:val="0"/>
          <w:numId w:val="11"/>
        </w:numPr>
        <w:tabs>
          <w:tab w:val="clear" w:pos="709"/>
          <w:tab w:val="left" w:pos="709" w:leader="none"/>
        </w:tabs>
        <w:bidi w:val="0"/>
        <w:ind w:hanging="283" w:start="709"/>
        <w:jc w:val="start"/>
        <w:rPr/>
      </w:pPr>
      <w:r>
        <w:rPr/>
        <w:t>Generate seasonal rainfall features.</w:t>
      </w:r>
    </w:p>
    <w:p>
      <w:pPr>
        <w:pStyle w:val="BodyText"/>
        <w:numPr>
          <w:ilvl w:val="0"/>
          <w:numId w:val="11"/>
        </w:numPr>
        <w:tabs>
          <w:tab w:val="clear" w:pos="709"/>
          <w:tab w:val="left" w:pos="709" w:leader="none"/>
        </w:tabs>
        <w:bidi w:val="0"/>
        <w:ind w:hanging="283" w:start="709"/>
        <w:jc w:val="start"/>
        <w:rPr/>
      </w:pPr>
      <w:r>
        <w:rPr/>
        <w:t>Merge the compatible variables using verified keys.</w:t>
      </w:r>
    </w:p>
    <w:p>
      <w:pPr>
        <w:pStyle w:val="BodyText"/>
        <w:numPr>
          <w:ilvl w:val="0"/>
          <w:numId w:val="11"/>
        </w:numPr>
        <w:tabs>
          <w:tab w:val="clear" w:pos="709"/>
          <w:tab w:val="left" w:pos="709" w:leader="none"/>
        </w:tabs>
        <w:bidi w:val="0"/>
        <w:ind w:hanging="283" w:start="709"/>
        <w:jc w:val="start"/>
        <w:rPr/>
      </w:pPr>
      <w:r>
        <w:rPr/>
        <w:t>Check for duplicate plot-season records.</w:t>
      </w:r>
    </w:p>
    <w:p>
      <w:pPr>
        <w:pStyle w:val="BodyText"/>
        <w:numPr>
          <w:ilvl w:val="0"/>
          <w:numId w:val="11"/>
        </w:numPr>
        <w:tabs>
          <w:tab w:val="clear" w:pos="709"/>
          <w:tab w:val="left" w:pos="709" w:leader="none"/>
        </w:tabs>
        <w:bidi w:val="0"/>
        <w:ind w:hanging="283" w:start="709"/>
        <w:jc w:val="start"/>
        <w:rPr/>
      </w:pPr>
      <w:r>
        <w:rPr/>
        <w:t>produce a final analytical CSV and data dictionary.</w:t>
      </w:r>
    </w:p>
    <w:p>
      <w:pPr>
        <w:pStyle w:val="Heading3"/>
        <w:bidi w:val="0"/>
        <w:spacing w:lineRule="auto" w:line="276" w:before="0" w:after="140"/>
        <w:jc w:val="start"/>
        <w:rPr/>
      </w:pPr>
      <w:r>
        <w:rPr/>
        <w:t>12.8 Treatment of missing values</w:t>
      </w:r>
    </w:p>
    <w:p>
      <w:pPr>
        <w:pStyle w:val="BodyText"/>
        <w:bidi w:val="0"/>
        <w:jc w:val="start"/>
        <w:rPr/>
      </w:pPr>
      <w:r>
        <w:rPr/>
        <w:t>Missing values will first be quantified by variable, district, and season.</w:t>
      </w:r>
    </w:p>
    <w:p>
      <w:pPr>
        <w:pStyle w:val="BodyText"/>
        <w:bidi w:val="0"/>
        <w:jc w:val="start"/>
        <w:rPr/>
      </w:pPr>
      <w:r>
        <w:rPr/>
        <w:t>The choice between deletion and imputation will depend on:</w:t>
      </w:r>
    </w:p>
    <w:p>
      <w:pPr>
        <w:pStyle w:val="BodyText"/>
        <w:numPr>
          <w:ilvl w:val="0"/>
          <w:numId w:val="12"/>
        </w:numPr>
        <w:tabs>
          <w:tab w:val="clear" w:pos="709"/>
          <w:tab w:val="left" w:pos="709" w:leader="none"/>
        </w:tabs>
        <w:bidi w:val="0"/>
        <w:ind w:hanging="283" w:start="709"/>
        <w:jc w:val="start"/>
        <w:rPr/>
      </w:pPr>
      <w:r>
        <w:rPr/>
        <w:t>The percentage of missing observations.</w:t>
      </w:r>
    </w:p>
    <w:p>
      <w:pPr>
        <w:pStyle w:val="BodyText"/>
        <w:numPr>
          <w:ilvl w:val="0"/>
          <w:numId w:val="12"/>
        </w:numPr>
        <w:tabs>
          <w:tab w:val="clear" w:pos="709"/>
          <w:tab w:val="left" w:pos="709" w:leader="none"/>
        </w:tabs>
        <w:bidi w:val="0"/>
        <w:ind w:hanging="283" w:start="709"/>
        <w:jc w:val="start"/>
        <w:rPr/>
      </w:pPr>
      <w:r>
        <w:rPr/>
        <w:t>Whether the missingness appears random.</w:t>
      </w:r>
    </w:p>
    <w:p>
      <w:pPr>
        <w:pStyle w:val="BodyText"/>
        <w:numPr>
          <w:ilvl w:val="0"/>
          <w:numId w:val="12"/>
        </w:numPr>
        <w:tabs>
          <w:tab w:val="clear" w:pos="709"/>
          <w:tab w:val="left" w:pos="709" w:leader="none"/>
        </w:tabs>
        <w:bidi w:val="0"/>
        <w:ind w:hanging="283" w:start="709"/>
        <w:jc w:val="start"/>
        <w:rPr/>
      </w:pPr>
      <w:r>
        <w:rPr/>
        <w:t>The importance of the affected variable.</w:t>
      </w:r>
    </w:p>
    <w:p>
      <w:pPr>
        <w:pStyle w:val="BodyText"/>
        <w:numPr>
          <w:ilvl w:val="0"/>
          <w:numId w:val="12"/>
        </w:numPr>
        <w:tabs>
          <w:tab w:val="clear" w:pos="709"/>
          <w:tab w:val="left" w:pos="709" w:leader="none"/>
        </w:tabs>
        <w:bidi w:val="0"/>
        <w:ind w:hanging="283" w:start="709"/>
        <w:jc w:val="start"/>
        <w:rPr/>
      </w:pPr>
      <w:r>
        <w:rPr/>
        <w:t>The remaining sample size.</w:t>
      </w:r>
    </w:p>
    <w:p>
      <w:pPr>
        <w:pStyle w:val="BodyText"/>
        <w:numPr>
          <w:ilvl w:val="0"/>
          <w:numId w:val="12"/>
        </w:numPr>
        <w:tabs>
          <w:tab w:val="clear" w:pos="709"/>
          <w:tab w:val="left" w:pos="709" w:leader="none"/>
        </w:tabs>
        <w:bidi w:val="0"/>
        <w:ind w:hanging="283" w:start="709"/>
        <w:jc w:val="start"/>
        <w:rPr/>
      </w:pPr>
      <w:r>
        <w:rPr/>
        <w:t>The possible effect of imputation on covariance and PCA.</w:t>
      </w:r>
    </w:p>
    <w:p>
      <w:pPr>
        <w:pStyle w:val="BodyText"/>
        <w:bidi w:val="0"/>
        <w:jc w:val="start"/>
        <w:rPr/>
      </w:pPr>
      <w:r>
        <w:rPr/>
        <w:t>The outcome variable will not be imputed. Records without defensible yield values will be excluded from predictive analysis.</w:t>
      </w:r>
    </w:p>
    <w:p>
      <w:pPr>
        <w:pStyle w:val="BodyText"/>
        <w:bidi w:val="0"/>
        <w:jc w:val="start"/>
        <w:rPr/>
      </w:pPr>
      <w:r>
        <w:rPr/>
        <w:t>For predictors, the study may use:</w:t>
      </w:r>
    </w:p>
    <w:p>
      <w:pPr>
        <w:pStyle w:val="BodyText"/>
        <w:numPr>
          <w:ilvl w:val="0"/>
          <w:numId w:val="13"/>
        </w:numPr>
        <w:tabs>
          <w:tab w:val="clear" w:pos="709"/>
          <w:tab w:val="left" w:pos="709" w:leader="none"/>
        </w:tabs>
        <w:bidi w:val="0"/>
        <w:ind w:hanging="283" w:start="709"/>
        <w:jc w:val="start"/>
        <w:rPr/>
      </w:pPr>
      <w:r>
        <w:rPr/>
        <w:t>Median imputation for skewed continuous variables.</w:t>
      </w:r>
    </w:p>
    <w:p>
      <w:pPr>
        <w:pStyle w:val="BodyText"/>
        <w:numPr>
          <w:ilvl w:val="0"/>
          <w:numId w:val="13"/>
        </w:numPr>
        <w:tabs>
          <w:tab w:val="clear" w:pos="709"/>
          <w:tab w:val="left" w:pos="709" w:leader="none"/>
        </w:tabs>
        <w:bidi w:val="0"/>
        <w:ind w:hanging="283" w:start="709"/>
        <w:jc w:val="start"/>
        <w:rPr/>
      </w:pPr>
      <w:r>
        <w:rPr/>
        <w:t>Mean imputation for approximately symmetric variables where appropriate.</w:t>
      </w:r>
    </w:p>
    <w:p>
      <w:pPr>
        <w:pStyle w:val="BodyText"/>
        <w:numPr>
          <w:ilvl w:val="0"/>
          <w:numId w:val="13"/>
        </w:numPr>
        <w:tabs>
          <w:tab w:val="clear" w:pos="709"/>
          <w:tab w:val="left" w:pos="709" w:leader="none"/>
        </w:tabs>
        <w:bidi w:val="0"/>
        <w:ind w:hanging="283" w:start="709"/>
        <w:jc w:val="start"/>
        <w:rPr/>
      </w:pPr>
      <w:r>
        <w:rPr/>
        <w:t>Most-frequent imputation for categorical variables.</w:t>
      </w:r>
    </w:p>
    <w:p>
      <w:pPr>
        <w:pStyle w:val="BodyText"/>
        <w:numPr>
          <w:ilvl w:val="0"/>
          <w:numId w:val="13"/>
        </w:numPr>
        <w:tabs>
          <w:tab w:val="clear" w:pos="709"/>
          <w:tab w:val="left" w:pos="709" w:leader="none"/>
        </w:tabs>
        <w:bidi w:val="0"/>
        <w:ind w:hanging="283" w:start="709"/>
        <w:jc w:val="start"/>
        <w:rPr/>
      </w:pPr>
      <w:r>
        <w:rPr/>
        <w:t>Missingness indicators for important variables.</w:t>
      </w:r>
    </w:p>
    <w:p>
      <w:pPr>
        <w:pStyle w:val="BodyText"/>
        <w:numPr>
          <w:ilvl w:val="0"/>
          <w:numId w:val="13"/>
        </w:numPr>
        <w:tabs>
          <w:tab w:val="clear" w:pos="709"/>
          <w:tab w:val="left" w:pos="709" w:leader="none"/>
        </w:tabs>
        <w:bidi w:val="0"/>
        <w:ind w:hanging="283" w:start="709"/>
        <w:jc w:val="start"/>
        <w:rPr/>
      </w:pPr>
      <w:r>
        <w:rPr/>
        <w:t>Complete-case analysis as a sensitivity test.</w:t>
      </w:r>
    </w:p>
    <w:p>
      <w:pPr>
        <w:pStyle w:val="BodyText"/>
        <w:bidi w:val="0"/>
        <w:jc w:val="start"/>
        <w:rPr/>
      </w:pPr>
      <w:r>
        <w:rPr/>
        <w:t>Imputation will be conducted within the training portion of each cross-validation fold to prevent information leakage.</w:t>
      </w:r>
    </w:p>
    <w:p>
      <w:pPr>
        <w:pStyle w:val="Heading3"/>
        <w:bidi w:val="0"/>
        <w:spacing w:lineRule="auto" w:line="276" w:before="0" w:after="140"/>
        <w:jc w:val="start"/>
        <w:rPr/>
      </w:pPr>
      <w:r>
        <w:rPr/>
        <w:t>12.9 Standardisation</w:t>
      </w:r>
    </w:p>
    <w:p>
      <w:pPr>
        <w:pStyle w:val="BodyText"/>
        <w:bidi w:val="0"/>
        <w:jc w:val="start"/>
        <w:rPr/>
      </w:pPr>
      <w:r>
        <w:rPr/>
        <w:t>Continuous variables used in PCA will be standardised using:</w:t>
      </w:r>
    </w:p>
    <w:p>
      <w:pPr>
        <w:pStyle w:val="Heading1"/>
        <w:bidi w:val="0"/>
        <w:spacing w:lineRule="auto" w:line="276" w:before="0" w:after="140"/>
        <w:jc w:val="start"/>
        <w:rPr/>
      </w:pPr>
      <w:r>
        <w:rPr/>
        <w:t>[</w:t>
        <w:br/>
        <w:t>z_{ij}</w:t>
      </w:r>
    </w:p>
    <w:p>
      <w:pPr>
        <w:pStyle w:val="BodyText"/>
        <w:bidi w:val="0"/>
        <w:jc w:val="start"/>
        <w:rPr/>
      </w:pPr>
      <w:r>
        <w:rPr/>
        <w:t>\frac{x_{ij}-\bar{x}_j}{s_j}</w:t>
        <w:br/>
        <w:t>]</w:t>
      </w:r>
    </w:p>
    <w:p>
      <w:pPr>
        <w:pStyle w:val="BodyText"/>
        <w:bidi w:val="0"/>
        <w:jc w:val="start"/>
        <w:rPr/>
      </w:pPr>
      <w:r>
        <w:rPr/>
        <w:t>Standardisation is necessary because rainfall, plot area, education, fertilizer, labour, and livestock variables are measured using different units and scales.</w:t>
      </w:r>
    </w:p>
    <w:p>
      <w:pPr>
        <w:pStyle w:val="Heading3"/>
        <w:bidi w:val="0"/>
        <w:spacing w:lineRule="auto" w:line="276" w:before="0" w:after="140"/>
        <w:jc w:val="start"/>
        <w:rPr/>
      </w:pPr>
      <w:r>
        <w:rPr/>
        <w:t>12.10 Outlier detection</w:t>
      </w:r>
    </w:p>
    <w:p>
      <w:pPr>
        <w:pStyle w:val="BodyText"/>
        <w:bidi w:val="0"/>
        <w:jc w:val="start"/>
        <w:rPr/>
      </w:pPr>
      <w:r>
        <w:rPr/>
        <w:t>Univariate distributions will be inspected using histograms, box plots, and summary statistics.</w:t>
      </w:r>
    </w:p>
    <w:p>
      <w:pPr>
        <w:pStyle w:val="BodyText"/>
        <w:bidi w:val="0"/>
        <w:jc w:val="start"/>
        <w:rPr/>
      </w:pPr>
      <w:r>
        <w:rPr/>
        <w:t>Multivariate outliers will be assessed using Mahalanobis distance:</w:t>
      </w:r>
    </w:p>
    <w:p>
      <w:pPr>
        <w:pStyle w:val="Heading1"/>
        <w:bidi w:val="0"/>
        <w:spacing w:lineRule="auto" w:line="276" w:before="0" w:after="140"/>
        <w:jc w:val="start"/>
        <w:rPr/>
      </w:pPr>
      <w:r>
        <w:rPr/>
        <w:t>[</w:t>
        <w:br/>
        <w:t>D_i^2</w:t>
      </w:r>
    </w:p>
    <w:p>
      <w:pPr>
        <w:pStyle w:val="BodyText"/>
        <w:bidi w:val="0"/>
        <w:jc w:val="start"/>
        <w:rPr/>
      </w:pPr>
      <w:r>
        <w:rPr/>
        <w:t>(x_i-\mu)^TS^{-1}(x_i-\mu)</w:t>
        <w:br/>
        <w:t>]</w:t>
      </w:r>
    </w:p>
    <w:p>
      <w:pPr>
        <w:pStyle w:val="BodyText"/>
        <w:bidi w:val="0"/>
        <w:jc w:val="start"/>
        <w:rPr/>
      </w:pPr>
      <w:r>
        <w:rPr/>
        <w:t>Observations may be flagged using an appropriate chi-square threshold. Flagged records will not automatically be deleted. They will first be examined to determine whether they represent:</w:t>
      </w:r>
    </w:p>
    <w:p>
      <w:pPr>
        <w:pStyle w:val="BodyText"/>
        <w:numPr>
          <w:ilvl w:val="0"/>
          <w:numId w:val="14"/>
        </w:numPr>
        <w:tabs>
          <w:tab w:val="clear" w:pos="709"/>
          <w:tab w:val="left" w:pos="709" w:leader="none"/>
        </w:tabs>
        <w:bidi w:val="0"/>
        <w:ind w:hanging="283" w:start="709"/>
        <w:jc w:val="start"/>
        <w:rPr/>
      </w:pPr>
      <w:r>
        <w:rPr/>
        <w:t>Data-entry errors.</w:t>
      </w:r>
    </w:p>
    <w:p>
      <w:pPr>
        <w:pStyle w:val="BodyText"/>
        <w:numPr>
          <w:ilvl w:val="0"/>
          <w:numId w:val="14"/>
        </w:numPr>
        <w:tabs>
          <w:tab w:val="clear" w:pos="709"/>
          <w:tab w:val="left" w:pos="709" w:leader="none"/>
        </w:tabs>
        <w:bidi w:val="0"/>
        <w:ind w:hanging="283" w:start="709"/>
        <w:jc w:val="start"/>
        <w:rPr/>
      </w:pPr>
      <w:r>
        <w:rPr/>
        <w:t>Unit-conversion errors.</w:t>
      </w:r>
    </w:p>
    <w:p>
      <w:pPr>
        <w:pStyle w:val="BodyText"/>
        <w:numPr>
          <w:ilvl w:val="0"/>
          <w:numId w:val="14"/>
        </w:numPr>
        <w:tabs>
          <w:tab w:val="clear" w:pos="709"/>
          <w:tab w:val="left" w:pos="709" w:leader="none"/>
        </w:tabs>
        <w:bidi w:val="0"/>
        <w:ind w:hanging="283" w:start="709"/>
        <w:jc w:val="start"/>
        <w:rPr/>
      </w:pPr>
      <w:r>
        <w:rPr/>
        <w:t>Duplicate records.</w:t>
      </w:r>
    </w:p>
    <w:p>
      <w:pPr>
        <w:pStyle w:val="BodyText"/>
        <w:numPr>
          <w:ilvl w:val="0"/>
          <w:numId w:val="14"/>
        </w:numPr>
        <w:tabs>
          <w:tab w:val="clear" w:pos="709"/>
          <w:tab w:val="left" w:pos="709" w:leader="none"/>
        </w:tabs>
        <w:bidi w:val="0"/>
        <w:ind w:hanging="283" w:start="709"/>
        <w:jc w:val="start"/>
        <w:rPr/>
      </w:pPr>
      <w:r>
        <w:rPr/>
        <w:t>Implausible values.</w:t>
      </w:r>
    </w:p>
    <w:p>
      <w:pPr>
        <w:pStyle w:val="BodyText"/>
        <w:numPr>
          <w:ilvl w:val="0"/>
          <w:numId w:val="14"/>
        </w:numPr>
        <w:tabs>
          <w:tab w:val="clear" w:pos="709"/>
          <w:tab w:val="left" w:pos="709" w:leader="none"/>
        </w:tabs>
        <w:bidi w:val="0"/>
        <w:ind w:hanging="283" w:start="709"/>
        <w:jc w:val="start"/>
        <w:rPr/>
      </w:pPr>
      <w:r>
        <w:rPr/>
        <w:t>Genuine but unusual farms.</w:t>
      </w:r>
    </w:p>
    <w:p>
      <w:pPr>
        <w:pStyle w:val="BodyText"/>
        <w:bidi w:val="0"/>
        <w:jc w:val="start"/>
        <w:rPr/>
      </w:pPr>
      <w:r>
        <w:rPr/>
        <w:t>Results may be compared with and without influential outliers.</w:t>
      </w:r>
    </w:p>
    <w:p>
      <w:pPr>
        <w:pStyle w:val="Heading3"/>
        <w:bidi w:val="0"/>
        <w:spacing w:lineRule="auto" w:line="276" w:before="0" w:after="140"/>
        <w:jc w:val="start"/>
        <w:rPr/>
      </w:pPr>
      <w:r>
        <w:rPr/>
        <w:t>12.11 Mathematical verification of PCA</w:t>
      </w:r>
    </w:p>
    <w:p>
      <w:pPr>
        <w:pStyle w:val="BodyText"/>
        <w:bidi w:val="0"/>
        <w:jc w:val="start"/>
        <w:rPr/>
      </w:pPr>
      <w:r>
        <w:rPr/>
        <w:t>Before applying PCA to the full dataset, the researcher will manually derive the characteristic equation of a two-variable covariance matrix.</w:t>
      </w:r>
    </w:p>
    <w:p>
      <w:pPr>
        <w:pStyle w:val="BodyText"/>
        <w:bidi w:val="0"/>
        <w:jc w:val="start"/>
        <w:rPr/>
      </w:pPr>
      <w:r>
        <w:rPr/>
        <w:t>For:</w:t>
      </w:r>
    </w:p>
    <w:p>
      <w:pPr>
        <w:pStyle w:val="BodyText"/>
        <w:bidi w:val="0"/>
        <w:jc w:val="start"/>
        <w:rPr/>
      </w:pPr>
      <w:r>
        <w:rPr/>
        <w:t>[</w:t>
        <w:br/>
        <w:t>S=</w:t>
        <w:br/>
        <w:t>\begin{bmatrix}</w:t>
        <w:br/>
        <w:t>a &amp; c\</w:t>
        <w:br/>
        <w:t>c &amp; b</w:t>
        <w:br/>
        <w:t>\end{bmatrix}</w:t>
        <w:br/>
        <w:t>]</w:t>
      </w:r>
    </w:p>
    <w:p>
      <w:pPr>
        <w:pStyle w:val="BodyText"/>
        <w:bidi w:val="0"/>
        <w:jc w:val="start"/>
        <w:rPr/>
      </w:pPr>
      <w:r>
        <w:rPr/>
        <w:t>the characteristic equation is:</w:t>
      </w:r>
    </w:p>
    <w:p>
      <w:pPr>
        <w:pStyle w:val="BodyText"/>
        <w:bidi w:val="0"/>
        <w:jc w:val="start"/>
        <w:rPr/>
      </w:pPr>
      <w:r>
        <w:rPr/>
        <w:t>[</w:t>
        <w:br/>
        <w:t>\det(S-\lambda I)=0</w:t>
        <w:br/>
        <w:t>]</w:t>
      </w:r>
    </w:p>
    <w:p>
      <w:pPr>
        <w:pStyle w:val="BodyText"/>
        <w:bidi w:val="0"/>
        <w:jc w:val="start"/>
        <w:rPr/>
      </w:pPr>
      <w:r>
        <w:rPr/>
        <w:t>which gives:</w:t>
      </w:r>
    </w:p>
    <w:p>
      <w:pPr>
        <w:pStyle w:val="BodyText"/>
        <w:bidi w:val="0"/>
        <w:jc w:val="start"/>
        <w:rPr/>
      </w:pPr>
      <w:r>
        <w:rPr/>
        <w:t>[</w:t>
        <w:br/>
        <w:t>\lambda^2-(a+b)\lambda+(ab-c^2)=0</w:t>
        <w:br/>
        <w:t>]</w:t>
      </w:r>
    </w:p>
    <w:p>
      <w:pPr>
        <w:pStyle w:val="BodyText"/>
        <w:bidi w:val="0"/>
        <w:jc w:val="start"/>
        <w:rPr/>
      </w:pPr>
      <w:r>
        <w:rPr/>
        <w:t>The eigenvalues are:</w:t>
      </w:r>
    </w:p>
    <w:p>
      <w:pPr>
        <w:pStyle w:val="Heading1"/>
        <w:bidi w:val="0"/>
        <w:spacing w:lineRule="auto" w:line="276" w:before="0" w:after="140"/>
        <w:jc w:val="start"/>
        <w:rPr/>
      </w:pPr>
      <w:r>
        <w:rPr/>
        <w:t>[</w:t>
        <w:br/>
        <w:t>\lambda_{1,2}</w:t>
      </w:r>
    </w:p>
    <w:p>
      <w:pPr>
        <w:pStyle w:val="BodyText"/>
        <w:bidi w:val="0"/>
        <w:jc w:val="start"/>
        <w:rPr/>
      </w:pPr>
      <w:r>
        <w:rPr/>
        <w:t>\frac{(a+b)\pm\sqrt{(a-b)^2+4c^2}}{2}</w:t>
        <w:br/>
        <w:t>]</w:t>
      </w:r>
    </w:p>
    <w:p>
      <w:pPr>
        <w:pStyle w:val="BodyText"/>
        <w:bidi w:val="0"/>
        <w:jc w:val="start"/>
        <w:rPr/>
      </w:pPr>
      <w:r>
        <w:rPr/>
        <w:t>The study will also prove that the covariance matrix is symmetric and positive semi-definite. Manual calculations will be compared with the results produced by:</w:t>
      </w:r>
    </w:p>
    <w:p>
      <w:pPr>
        <w:pStyle w:val="PreformattedText"/>
        <w:bidi w:val="0"/>
        <w:spacing w:lineRule="auto" w:line="276" w:before="0" w:after="140"/>
        <w:jc w:val="start"/>
        <w:rPr/>
      </w:pPr>
      <w:r>
        <w:rPr>
          <w:rStyle w:val="SourceText"/>
        </w:rPr>
        <w:t>numpy.linalg.eigh()</w:t>
      </w:r>
    </w:p>
    <w:p>
      <w:pPr>
        <w:pStyle w:val="BodyText"/>
        <w:bidi w:val="0"/>
        <w:jc w:val="start"/>
        <w:rPr/>
      </w:pPr>
      <w:r>
        <w:rPr/>
        <w:t>The verification will account for the fact that an eigenvector and its negative represent the same principal direction.</w:t>
      </w:r>
    </w:p>
    <w:p>
      <w:pPr>
        <w:pStyle w:val="Heading3"/>
        <w:bidi w:val="0"/>
        <w:spacing w:lineRule="auto" w:line="276" w:before="0" w:after="140"/>
        <w:jc w:val="start"/>
        <w:rPr/>
      </w:pPr>
      <w:r>
        <w:rPr/>
        <w:t>12.12 Application of PCA</w:t>
      </w:r>
    </w:p>
    <w:p>
      <w:pPr>
        <w:pStyle w:val="BodyText"/>
        <w:bidi w:val="0"/>
        <w:jc w:val="start"/>
        <w:rPr/>
      </w:pPr>
      <w:r>
        <w:rPr/>
        <w:t>PCA will be applied primarily to continuous standardised predictors.</w:t>
      </w:r>
    </w:p>
    <w:p>
      <w:pPr>
        <w:pStyle w:val="BodyText"/>
        <w:bidi w:val="0"/>
        <w:jc w:val="start"/>
        <w:rPr/>
      </w:pPr>
      <w:r>
        <w:rPr/>
        <w:t>The procedure will include:</w:t>
      </w:r>
    </w:p>
    <w:p>
      <w:pPr>
        <w:pStyle w:val="BodyText"/>
        <w:numPr>
          <w:ilvl w:val="0"/>
          <w:numId w:val="15"/>
        </w:numPr>
        <w:tabs>
          <w:tab w:val="clear" w:pos="709"/>
          <w:tab w:val="left" w:pos="709" w:leader="none"/>
        </w:tabs>
        <w:bidi w:val="0"/>
        <w:ind w:hanging="283" w:start="709"/>
        <w:jc w:val="start"/>
        <w:rPr/>
      </w:pPr>
      <w:r>
        <w:rPr/>
        <w:t>Selecting eligible continuous variables.</w:t>
      </w:r>
    </w:p>
    <w:p>
      <w:pPr>
        <w:pStyle w:val="BodyText"/>
        <w:numPr>
          <w:ilvl w:val="0"/>
          <w:numId w:val="15"/>
        </w:numPr>
        <w:tabs>
          <w:tab w:val="clear" w:pos="709"/>
          <w:tab w:val="left" w:pos="709" w:leader="none"/>
        </w:tabs>
        <w:bidi w:val="0"/>
        <w:ind w:hanging="283" w:start="709"/>
        <w:jc w:val="start"/>
        <w:rPr/>
      </w:pPr>
      <w:r>
        <w:rPr/>
        <w:t>Treating missing predictor values.</w:t>
      </w:r>
    </w:p>
    <w:p>
      <w:pPr>
        <w:pStyle w:val="BodyText"/>
        <w:numPr>
          <w:ilvl w:val="0"/>
          <w:numId w:val="15"/>
        </w:numPr>
        <w:tabs>
          <w:tab w:val="clear" w:pos="709"/>
          <w:tab w:val="left" w:pos="709" w:leader="none"/>
        </w:tabs>
        <w:bidi w:val="0"/>
        <w:ind w:hanging="283" w:start="709"/>
        <w:jc w:val="start"/>
        <w:rPr/>
      </w:pPr>
      <w:r>
        <w:rPr/>
        <w:t>Standardising the variables.</w:t>
      </w:r>
    </w:p>
    <w:p>
      <w:pPr>
        <w:pStyle w:val="BodyText"/>
        <w:numPr>
          <w:ilvl w:val="0"/>
          <w:numId w:val="15"/>
        </w:numPr>
        <w:tabs>
          <w:tab w:val="clear" w:pos="709"/>
          <w:tab w:val="left" w:pos="709" w:leader="none"/>
        </w:tabs>
        <w:bidi w:val="0"/>
        <w:ind w:hanging="283" w:start="709"/>
        <w:jc w:val="start"/>
        <w:rPr/>
      </w:pPr>
      <w:r>
        <w:rPr/>
        <w:t>Calculating the covariance or correlation matrix.</w:t>
      </w:r>
    </w:p>
    <w:p>
      <w:pPr>
        <w:pStyle w:val="BodyText"/>
        <w:numPr>
          <w:ilvl w:val="0"/>
          <w:numId w:val="15"/>
        </w:numPr>
        <w:tabs>
          <w:tab w:val="clear" w:pos="709"/>
          <w:tab w:val="left" w:pos="709" w:leader="none"/>
        </w:tabs>
        <w:bidi w:val="0"/>
        <w:ind w:hanging="283" w:start="709"/>
        <w:jc w:val="start"/>
        <w:rPr/>
      </w:pPr>
      <w:r>
        <w:rPr/>
        <w:t>Computing eigenvalues and eigenvectors.</w:t>
      </w:r>
    </w:p>
    <w:p>
      <w:pPr>
        <w:pStyle w:val="BodyText"/>
        <w:numPr>
          <w:ilvl w:val="0"/>
          <w:numId w:val="15"/>
        </w:numPr>
        <w:tabs>
          <w:tab w:val="clear" w:pos="709"/>
          <w:tab w:val="left" w:pos="709" w:leader="none"/>
        </w:tabs>
        <w:bidi w:val="0"/>
        <w:ind w:hanging="283" w:start="709"/>
        <w:jc w:val="start"/>
        <w:rPr/>
      </w:pPr>
      <w:r>
        <w:rPr/>
        <w:t>Ordering components by explained variance.</w:t>
      </w:r>
    </w:p>
    <w:p>
      <w:pPr>
        <w:pStyle w:val="BodyText"/>
        <w:numPr>
          <w:ilvl w:val="0"/>
          <w:numId w:val="15"/>
        </w:numPr>
        <w:tabs>
          <w:tab w:val="clear" w:pos="709"/>
          <w:tab w:val="left" w:pos="709" w:leader="none"/>
        </w:tabs>
        <w:bidi w:val="0"/>
        <w:ind w:hanging="283" w:start="709"/>
        <w:jc w:val="start"/>
        <w:rPr/>
      </w:pPr>
      <w:r>
        <w:rPr/>
        <w:t>Producing a scree plot.</w:t>
      </w:r>
    </w:p>
    <w:p>
      <w:pPr>
        <w:pStyle w:val="BodyText"/>
        <w:numPr>
          <w:ilvl w:val="0"/>
          <w:numId w:val="15"/>
        </w:numPr>
        <w:tabs>
          <w:tab w:val="clear" w:pos="709"/>
          <w:tab w:val="left" w:pos="709" w:leader="none"/>
        </w:tabs>
        <w:bidi w:val="0"/>
        <w:ind w:hanging="283" w:start="709"/>
        <w:jc w:val="start"/>
        <w:rPr/>
      </w:pPr>
      <w:r>
        <w:rPr/>
        <w:t>Calculating cumulative explained variance.</w:t>
      </w:r>
    </w:p>
    <w:p>
      <w:pPr>
        <w:pStyle w:val="BodyText"/>
        <w:numPr>
          <w:ilvl w:val="0"/>
          <w:numId w:val="15"/>
        </w:numPr>
        <w:tabs>
          <w:tab w:val="clear" w:pos="709"/>
          <w:tab w:val="left" w:pos="709" w:leader="none"/>
        </w:tabs>
        <w:bidi w:val="0"/>
        <w:ind w:hanging="283" w:start="709"/>
        <w:jc w:val="start"/>
        <w:rPr/>
      </w:pPr>
      <w:r>
        <w:rPr/>
        <w:t>Retaining a suitable number of components.</w:t>
      </w:r>
    </w:p>
    <w:p>
      <w:pPr>
        <w:pStyle w:val="BodyText"/>
        <w:numPr>
          <w:ilvl w:val="0"/>
          <w:numId w:val="15"/>
        </w:numPr>
        <w:tabs>
          <w:tab w:val="clear" w:pos="709"/>
          <w:tab w:val="left" w:pos="709" w:leader="none"/>
        </w:tabs>
        <w:bidi w:val="0"/>
        <w:ind w:hanging="283" w:start="709"/>
        <w:jc w:val="start"/>
        <w:rPr/>
      </w:pPr>
      <w:r>
        <w:rPr/>
        <w:t>Examining the component loadings.</w:t>
      </w:r>
    </w:p>
    <w:p>
      <w:pPr>
        <w:pStyle w:val="BodyText"/>
        <w:numPr>
          <w:ilvl w:val="0"/>
          <w:numId w:val="15"/>
        </w:numPr>
        <w:tabs>
          <w:tab w:val="clear" w:pos="709"/>
          <w:tab w:val="left" w:pos="709" w:leader="none"/>
        </w:tabs>
        <w:bidi w:val="0"/>
        <w:ind w:hanging="283" w:start="709"/>
        <w:jc w:val="start"/>
        <w:rPr/>
      </w:pPr>
      <w:r>
        <w:rPr/>
        <w:t>Calculating component scores.</w:t>
      </w:r>
    </w:p>
    <w:p>
      <w:pPr>
        <w:pStyle w:val="BodyText"/>
        <w:numPr>
          <w:ilvl w:val="0"/>
          <w:numId w:val="15"/>
        </w:numPr>
        <w:tabs>
          <w:tab w:val="clear" w:pos="709"/>
          <w:tab w:val="left" w:pos="709" w:leader="none"/>
        </w:tabs>
        <w:bidi w:val="0"/>
        <w:ind w:hanging="283" w:start="709"/>
        <w:jc w:val="start"/>
        <w:rPr/>
      </w:pPr>
      <w:r>
        <w:rPr/>
        <w:t>Assigning evidence-based interpretations to the retained components.</w:t>
      </w:r>
    </w:p>
    <w:p>
      <w:pPr>
        <w:pStyle w:val="BodyText"/>
        <w:bidi w:val="0"/>
        <w:jc w:val="start"/>
        <w:rPr/>
      </w:pPr>
      <w:r>
        <w:rPr/>
        <w:t>The number of components may be selected using the scree plot, eigenvalues, interpretability, and a cumulative explained-variance threshold such as 80–90 percent.</w:t>
      </w:r>
    </w:p>
    <w:p>
      <w:pPr>
        <w:pStyle w:val="Heading3"/>
        <w:bidi w:val="0"/>
        <w:spacing w:lineRule="auto" w:line="276" w:before="0" w:after="140"/>
        <w:jc w:val="start"/>
        <w:rPr/>
      </w:pPr>
      <w:r>
        <w:rPr/>
        <w:t>12.13 Data visualisation</w:t>
      </w:r>
    </w:p>
    <w:p>
      <w:pPr>
        <w:pStyle w:val="BodyText"/>
        <w:bidi w:val="0"/>
        <w:jc w:val="start"/>
        <w:rPr/>
      </w:pPr>
      <w:r>
        <w:rPr/>
        <w:t>The study will produce at least four publication-quality figures:</w:t>
      </w:r>
    </w:p>
    <w:p>
      <w:pPr>
        <w:pStyle w:val="BodyText"/>
        <w:numPr>
          <w:ilvl w:val="0"/>
          <w:numId w:val="16"/>
        </w:numPr>
        <w:tabs>
          <w:tab w:val="clear" w:pos="709"/>
          <w:tab w:val="left" w:pos="709" w:leader="none"/>
        </w:tabs>
        <w:bidi w:val="0"/>
        <w:ind w:hanging="283" w:start="709"/>
        <w:jc w:val="start"/>
        <w:rPr/>
      </w:pPr>
      <w:r>
        <w:rPr/>
        <w:t>Correlation matrix.</w:t>
      </w:r>
    </w:p>
    <w:p>
      <w:pPr>
        <w:pStyle w:val="BodyText"/>
        <w:numPr>
          <w:ilvl w:val="0"/>
          <w:numId w:val="16"/>
        </w:numPr>
        <w:tabs>
          <w:tab w:val="clear" w:pos="709"/>
          <w:tab w:val="left" w:pos="709" w:leader="none"/>
        </w:tabs>
        <w:bidi w:val="0"/>
        <w:ind w:hanging="283" w:start="709"/>
        <w:jc w:val="start"/>
        <w:rPr/>
      </w:pPr>
      <w:r>
        <w:rPr/>
        <w:t>Scree and cumulative-explained-variance plot.</w:t>
      </w:r>
    </w:p>
    <w:p>
      <w:pPr>
        <w:pStyle w:val="BodyText"/>
        <w:numPr>
          <w:ilvl w:val="0"/>
          <w:numId w:val="16"/>
        </w:numPr>
        <w:tabs>
          <w:tab w:val="clear" w:pos="709"/>
          <w:tab w:val="left" w:pos="709" w:leader="none"/>
        </w:tabs>
        <w:bidi w:val="0"/>
        <w:ind w:hanging="283" w:start="709"/>
        <w:jc w:val="start"/>
        <w:rPr/>
      </w:pPr>
      <w:r>
        <w:rPr/>
        <w:t>PC1–PC2 biplot.</w:t>
      </w:r>
    </w:p>
    <w:p>
      <w:pPr>
        <w:pStyle w:val="BodyText"/>
        <w:numPr>
          <w:ilvl w:val="0"/>
          <w:numId w:val="16"/>
        </w:numPr>
        <w:tabs>
          <w:tab w:val="clear" w:pos="709"/>
          <w:tab w:val="left" w:pos="709" w:leader="none"/>
        </w:tabs>
        <w:bidi w:val="0"/>
        <w:ind w:hanging="283" w:start="709"/>
        <w:jc w:val="start"/>
        <w:rPr/>
      </w:pPr>
      <w:r>
        <w:rPr/>
        <w:t>Principal-component loadings heatmap.</w:t>
      </w:r>
    </w:p>
    <w:p>
      <w:pPr>
        <w:pStyle w:val="BodyText"/>
        <w:bidi w:val="0"/>
        <w:jc w:val="start"/>
        <w:rPr/>
      </w:pPr>
      <w:r>
        <w:rPr/>
        <w:t>Additional figures may include yield distributions, rainfall distributions, observed-versus-predicted plots, and model residual plots.</w:t>
      </w:r>
    </w:p>
    <w:p>
      <w:pPr>
        <w:pStyle w:val="Heading3"/>
        <w:bidi w:val="0"/>
        <w:spacing w:lineRule="auto" w:line="276" w:before="0" w:after="140"/>
        <w:jc w:val="start"/>
        <w:rPr/>
      </w:pPr>
      <w:r>
        <w:rPr/>
        <w:t>12.14 Predictive models</w:t>
      </w:r>
    </w:p>
    <w:p>
      <w:pPr>
        <w:pStyle w:val="BodyText"/>
        <w:bidi w:val="0"/>
        <w:jc w:val="start"/>
        <w:rPr/>
      </w:pPr>
      <w:r>
        <w:rPr/>
        <w:t>Four models will be developed:</w:t>
      </w:r>
    </w:p>
    <w:p>
      <w:pPr>
        <w:pStyle w:val="Heading4"/>
        <w:bidi w:val="0"/>
        <w:spacing w:lineRule="auto" w:line="276" w:before="0" w:after="140"/>
        <w:jc w:val="start"/>
        <w:rPr/>
      </w:pPr>
      <w:r>
        <w:rPr/>
        <w:t>Ordinary Least Squares</w:t>
      </w:r>
    </w:p>
    <w:p>
      <w:pPr>
        <w:pStyle w:val="BodyText"/>
        <w:bidi w:val="0"/>
        <w:jc w:val="start"/>
        <w:rPr/>
      </w:pPr>
      <w:r>
        <w:rPr/>
        <w:t>OLS will provide a transparent linear baseline and support interpretation of relationships between selected predictors or principal components and maize yield.</w:t>
      </w:r>
    </w:p>
    <w:p>
      <w:pPr>
        <w:pStyle w:val="Heading4"/>
        <w:bidi w:val="0"/>
        <w:spacing w:lineRule="auto" w:line="276" w:before="0" w:after="140"/>
        <w:jc w:val="start"/>
        <w:rPr/>
      </w:pPr>
      <w:r>
        <w:rPr/>
        <w:t>Ridge Regression</w:t>
      </w:r>
    </w:p>
    <w:p>
      <w:pPr>
        <w:pStyle w:val="BodyText"/>
        <w:bidi w:val="0"/>
        <w:jc w:val="start"/>
        <w:rPr/>
      </w:pPr>
      <w:r>
        <w:rPr/>
        <w:t>Ridge Regression will address multicollinearity by shrinking regression coefficients using an (L_2) penalty.</w:t>
      </w:r>
    </w:p>
    <w:p>
      <w:pPr>
        <w:pStyle w:val="Heading4"/>
        <w:bidi w:val="0"/>
        <w:spacing w:lineRule="auto" w:line="276" w:before="0" w:after="140"/>
        <w:jc w:val="start"/>
        <w:rPr/>
      </w:pPr>
      <w:r>
        <w:rPr/>
        <w:t>Random Forest</w:t>
      </w:r>
    </w:p>
    <w:p>
      <w:pPr>
        <w:pStyle w:val="BodyText"/>
        <w:bidi w:val="0"/>
        <w:jc w:val="start"/>
        <w:rPr/>
      </w:pPr>
      <w:r>
        <w:rPr/>
        <w:t>Random Forest will be used to model nonlinear relationships and interactions among climate, management, and household factors.</w:t>
      </w:r>
    </w:p>
    <w:p>
      <w:pPr>
        <w:pStyle w:val="Heading4"/>
        <w:bidi w:val="0"/>
        <w:spacing w:lineRule="auto" w:line="276" w:before="0" w:after="140"/>
        <w:jc w:val="start"/>
        <w:rPr/>
      </w:pPr>
      <w:r>
        <w:rPr/>
        <w:t>XGBoost</w:t>
      </w:r>
    </w:p>
    <w:p>
      <w:pPr>
        <w:pStyle w:val="BodyText"/>
        <w:bidi w:val="0"/>
        <w:jc w:val="start"/>
        <w:rPr/>
      </w:pPr>
      <w:r>
        <w:rPr/>
        <w:t>XGBoost will be used as a gradient-boosting method capable of modelling complex nonlinear patterns. Conservative tuning will be applied because the anticipated sample may be relatively small.</w:t>
      </w:r>
    </w:p>
    <w:p>
      <w:pPr>
        <w:pStyle w:val="Heading3"/>
        <w:bidi w:val="0"/>
        <w:spacing w:lineRule="auto" w:line="276" w:before="0" w:after="140"/>
        <w:jc w:val="start"/>
        <w:rPr/>
      </w:pPr>
      <w:r>
        <w:rPr/>
        <w:t>12.15 Feature representations</w:t>
      </w:r>
    </w:p>
    <w:p>
      <w:pPr>
        <w:pStyle w:val="BodyText"/>
        <w:bidi w:val="0"/>
        <w:jc w:val="start"/>
        <w:rPr/>
      </w:pPr>
      <w:r>
        <w:rPr/>
        <w:t>Each model will be evaluated using three input representations.</w:t>
      </w:r>
    </w:p>
    <w:p>
      <w:pPr>
        <w:pStyle w:val="Heading4"/>
        <w:bidi w:val="0"/>
        <w:spacing w:lineRule="auto" w:line="276" w:before="0" w:after="140"/>
        <w:jc w:val="start"/>
        <w:rPr/>
      </w:pPr>
      <w:r>
        <w:rPr/>
        <w:t>Raw features</w:t>
      </w:r>
    </w:p>
    <w:p>
      <w:pPr>
        <w:pStyle w:val="BodyText"/>
        <w:bidi w:val="0"/>
        <w:jc w:val="start"/>
        <w:rPr/>
      </w:pPr>
      <w:r>
        <w:rPr/>
        <w:t>The original cleaned predictor variables will be used after appropriate scaling and categorical encoding.</w:t>
      </w:r>
    </w:p>
    <w:p>
      <w:pPr>
        <w:pStyle w:val="Heading4"/>
        <w:bidi w:val="0"/>
        <w:spacing w:lineRule="auto" w:line="276" w:before="0" w:after="140"/>
        <w:jc w:val="start"/>
        <w:rPr/>
      </w:pPr>
      <w:r>
        <w:rPr/>
        <w:t>PCA-reduced features</w:t>
      </w:r>
    </w:p>
    <w:p>
      <w:pPr>
        <w:pStyle w:val="BodyText"/>
        <w:bidi w:val="0"/>
        <w:jc w:val="start"/>
        <w:rPr/>
      </w:pPr>
      <w:r>
        <w:rPr/>
        <w:t>The retained principal-component scores will replace the continuous variables from which they were constructed. Categorical context variables may remain outside PCA.</w:t>
      </w:r>
    </w:p>
    <w:p>
      <w:pPr>
        <w:pStyle w:val="Heading4"/>
        <w:bidi w:val="0"/>
        <w:spacing w:lineRule="auto" w:line="276" w:before="0" w:after="140"/>
        <w:jc w:val="start"/>
        <w:rPr/>
      </w:pPr>
      <w:r>
        <w:rPr/>
        <w:t>Hybrid features</w:t>
      </w:r>
    </w:p>
    <w:p>
      <w:pPr>
        <w:pStyle w:val="BodyText"/>
        <w:bidi w:val="0"/>
        <w:jc w:val="start"/>
        <w:rPr/>
      </w:pPr>
      <w:r>
        <w:rPr/>
        <w:t>The hybrid representation will combine PCA scores with original variables that were not used to construct the components, such as district, season, extension access, irrigation status, or selected binary technology variables.</w:t>
      </w:r>
    </w:p>
    <w:p>
      <w:pPr>
        <w:pStyle w:val="BodyText"/>
        <w:bidi w:val="0"/>
        <w:jc w:val="start"/>
        <w:rPr/>
      </w:pPr>
      <w:r>
        <w:rPr/>
        <w:t>All original continuous variables must not be combined with components calculated from those same variables in an OLS model because this would introduce exact linear dependence.</w:t>
      </w:r>
    </w:p>
    <w:p>
      <w:pPr>
        <w:pStyle w:val="Heading3"/>
        <w:bidi w:val="0"/>
        <w:spacing w:lineRule="auto" w:line="276" w:before="0" w:after="140"/>
        <w:jc w:val="start"/>
        <w:rPr/>
      </w:pPr>
      <w:r>
        <w:rPr/>
        <w:t>12.16 Cross-validation</w:t>
      </w:r>
    </w:p>
    <w:p>
      <w:pPr>
        <w:pStyle w:val="BodyText"/>
        <w:bidi w:val="0"/>
        <w:jc w:val="start"/>
        <w:rPr/>
      </w:pPr>
      <w:r>
        <w:rPr/>
        <w:t>The models will be evaluated using five-fold cross-validation.</w:t>
      </w:r>
    </w:p>
    <w:p>
      <w:pPr>
        <w:pStyle w:val="BodyText"/>
        <w:bidi w:val="0"/>
        <w:jc w:val="start"/>
        <w:rPr/>
      </w:pPr>
      <w:r>
        <w:rPr/>
        <w:t>Where several plots belong to the same household, grouped cross-validation will be used so that records from one household do not appear in both the training and testing subsets of the same fold.</w:t>
      </w:r>
    </w:p>
    <w:p>
      <w:pPr>
        <w:pStyle w:val="BodyText"/>
        <w:bidi w:val="0"/>
        <w:jc w:val="start"/>
        <w:rPr/>
      </w:pPr>
      <w:r>
        <w:rPr/>
        <w:t>The following operations will be performed within each training fold:</w:t>
      </w:r>
    </w:p>
    <w:p>
      <w:pPr>
        <w:pStyle w:val="BodyText"/>
        <w:numPr>
          <w:ilvl w:val="0"/>
          <w:numId w:val="17"/>
        </w:numPr>
        <w:tabs>
          <w:tab w:val="clear" w:pos="709"/>
          <w:tab w:val="left" w:pos="709" w:leader="none"/>
        </w:tabs>
        <w:bidi w:val="0"/>
        <w:ind w:hanging="283" w:start="709"/>
        <w:jc w:val="start"/>
        <w:rPr/>
      </w:pPr>
      <w:r>
        <w:rPr/>
        <w:t>Imputation.</w:t>
      </w:r>
    </w:p>
    <w:p>
      <w:pPr>
        <w:pStyle w:val="BodyText"/>
        <w:numPr>
          <w:ilvl w:val="0"/>
          <w:numId w:val="17"/>
        </w:numPr>
        <w:tabs>
          <w:tab w:val="clear" w:pos="709"/>
          <w:tab w:val="left" w:pos="709" w:leader="none"/>
        </w:tabs>
        <w:bidi w:val="0"/>
        <w:ind w:hanging="283" w:start="709"/>
        <w:jc w:val="start"/>
        <w:rPr/>
      </w:pPr>
      <w:r>
        <w:rPr/>
        <w:t>Standardisation.</w:t>
      </w:r>
    </w:p>
    <w:p>
      <w:pPr>
        <w:pStyle w:val="BodyText"/>
        <w:numPr>
          <w:ilvl w:val="0"/>
          <w:numId w:val="17"/>
        </w:numPr>
        <w:tabs>
          <w:tab w:val="clear" w:pos="709"/>
          <w:tab w:val="left" w:pos="709" w:leader="none"/>
        </w:tabs>
        <w:bidi w:val="0"/>
        <w:ind w:hanging="283" w:start="709"/>
        <w:jc w:val="start"/>
        <w:rPr/>
      </w:pPr>
      <w:r>
        <w:rPr/>
        <w:t>Categorical encoding.</w:t>
      </w:r>
    </w:p>
    <w:p>
      <w:pPr>
        <w:pStyle w:val="BodyText"/>
        <w:numPr>
          <w:ilvl w:val="0"/>
          <w:numId w:val="17"/>
        </w:numPr>
        <w:tabs>
          <w:tab w:val="clear" w:pos="709"/>
          <w:tab w:val="left" w:pos="709" w:leader="none"/>
        </w:tabs>
        <w:bidi w:val="0"/>
        <w:ind w:hanging="283" w:start="709"/>
        <w:jc w:val="start"/>
        <w:rPr/>
      </w:pPr>
      <w:r>
        <w:rPr/>
        <w:t>PCA fitting.</w:t>
      </w:r>
    </w:p>
    <w:p>
      <w:pPr>
        <w:pStyle w:val="BodyText"/>
        <w:numPr>
          <w:ilvl w:val="0"/>
          <w:numId w:val="17"/>
        </w:numPr>
        <w:tabs>
          <w:tab w:val="clear" w:pos="709"/>
          <w:tab w:val="left" w:pos="709" w:leader="none"/>
        </w:tabs>
        <w:bidi w:val="0"/>
        <w:ind w:hanging="283" w:start="709"/>
        <w:jc w:val="start"/>
        <w:rPr/>
      </w:pPr>
      <w:r>
        <w:rPr/>
        <w:t>Hyperparameter selection.</w:t>
      </w:r>
    </w:p>
    <w:p>
      <w:pPr>
        <w:pStyle w:val="BodyText"/>
        <w:numPr>
          <w:ilvl w:val="0"/>
          <w:numId w:val="17"/>
        </w:numPr>
        <w:tabs>
          <w:tab w:val="clear" w:pos="709"/>
          <w:tab w:val="left" w:pos="709" w:leader="none"/>
        </w:tabs>
        <w:bidi w:val="0"/>
        <w:ind w:hanging="283" w:start="709"/>
        <w:jc w:val="start"/>
        <w:rPr/>
      </w:pPr>
      <w:r>
        <w:rPr/>
        <w:t>Model fitting.</w:t>
      </w:r>
    </w:p>
    <w:p>
      <w:pPr>
        <w:pStyle w:val="BodyText"/>
        <w:bidi w:val="0"/>
        <w:jc w:val="start"/>
        <w:rPr/>
      </w:pPr>
      <w:r>
        <w:rPr/>
        <w:t>This will reduce the risk of data leakage.</w:t>
      </w:r>
    </w:p>
    <w:p>
      <w:pPr>
        <w:pStyle w:val="Heading3"/>
        <w:bidi w:val="0"/>
        <w:spacing w:lineRule="auto" w:line="276" w:before="0" w:after="140"/>
        <w:jc w:val="start"/>
        <w:rPr/>
      </w:pPr>
      <w:r>
        <w:rPr/>
        <w:t>12.17 Model-evaluation metrics</w:t>
      </w:r>
    </w:p>
    <w:p>
      <w:pPr>
        <w:pStyle w:val="BodyText"/>
        <w:bidi w:val="0"/>
        <w:jc w:val="start"/>
        <w:rPr/>
      </w:pPr>
      <w:r>
        <w:rPr/>
        <w:t>The main metrics will be Root Mean Squared Error and the coefficient of determination.</w:t>
      </w:r>
    </w:p>
    <w:p>
      <w:pPr>
        <w:pStyle w:val="Heading1"/>
        <w:bidi w:val="0"/>
        <w:spacing w:lineRule="auto" w:line="276" w:before="0" w:after="140"/>
        <w:jc w:val="start"/>
        <w:rPr/>
      </w:pPr>
      <w:r>
        <w:rPr/>
        <w:t>[</w:t>
        <w:br/>
        <w:t>RMSE</w:t>
      </w:r>
    </w:p>
    <w:p>
      <w:pPr>
        <w:pStyle w:val="BodyText"/>
        <w:bidi w:val="0"/>
        <w:jc w:val="start"/>
        <w:rPr/>
      </w:pPr>
      <w:r>
        <w:rPr/>
        <w:t>\sqrt{</w:t>
        <w:br/>
        <w:t>\frac{1}{n}</w:t>
        <w:br/>
        <w:t>\sum_{i=1}^{n}</w:t>
        <w:br/>
        <w:t>(y_i-\hat{y}_i)^2</w:t>
        <w:br/>
        <w:t>}</w:t>
        <w:br/>
        <w:t>]</w:t>
      </w:r>
    </w:p>
    <w:p>
      <w:pPr>
        <w:pStyle w:val="Heading1"/>
        <w:bidi w:val="0"/>
        <w:spacing w:lineRule="auto" w:line="276" w:before="0" w:after="140"/>
        <w:jc w:val="start"/>
        <w:rPr/>
      </w:pPr>
      <w:r>
        <w:rPr/>
        <w:t>[</w:t>
        <w:br/>
        <w:t>R^2</w:t>
      </w:r>
    </w:p>
    <w:p>
      <w:pPr>
        <w:pStyle w:val="BodyText"/>
        <w:bidi w:val="0"/>
        <w:jc w:val="start"/>
        <w:rPr/>
      </w:pPr>
      <w:r>
        <w:rPr/>
        <w:t>1-</w:t>
        <w:br/>
        <w:t>\frac{</w:t>
        <w:br/>
        <w:t>\sum_{i=1}^{n}(y_i-\hat{y}</w:t>
      </w:r>
      <w:r>
        <w:rPr>
          <w:rStyle w:val="Emphasis"/>
        </w:rPr>
        <w:t>i)^2</w:t>
        <w:br/>
        <w:t>}{</w:t>
        <w:br/>
        <w:t>\sum</w:t>
      </w:r>
      <w:r>
        <w:rPr/>
        <w:t>{i=1}^{n}(y_i-\bar{y})^2</w:t>
        <w:br/>
        <w:t>}</w:t>
        <w:br/>
        <w:t>]</w:t>
      </w:r>
    </w:p>
    <w:p>
      <w:pPr>
        <w:pStyle w:val="BodyText"/>
        <w:bidi w:val="0"/>
        <w:jc w:val="start"/>
        <w:rPr/>
      </w:pPr>
      <w:r>
        <w:rPr/>
        <w:t>Lower RMSE and higher out-of-sample (R^2) will indicate better predictive performance.</w:t>
      </w:r>
    </w:p>
    <w:p>
      <w:pPr>
        <w:pStyle w:val="BodyText"/>
        <w:bidi w:val="0"/>
        <w:jc w:val="start"/>
        <w:rPr/>
      </w:pPr>
      <w:r>
        <w:rPr/>
        <w:t>For each model, the study will report:</w:t>
      </w:r>
    </w:p>
    <w:p>
      <w:pPr>
        <w:pStyle w:val="BodyText"/>
        <w:numPr>
          <w:ilvl w:val="0"/>
          <w:numId w:val="18"/>
        </w:numPr>
        <w:tabs>
          <w:tab w:val="clear" w:pos="709"/>
          <w:tab w:val="left" w:pos="709" w:leader="none"/>
        </w:tabs>
        <w:bidi w:val="0"/>
        <w:ind w:hanging="283" w:start="709"/>
        <w:jc w:val="start"/>
        <w:rPr/>
      </w:pPr>
      <w:r>
        <w:rPr/>
        <w:t>Mean cross-validation RMSE.</w:t>
      </w:r>
    </w:p>
    <w:p>
      <w:pPr>
        <w:pStyle w:val="BodyText"/>
        <w:numPr>
          <w:ilvl w:val="0"/>
          <w:numId w:val="18"/>
        </w:numPr>
        <w:tabs>
          <w:tab w:val="clear" w:pos="709"/>
          <w:tab w:val="left" w:pos="709" w:leader="none"/>
        </w:tabs>
        <w:bidi w:val="0"/>
        <w:ind w:hanging="283" w:start="709"/>
        <w:jc w:val="start"/>
        <w:rPr/>
      </w:pPr>
      <w:r>
        <w:rPr/>
        <w:t>Standard deviation of RMSE.</w:t>
      </w:r>
    </w:p>
    <w:p>
      <w:pPr>
        <w:pStyle w:val="BodyText"/>
        <w:numPr>
          <w:ilvl w:val="0"/>
          <w:numId w:val="18"/>
        </w:numPr>
        <w:tabs>
          <w:tab w:val="clear" w:pos="709"/>
          <w:tab w:val="left" w:pos="709" w:leader="none"/>
        </w:tabs>
        <w:bidi w:val="0"/>
        <w:ind w:hanging="283" w:start="709"/>
        <w:jc w:val="start"/>
        <w:rPr/>
      </w:pPr>
      <w:r>
        <w:rPr/>
        <w:t>Mean cross-validation (R^2).</w:t>
      </w:r>
    </w:p>
    <w:p>
      <w:pPr>
        <w:pStyle w:val="BodyText"/>
        <w:numPr>
          <w:ilvl w:val="0"/>
          <w:numId w:val="18"/>
        </w:numPr>
        <w:tabs>
          <w:tab w:val="clear" w:pos="709"/>
          <w:tab w:val="left" w:pos="709" w:leader="none"/>
        </w:tabs>
        <w:bidi w:val="0"/>
        <w:ind w:hanging="283" w:start="709"/>
        <w:jc w:val="start"/>
        <w:rPr/>
      </w:pPr>
      <w:r>
        <w:rPr/>
        <w:t>Standard deviation of (R^2).</w:t>
      </w:r>
    </w:p>
    <w:p>
      <w:pPr>
        <w:pStyle w:val="BodyText"/>
        <w:numPr>
          <w:ilvl w:val="0"/>
          <w:numId w:val="18"/>
        </w:numPr>
        <w:tabs>
          <w:tab w:val="clear" w:pos="709"/>
          <w:tab w:val="left" w:pos="709" w:leader="none"/>
        </w:tabs>
        <w:bidi w:val="0"/>
        <w:ind w:hanging="283" w:start="709"/>
        <w:jc w:val="start"/>
        <w:rPr/>
      </w:pPr>
      <w:r>
        <w:rPr/>
        <w:t>Number of input variables or components.</w:t>
      </w:r>
    </w:p>
    <w:p>
      <w:pPr>
        <w:pStyle w:val="BodyText"/>
        <w:numPr>
          <w:ilvl w:val="0"/>
          <w:numId w:val="18"/>
        </w:numPr>
        <w:tabs>
          <w:tab w:val="clear" w:pos="709"/>
          <w:tab w:val="left" w:pos="709" w:leader="none"/>
        </w:tabs>
        <w:bidi w:val="0"/>
        <w:ind w:hanging="283" w:start="709"/>
        <w:jc w:val="start"/>
        <w:rPr/>
      </w:pPr>
      <w:r>
        <w:rPr/>
        <w:t>Selected model settings.</w:t>
      </w:r>
    </w:p>
    <w:p>
      <w:pPr>
        <w:pStyle w:val="Heading3"/>
        <w:bidi w:val="0"/>
        <w:spacing w:lineRule="auto" w:line="276" w:before="0" w:after="140"/>
        <w:jc w:val="start"/>
        <w:rPr/>
      </w:pPr>
      <w:r>
        <w:rPr/>
        <w:t>12.18 Software and tools</w:t>
      </w:r>
    </w:p>
    <w:p>
      <w:pPr>
        <w:pStyle w:val="BodyText"/>
        <w:bidi w:val="0"/>
        <w:jc w:val="start"/>
        <w:rPr/>
      </w:pPr>
      <w:r>
        <w:rPr/>
        <w:t>The study will use:</w:t>
      </w:r>
    </w:p>
    <w:p>
      <w:pPr>
        <w:pStyle w:val="BodyText"/>
        <w:numPr>
          <w:ilvl w:val="0"/>
          <w:numId w:val="19"/>
        </w:numPr>
        <w:tabs>
          <w:tab w:val="clear" w:pos="709"/>
          <w:tab w:val="left" w:pos="709" w:leader="none"/>
        </w:tabs>
        <w:bidi w:val="0"/>
        <w:ind w:hanging="283" w:start="709"/>
        <w:jc w:val="start"/>
        <w:rPr/>
      </w:pPr>
      <w:r>
        <w:rPr/>
        <w:t>Python.</w:t>
      </w:r>
    </w:p>
    <w:p>
      <w:pPr>
        <w:pStyle w:val="BodyText"/>
        <w:numPr>
          <w:ilvl w:val="0"/>
          <w:numId w:val="19"/>
        </w:numPr>
        <w:tabs>
          <w:tab w:val="clear" w:pos="709"/>
          <w:tab w:val="left" w:pos="709" w:leader="none"/>
        </w:tabs>
        <w:bidi w:val="0"/>
        <w:ind w:hanging="283" w:start="709"/>
        <w:jc w:val="start"/>
        <w:rPr/>
      </w:pPr>
      <w:r>
        <w:rPr/>
        <w:t>Jupyter Notebook.</w:t>
      </w:r>
    </w:p>
    <w:p>
      <w:pPr>
        <w:pStyle w:val="BodyText"/>
        <w:numPr>
          <w:ilvl w:val="0"/>
          <w:numId w:val="19"/>
        </w:numPr>
        <w:tabs>
          <w:tab w:val="clear" w:pos="709"/>
          <w:tab w:val="left" w:pos="709" w:leader="none"/>
        </w:tabs>
        <w:bidi w:val="0"/>
        <w:ind w:hanging="283" w:start="709"/>
        <w:jc w:val="start"/>
        <w:rPr/>
      </w:pPr>
      <w:r>
        <w:rPr/>
        <w:t>NumPy.</w:t>
      </w:r>
    </w:p>
    <w:p>
      <w:pPr>
        <w:pStyle w:val="BodyText"/>
        <w:numPr>
          <w:ilvl w:val="0"/>
          <w:numId w:val="19"/>
        </w:numPr>
        <w:tabs>
          <w:tab w:val="clear" w:pos="709"/>
          <w:tab w:val="left" w:pos="709" w:leader="none"/>
        </w:tabs>
        <w:bidi w:val="0"/>
        <w:ind w:hanging="283" w:start="709"/>
        <w:jc w:val="start"/>
        <w:rPr/>
      </w:pPr>
      <w:r>
        <w:rPr/>
        <w:t>pandas.</w:t>
      </w:r>
    </w:p>
    <w:p>
      <w:pPr>
        <w:pStyle w:val="BodyText"/>
        <w:numPr>
          <w:ilvl w:val="0"/>
          <w:numId w:val="19"/>
        </w:numPr>
        <w:tabs>
          <w:tab w:val="clear" w:pos="709"/>
          <w:tab w:val="left" w:pos="709" w:leader="none"/>
        </w:tabs>
        <w:bidi w:val="0"/>
        <w:ind w:hanging="283" w:start="709"/>
        <w:jc w:val="start"/>
        <w:rPr/>
      </w:pPr>
      <w:r>
        <w:rPr/>
        <w:t>SciPy.</w:t>
      </w:r>
    </w:p>
    <w:p>
      <w:pPr>
        <w:pStyle w:val="BodyText"/>
        <w:numPr>
          <w:ilvl w:val="0"/>
          <w:numId w:val="19"/>
        </w:numPr>
        <w:tabs>
          <w:tab w:val="clear" w:pos="709"/>
          <w:tab w:val="left" w:pos="709" w:leader="none"/>
        </w:tabs>
        <w:bidi w:val="0"/>
        <w:ind w:hanging="283" w:start="709"/>
        <w:jc w:val="start"/>
        <w:rPr/>
      </w:pPr>
      <w:r>
        <w:rPr/>
        <w:t>scikit-learn.</w:t>
      </w:r>
    </w:p>
    <w:p>
      <w:pPr>
        <w:pStyle w:val="BodyText"/>
        <w:numPr>
          <w:ilvl w:val="0"/>
          <w:numId w:val="19"/>
        </w:numPr>
        <w:tabs>
          <w:tab w:val="clear" w:pos="709"/>
          <w:tab w:val="left" w:pos="709" w:leader="none"/>
        </w:tabs>
        <w:bidi w:val="0"/>
        <w:ind w:hanging="283" w:start="709"/>
        <w:jc w:val="start"/>
        <w:rPr/>
      </w:pPr>
      <w:r>
        <w:rPr/>
        <w:t>XGBoost.</w:t>
      </w:r>
    </w:p>
    <w:p>
      <w:pPr>
        <w:pStyle w:val="BodyText"/>
        <w:numPr>
          <w:ilvl w:val="0"/>
          <w:numId w:val="19"/>
        </w:numPr>
        <w:tabs>
          <w:tab w:val="clear" w:pos="709"/>
          <w:tab w:val="left" w:pos="709" w:leader="none"/>
        </w:tabs>
        <w:bidi w:val="0"/>
        <w:ind w:hanging="283" w:start="709"/>
        <w:jc w:val="start"/>
        <w:rPr/>
      </w:pPr>
      <w:r>
        <w:rPr/>
        <w:t>Matplotlib.</w:t>
      </w:r>
    </w:p>
    <w:p>
      <w:pPr>
        <w:pStyle w:val="BodyText"/>
        <w:numPr>
          <w:ilvl w:val="0"/>
          <w:numId w:val="19"/>
        </w:numPr>
        <w:tabs>
          <w:tab w:val="clear" w:pos="709"/>
          <w:tab w:val="left" w:pos="709" w:leader="none"/>
        </w:tabs>
        <w:bidi w:val="0"/>
        <w:ind w:hanging="283" w:start="709"/>
        <w:jc w:val="start"/>
        <w:rPr/>
      </w:pPr>
      <w:r>
        <w:rPr/>
        <w:t>GeoPandas or related geospatial tools.</w:t>
      </w:r>
    </w:p>
    <w:p>
      <w:pPr>
        <w:pStyle w:val="BodyText"/>
        <w:numPr>
          <w:ilvl w:val="0"/>
          <w:numId w:val="19"/>
        </w:numPr>
        <w:tabs>
          <w:tab w:val="clear" w:pos="709"/>
          <w:tab w:val="left" w:pos="709" w:leader="none"/>
        </w:tabs>
        <w:bidi w:val="0"/>
        <w:ind w:hanging="283" w:start="709"/>
        <w:jc w:val="start"/>
        <w:rPr/>
      </w:pPr>
      <w:r>
        <w:rPr/>
        <w:t>Google Earth Engine.</w:t>
      </w:r>
    </w:p>
    <w:p>
      <w:pPr>
        <w:pStyle w:val="BodyText"/>
        <w:numPr>
          <w:ilvl w:val="0"/>
          <w:numId w:val="19"/>
        </w:numPr>
        <w:tabs>
          <w:tab w:val="clear" w:pos="709"/>
          <w:tab w:val="left" w:pos="709" w:leader="none"/>
        </w:tabs>
        <w:bidi w:val="0"/>
        <w:ind w:hanging="283" w:start="709"/>
        <w:jc w:val="start"/>
        <w:rPr/>
      </w:pPr>
      <w:r>
        <w:rPr/>
        <w:t>Git and GitHub.</w:t>
      </w:r>
    </w:p>
    <w:p>
      <w:pPr>
        <w:pStyle w:val="Heading2"/>
        <w:bidi w:val="0"/>
        <w:spacing w:lineRule="auto" w:line="276" w:before="0" w:after="140"/>
        <w:jc w:val="start"/>
        <w:rPr/>
      </w:pPr>
      <w:r>
        <w:rPr/>
        <w:t>13. Ethical Considerations</w:t>
      </w:r>
    </w:p>
    <w:p>
      <w:pPr>
        <w:pStyle w:val="BodyText"/>
        <w:bidi w:val="0"/>
        <w:jc w:val="start"/>
        <w:rPr/>
      </w:pPr>
      <w:r>
        <w:rPr/>
        <w:t>The study will use secondary data and will not directly recruit or interact with human participants.</w:t>
      </w:r>
    </w:p>
    <w:p>
      <w:pPr>
        <w:pStyle w:val="BodyText"/>
        <w:bidi w:val="0"/>
        <w:jc w:val="start"/>
        <w:rPr/>
      </w:pPr>
      <w:r>
        <w:rPr/>
        <w:t>The researcher will:</w:t>
      </w:r>
    </w:p>
    <w:p>
      <w:pPr>
        <w:pStyle w:val="BodyText"/>
        <w:numPr>
          <w:ilvl w:val="0"/>
          <w:numId w:val="20"/>
        </w:numPr>
        <w:tabs>
          <w:tab w:val="clear" w:pos="709"/>
          <w:tab w:val="left" w:pos="709" w:leader="none"/>
        </w:tabs>
        <w:bidi w:val="0"/>
        <w:ind w:hanging="283" w:start="709"/>
        <w:jc w:val="start"/>
        <w:rPr/>
      </w:pPr>
      <w:r>
        <w:rPr/>
        <w:t>Follow the data-use conditions of UBOS, the World Bank, Google Earth Engine, and other providers.</w:t>
      </w:r>
    </w:p>
    <w:p>
      <w:pPr>
        <w:pStyle w:val="BodyText"/>
        <w:numPr>
          <w:ilvl w:val="0"/>
          <w:numId w:val="20"/>
        </w:numPr>
        <w:tabs>
          <w:tab w:val="clear" w:pos="709"/>
          <w:tab w:val="left" w:pos="709" w:leader="none"/>
        </w:tabs>
        <w:bidi w:val="0"/>
        <w:ind w:hanging="283" w:start="709"/>
        <w:jc w:val="start"/>
        <w:rPr/>
      </w:pPr>
      <w:r>
        <w:rPr/>
        <w:t>Use only authorised versions of restricted datasets.</w:t>
      </w:r>
    </w:p>
    <w:p>
      <w:pPr>
        <w:pStyle w:val="BodyText"/>
        <w:numPr>
          <w:ilvl w:val="0"/>
          <w:numId w:val="20"/>
        </w:numPr>
        <w:tabs>
          <w:tab w:val="clear" w:pos="709"/>
          <w:tab w:val="left" w:pos="709" w:leader="none"/>
        </w:tabs>
        <w:bidi w:val="0"/>
        <w:ind w:hanging="283" w:start="709"/>
        <w:jc w:val="start"/>
        <w:rPr/>
      </w:pPr>
      <w:r>
        <w:rPr/>
        <w:t>Remove or replace household identifiers from analytical outputs.</w:t>
      </w:r>
    </w:p>
    <w:p>
      <w:pPr>
        <w:pStyle w:val="BodyText"/>
        <w:numPr>
          <w:ilvl w:val="0"/>
          <w:numId w:val="20"/>
        </w:numPr>
        <w:tabs>
          <w:tab w:val="clear" w:pos="709"/>
          <w:tab w:val="left" w:pos="709" w:leader="none"/>
        </w:tabs>
        <w:bidi w:val="0"/>
        <w:ind w:hanging="283" w:start="709"/>
        <w:jc w:val="start"/>
        <w:rPr/>
      </w:pPr>
      <w:r>
        <w:rPr/>
        <w:t>Avoid publishing exact household coordinates.</w:t>
      </w:r>
    </w:p>
    <w:p>
      <w:pPr>
        <w:pStyle w:val="BodyText"/>
        <w:numPr>
          <w:ilvl w:val="0"/>
          <w:numId w:val="20"/>
        </w:numPr>
        <w:tabs>
          <w:tab w:val="clear" w:pos="709"/>
          <w:tab w:val="left" w:pos="709" w:leader="none"/>
        </w:tabs>
        <w:bidi w:val="0"/>
        <w:ind w:hanging="283" w:start="709"/>
        <w:jc w:val="start"/>
        <w:rPr/>
      </w:pPr>
      <w:r>
        <w:rPr/>
        <w:t>Store restricted raw data outside the public GitHub repository.</w:t>
      </w:r>
    </w:p>
    <w:p>
      <w:pPr>
        <w:pStyle w:val="BodyText"/>
        <w:numPr>
          <w:ilvl w:val="0"/>
          <w:numId w:val="20"/>
        </w:numPr>
        <w:tabs>
          <w:tab w:val="clear" w:pos="709"/>
          <w:tab w:val="left" w:pos="709" w:leader="none"/>
        </w:tabs>
        <w:bidi w:val="0"/>
        <w:ind w:hanging="283" w:start="709"/>
        <w:jc w:val="start"/>
        <w:rPr/>
      </w:pPr>
      <w:r>
        <w:rPr/>
        <w:t>Publish code, documentation, aggregate findings, and synthetic examples rather than restricted household records.</w:t>
      </w:r>
    </w:p>
    <w:p>
      <w:pPr>
        <w:pStyle w:val="BodyText"/>
        <w:numPr>
          <w:ilvl w:val="0"/>
          <w:numId w:val="20"/>
        </w:numPr>
        <w:tabs>
          <w:tab w:val="clear" w:pos="709"/>
          <w:tab w:val="left" w:pos="709" w:leader="none"/>
        </w:tabs>
        <w:bidi w:val="0"/>
        <w:ind w:hanging="283" w:start="709"/>
        <w:jc w:val="start"/>
        <w:rPr/>
      </w:pPr>
      <w:r>
        <w:rPr/>
        <w:t>Report methods and results honestly.</w:t>
      </w:r>
    </w:p>
    <w:p>
      <w:pPr>
        <w:pStyle w:val="BodyText"/>
        <w:numPr>
          <w:ilvl w:val="0"/>
          <w:numId w:val="20"/>
        </w:numPr>
        <w:tabs>
          <w:tab w:val="clear" w:pos="709"/>
          <w:tab w:val="left" w:pos="709" w:leader="none"/>
        </w:tabs>
        <w:bidi w:val="0"/>
        <w:ind w:hanging="283" w:start="709"/>
        <w:jc w:val="start"/>
        <w:rPr/>
      </w:pPr>
      <w:r>
        <w:rPr/>
        <w:t>Avoid manipulating results to favour a particular model.</w:t>
      </w:r>
    </w:p>
    <w:p>
      <w:pPr>
        <w:pStyle w:val="BodyText"/>
        <w:numPr>
          <w:ilvl w:val="0"/>
          <w:numId w:val="20"/>
        </w:numPr>
        <w:tabs>
          <w:tab w:val="clear" w:pos="709"/>
          <w:tab w:val="left" w:pos="709" w:leader="none"/>
        </w:tabs>
        <w:bidi w:val="0"/>
        <w:ind w:hanging="283" w:start="709"/>
        <w:jc w:val="start"/>
        <w:rPr/>
      </w:pPr>
      <w:r>
        <w:rPr/>
        <w:t>Cite every dataset, publication, and software source appropriately.</w:t>
      </w:r>
    </w:p>
    <w:p>
      <w:pPr>
        <w:pStyle w:val="BodyText"/>
        <w:bidi w:val="0"/>
        <w:jc w:val="start"/>
        <w:rPr/>
      </w:pPr>
      <w:r>
        <w:rPr/>
        <w:t>Bugema University’s ethics procedures distinguish studies involving direct human interaction and also provide a process for archived records or document-based research where an informed-consent waiver may be applicable. The researcher will therefore seek guidance from the department and BU-REC regarding whether formal review, exemption, or a waiver is required before beginning the study. (</w:t>
      </w:r>
      <w:hyperlink r:id="rId14">
        <w:r>
          <w:rPr>
            <w:rStyle w:val="Hyperlink"/>
          </w:rPr>
          <w:t>Bugema University</w:t>
        </w:r>
      </w:hyperlink>
      <w:r>
        <w:rPr/>
        <w:t>)</w:t>
      </w:r>
    </w:p>
    <w:p>
      <w:pPr>
        <w:pStyle w:val="Heading2"/>
        <w:bidi w:val="0"/>
        <w:spacing w:lineRule="auto" w:line="276" w:before="0" w:after="140"/>
        <w:jc w:val="start"/>
        <w:rPr/>
      </w:pPr>
      <w:r>
        <w:rPr/>
        <w:t>14. Anticipated Results</w:t>
      </w:r>
    </w:p>
    <w:p>
      <w:pPr>
        <w:pStyle w:val="BodyText"/>
        <w:bidi w:val="0"/>
        <w:jc w:val="start"/>
        <w:rPr/>
      </w:pPr>
      <w:r>
        <w:rPr/>
        <w:t>The study is expected to produce:</w:t>
      </w:r>
    </w:p>
    <w:p>
      <w:pPr>
        <w:pStyle w:val="BodyText"/>
        <w:numPr>
          <w:ilvl w:val="0"/>
          <w:numId w:val="21"/>
        </w:numPr>
        <w:tabs>
          <w:tab w:val="clear" w:pos="709"/>
          <w:tab w:val="left" w:pos="709" w:leader="none"/>
        </w:tabs>
        <w:bidi w:val="0"/>
        <w:ind w:hanging="283" w:start="709"/>
        <w:jc w:val="start"/>
        <w:rPr/>
      </w:pPr>
      <w:r>
        <w:rPr/>
        <w:t>A documented secondary-data acquisition and integration pipeline.</w:t>
      </w:r>
    </w:p>
    <w:p>
      <w:pPr>
        <w:pStyle w:val="BodyText"/>
        <w:numPr>
          <w:ilvl w:val="0"/>
          <w:numId w:val="21"/>
        </w:numPr>
        <w:tabs>
          <w:tab w:val="clear" w:pos="709"/>
          <w:tab w:val="left" w:pos="709" w:leader="none"/>
        </w:tabs>
        <w:bidi w:val="0"/>
        <w:ind w:hanging="283" w:start="709"/>
        <w:jc w:val="start"/>
        <w:rPr/>
      </w:pPr>
      <w:r>
        <w:rPr/>
        <w:t>A cleaned maize plot-season dataset containing at least 100 observations and eight predictors.</w:t>
      </w:r>
    </w:p>
    <w:p>
      <w:pPr>
        <w:pStyle w:val="BodyText"/>
        <w:numPr>
          <w:ilvl w:val="0"/>
          <w:numId w:val="21"/>
        </w:numPr>
        <w:tabs>
          <w:tab w:val="clear" w:pos="709"/>
          <w:tab w:val="left" w:pos="709" w:leader="none"/>
        </w:tabs>
        <w:bidi w:val="0"/>
        <w:ind w:hanging="283" w:start="709"/>
        <w:jc w:val="start"/>
        <w:rPr/>
      </w:pPr>
      <w:r>
        <w:rPr/>
        <w:t>A handwritten derivation of the PCA characteristic equation.</w:t>
      </w:r>
    </w:p>
    <w:p>
      <w:pPr>
        <w:pStyle w:val="BodyText"/>
        <w:numPr>
          <w:ilvl w:val="0"/>
          <w:numId w:val="21"/>
        </w:numPr>
        <w:tabs>
          <w:tab w:val="clear" w:pos="709"/>
          <w:tab w:val="left" w:pos="709" w:leader="none"/>
        </w:tabs>
        <w:bidi w:val="0"/>
        <w:ind w:hanging="283" w:start="709"/>
        <w:jc w:val="start"/>
        <w:rPr/>
      </w:pPr>
      <w:r>
        <w:rPr/>
        <w:t>A proof that the covariance matrix is symmetric and positive semi-definite.</w:t>
      </w:r>
    </w:p>
    <w:p>
      <w:pPr>
        <w:pStyle w:val="BodyText"/>
        <w:numPr>
          <w:ilvl w:val="0"/>
          <w:numId w:val="21"/>
        </w:numPr>
        <w:tabs>
          <w:tab w:val="clear" w:pos="709"/>
          <w:tab w:val="left" w:pos="709" w:leader="none"/>
        </w:tabs>
        <w:bidi w:val="0"/>
        <w:ind w:hanging="283" w:start="709"/>
        <w:jc w:val="start"/>
        <w:rPr/>
      </w:pPr>
      <w:r>
        <w:rPr/>
        <w:t xml:space="preserve">A notebook confirming that manual eigenvalues agree with </w:t>
      </w:r>
      <w:r>
        <w:rPr>
          <w:rStyle w:val="SourceText"/>
        </w:rPr>
        <w:t>numpy.linalg.eigh()</w:t>
      </w:r>
      <w:r>
        <w:rPr/>
        <w:t>.</w:t>
      </w:r>
    </w:p>
    <w:p>
      <w:pPr>
        <w:pStyle w:val="BodyText"/>
        <w:numPr>
          <w:ilvl w:val="0"/>
          <w:numId w:val="21"/>
        </w:numPr>
        <w:tabs>
          <w:tab w:val="clear" w:pos="709"/>
          <w:tab w:val="left" w:pos="709" w:leader="none"/>
        </w:tabs>
        <w:bidi w:val="0"/>
        <w:ind w:hanging="283" w:start="709"/>
        <w:jc w:val="start"/>
        <w:rPr/>
      </w:pPr>
      <w:r>
        <w:rPr/>
        <w:t>An exploratory-data-analysis report.</w:t>
      </w:r>
    </w:p>
    <w:p>
      <w:pPr>
        <w:pStyle w:val="BodyText"/>
        <w:numPr>
          <w:ilvl w:val="0"/>
          <w:numId w:val="21"/>
        </w:numPr>
        <w:tabs>
          <w:tab w:val="clear" w:pos="709"/>
          <w:tab w:val="left" w:pos="709" w:leader="none"/>
        </w:tabs>
        <w:bidi w:val="0"/>
        <w:ind w:hanging="283" w:start="709"/>
        <w:jc w:val="start"/>
        <w:rPr/>
      </w:pPr>
      <w:r>
        <w:rPr/>
        <w:t>A correlation matrix and variable-distribution figures.</w:t>
      </w:r>
    </w:p>
    <w:p>
      <w:pPr>
        <w:pStyle w:val="BodyText"/>
        <w:numPr>
          <w:ilvl w:val="0"/>
          <w:numId w:val="21"/>
        </w:numPr>
        <w:tabs>
          <w:tab w:val="clear" w:pos="709"/>
          <w:tab w:val="left" w:pos="709" w:leader="none"/>
        </w:tabs>
        <w:bidi w:val="0"/>
        <w:ind w:hanging="283" w:start="709"/>
        <w:jc w:val="start"/>
        <w:rPr/>
      </w:pPr>
      <w:r>
        <w:rPr/>
        <w:t>A set of retained principal components and explained-variance results.</w:t>
      </w:r>
    </w:p>
    <w:p>
      <w:pPr>
        <w:pStyle w:val="BodyText"/>
        <w:numPr>
          <w:ilvl w:val="0"/>
          <w:numId w:val="21"/>
        </w:numPr>
        <w:tabs>
          <w:tab w:val="clear" w:pos="709"/>
          <w:tab w:val="left" w:pos="709" w:leader="none"/>
        </w:tabs>
        <w:bidi w:val="0"/>
        <w:ind w:hanging="283" w:start="709"/>
        <w:jc w:val="start"/>
        <w:rPr/>
      </w:pPr>
      <w:r>
        <w:rPr/>
        <w:t>An evidence-based interpretation of PC1 and the other retained components.</w:t>
      </w:r>
    </w:p>
    <w:p>
      <w:pPr>
        <w:pStyle w:val="BodyText"/>
        <w:numPr>
          <w:ilvl w:val="0"/>
          <w:numId w:val="21"/>
        </w:numPr>
        <w:tabs>
          <w:tab w:val="clear" w:pos="709"/>
          <w:tab w:val="left" w:pos="709" w:leader="none"/>
        </w:tabs>
        <w:bidi w:val="0"/>
        <w:ind w:hanging="283" w:start="709"/>
        <w:jc w:val="start"/>
        <w:rPr/>
      </w:pPr>
      <w:r>
        <w:rPr/>
        <w:t>Four publication-quality PCA figures.</w:t>
      </w:r>
    </w:p>
    <w:p>
      <w:pPr>
        <w:pStyle w:val="BodyText"/>
        <w:numPr>
          <w:ilvl w:val="0"/>
          <w:numId w:val="21"/>
        </w:numPr>
        <w:tabs>
          <w:tab w:val="clear" w:pos="709"/>
          <w:tab w:val="left" w:pos="709" w:leader="none"/>
        </w:tabs>
        <w:bidi w:val="0"/>
        <w:ind w:hanging="283" w:start="709"/>
        <w:jc w:val="start"/>
        <w:rPr/>
      </w:pPr>
      <w:r>
        <w:rPr/>
        <w:t>OLS, Ridge, Random Forest, and XGBoost yield-prediction models.</w:t>
      </w:r>
    </w:p>
    <w:p>
      <w:pPr>
        <w:pStyle w:val="BodyText"/>
        <w:numPr>
          <w:ilvl w:val="0"/>
          <w:numId w:val="21"/>
        </w:numPr>
        <w:tabs>
          <w:tab w:val="clear" w:pos="709"/>
          <w:tab w:val="left" w:pos="709" w:leader="none"/>
        </w:tabs>
        <w:bidi w:val="0"/>
        <w:ind w:hanging="283" w:start="709"/>
        <w:jc w:val="start"/>
        <w:rPr/>
      </w:pPr>
      <w:r>
        <w:rPr/>
        <w:t>A model-comparison table based on RMSE and (R^2).</w:t>
      </w:r>
    </w:p>
    <w:p>
      <w:pPr>
        <w:pStyle w:val="BodyText"/>
        <w:numPr>
          <w:ilvl w:val="0"/>
          <w:numId w:val="21"/>
        </w:numPr>
        <w:tabs>
          <w:tab w:val="clear" w:pos="709"/>
          <w:tab w:val="left" w:pos="709" w:leader="none"/>
        </w:tabs>
        <w:bidi w:val="0"/>
        <w:ind w:hanging="283" w:start="709"/>
        <w:jc w:val="start"/>
        <w:rPr/>
      </w:pPr>
      <w:r>
        <w:rPr/>
        <w:t>A technical report and five-minute presentation.</w:t>
      </w:r>
    </w:p>
    <w:p>
      <w:pPr>
        <w:pStyle w:val="BodyText"/>
        <w:numPr>
          <w:ilvl w:val="0"/>
          <w:numId w:val="21"/>
        </w:numPr>
        <w:tabs>
          <w:tab w:val="clear" w:pos="709"/>
          <w:tab w:val="left" w:pos="709" w:leader="none"/>
        </w:tabs>
        <w:bidi w:val="0"/>
        <w:ind w:hanging="283" w:start="709"/>
        <w:jc w:val="start"/>
        <w:rPr/>
      </w:pPr>
      <w:r>
        <w:rPr/>
        <w:t>A reproducible GitHub repository.</w:t>
      </w:r>
    </w:p>
    <w:p>
      <w:pPr>
        <w:pStyle w:val="BodyText"/>
        <w:numPr>
          <w:ilvl w:val="0"/>
          <w:numId w:val="21"/>
        </w:numPr>
        <w:tabs>
          <w:tab w:val="clear" w:pos="709"/>
          <w:tab w:val="left" w:pos="709" w:leader="none"/>
        </w:tabs>
        <w:bidi w:val="0"/>
        <w:ind w:hanging="283" w:start="709"/>
        <w:jc w:val="start"/>
        <w:rPr/>
      </w:pPr>
      <w:r>
        <w:rPr/>
        <w:t>Recommendations concerning whether future field validation is justified.</w:t>
      </w:r>
    </w:p>
    <w:p>
      <w:pPr>
        <w:pStyle w:val="BodyText"/>
        <w:bidi w:val="0"/>
        <w:jc w:val="start"/>
        <w:rPr/>
      </w:pPr>
      <w:r>
        <w:rPr/>
        <w:t>These are anticipated outputs rather than predetermined findings. The study may find that PCA improves some models, reduces the performance of others, or does not produce a meaningful improvement.</w:t>
      </w:r>
    </w:p>
    <w:p>
      <w:pPr>
        <w:pStyle w:val="Heading2"/>
        <w:bidi w:val="0"/>
        <w:spacing w:lineRule="auto" w:line="276" w:before="0" w:after="140"/>
        <w:jc w:val="start"/>
        <w:rPr/>
      </w:pPr>
      <w:r>
        <w:rPr/>
        <w:t>15. Limitations of the Study</w:t>
      </w:r>
    </w:p>
    <w:p>
      <w:pPr>
        <w:pStyle w:val="BodyText"/>
        <w:bidi w:val="0"/>
        <w:jc w:val="start"/>
        <w:rPr/>
      </w:pPr>
      <w:r>
        <w:rPr/>
        <w:t>The study may be affected by the following limitations:</w:t>
      </w:r>
    </w:p>
    <w:p>
      <w:pPr>
        <w:pStyle w:val="BodyText"/>
        <w:numPr>
          <w:ilvl w:val="0"/>
          <w:numId w:val="22"/>
        </w:numPr>
        <w:tabs>
          <w:tab w:val="clear" w:pos="709"/>
          <w:tab w:val="left" w:pos="709" w:leader="none"/>
        </w:tabs>
        <w:bidi w:val="0"/>
        <w:ind w:hanging="283" w:start="709"/>
        <w:jc w:val="start"/>
        <w:rPr/>
      </w:pPr>
      <w:r>
        <w:rPr/>
        <w:t>Secondary survey data may contain missing values, reporting errors, and inconsistent local measurement units.</w:t>
      </w:r>
    </w:p>
    <w:p>
      <w:pPr>
        <w:pStyle w:val="BodyText"/>
        <w:numPr>
          <w:ilvl w:val="0"/>
          <w:numId w:val="22"/>
        </w:numPr>
        <w:tabs>
          <w:tab w:val="clear" w:pos="709"/>
          <w:tab w:val="left" w:pos="709" w:leader="none"/>
        </w:tabs>
        <w:bidi w:val="0"/>
        <w:ind w:hanging="283" w:start="709"/>
        <w:jc w:val="start"/>
        <w:rPr/>
      </w:pPr>
      <w:r>
        <w:rPr/>
        <w:t>Harvested quantities and plot sizes may be self-reported.</w:t>
      </w:r>
    </w:p>
    <w:p>
      <w:pPr>
        <w:pStyle w:val="BodyText"/>
        <w:numPr>
          <w:ilvl w:val="0"/>
          <w:numId w:val="22"/>
        </w:numPr>
        <w:tabs>
          <w:tab w:val="clear" w:pos="709"/>
          <w:tab w:val="left" w:pos="709" w:leader="none"/>
        </w:tabs>
        <w:bidi w:val="0"/>
        <w:ind w:hanging="283" w:start="709"/>
        <w:jc w:val="start"/>
        <w:rPr/>
      </w:pPr>
      <w:r>
        <w:rPr/>
        <w:t>Anonymised household coordinates may introduce error when linking rainfall data.</w:t>
      </w:r>
    </w:p>
    <w:p>
      <w:pPr>
        <w:pStyle w:val="BodyText"/>
        <w:numPr>
          <w:ilvl w:val="0"/>
          <w:numId w:val="22"/>
        </w:numPr>
        <w:tabs>
          <w:tab w:val="clear" w:pos="709"/>
          <w:tab w:val="left" w:pos="709" w:leader="none"/>
        </w:tabs>
        <w:bidi w:val="0"/>
        <w:ind w:hanging="283" w:start="709"/>
        <w:jc w:val="start"/>
        <w:rPr/>
      </w:pPr>
      <w:r>
        <w:rPr/>
        <w:t>Agricultural survey periods may not align perfectly with satellite-data periods.</w:t>
      </w:r>
    </w:p>
    <w:p>
      <w:pPr>
        <w:pStyle w:val="BodyText"/>
        <w:numPr>
          <w:ilvl w:val="0"/>
          <w:numId w:val="22"/>
        </w:numPr>
        <w:tabs>
          <w:tab w:val="clear" w:pos="709"/>
          <w:tab w:val="left" w:pos="709" w:leader="none"/>
        </w:tabs>
        <w:bidi w:val="0"/>
        <w:ind w:hanging="283" w:start="709"/>
        <w:jc w:val="start"/>
        <w:rPr/>
      </w:pPr>
      <w:r>
        <w:rPr/>
        <w:t>District-level samples from UNPS may be too small to support representative district estimates.</w:t>
      </w:r>
    </w:p>
    <w:p>
      <w:pPr>
        <w:pStyle w:val="BodyText"/>
        <w:numPr>
          <w:ilvl w:val="0"/>
          <w:numId w:val="22"/>
        </w:numPr>
        <w:tabs>
          <w:tab w:val="clear" w:pos="709"/>
          <w:tab w:val="left" w:pos="709" w:leader="none"/>
        </w:tabs>
        <w:bidi w:val="0"/>
        <w:ind w:hanging="283" w:start="709"/>
        <w:jc w:val="start"/>
        <w:rPr/>
      </w:pPr>
      <w:r>
        <w:rPr/>
        <w:t>AAS and UNPS are separate surveys and cannot be directly linked household by household.</w:t>
      </w:r>
    </w:p>
    <w:p>
      <w:pPr>
        <w:pStyle w:val="BodyText"/>
        <w:numPr>
          <w:ilvl w:val="0"/>
          <w:numId w:val="22"/>
        </w:numPr>
        <w:tabs>
          <w:tab w:val="clear" w:pos="709"/>
          <w:tab w:val="left" w:pos="709" w:leader="none"/>
        </w:tabs>
        <w:bidi w:val="0"/>
        <w:ind w:hanging="283" w:start="709"/>
        <w:jc w:val="start"/>
        <w:rPr/>
      </w:pPr>
      <w:r>
        <w:rPr/>
        <w:t>PCA results will depend on variable selection, standardisation, missing-data treatment, and outlier handling.</w:t>
      </w:r>
    </w:p>
    <w:p>
      <w:pPr>
        <w:pStyle w:val="BodyText"/>
        <w:numPr>
          <w:ilvl w:val="0"/>
          <w:numId w:val="22"/>
        </w:numPr>
        <w:tabs>
          <w:tab w:val="clear" w:pos="709"/>
          <w:tab w:val="left" w:pos="709" w:leader="none"/>
        </w:tabs>
        <w:bidi w:val="0"/>
        <w:ind w:hanging="283" w:start="709"/>
        <w:jc w:val="start"/>
        <w:rPr/>
      </w:pPr>
      <w:r>
        <w:rPr/>
        <w:t>PCA explains predictor variance and does not necessarily maximise yield-prediction accuracy.</w:t>
      </w:r>
    </w:p>
    <w:p>
      <w:pPr>
        <w:pStyle w:val="BodyText"/>
        <w:numPr>
          <w:ilvl w:val="0"/>
          <w:numId w:val="22"/>
        </w:numPr>
        <w:tabs>
          <w:tab w:val="clear" w:pos="709"/>
          <w:tab w:val="left" w:pos="709" w:leader="none"/>
        </w:tabs>
        <w:bidi w:val="0"/>
        <w:ind w:hanging="283" w:start="709"/>
        <w:jc w:val="start"/>
        <w:rPr/>
      </w:pPr>
      <w:r>
        <w:rPr/>
        <w:t>Random Forest and XGBoost may overfit where the final sample is small.</w:t>
      </w:r>
    </w:p>
    <w:p>
      <w:pPr>
        <w:pStyle w:val="BodyText"/>
        <w:numPr>
          <w:ilvl w:val="0"/>
          <w:numId w:val="22"/>
        </w:numPr>
        <w:tabs>
          <w:tab w:val="clear" w:pos="709"/>
          <w:tab w:val="left" w:pos="709" w:leader="none"/>
        </w:tabs>
        <w:bidi w:val="0"/>
        <w:ind w:hanging="283" w:start="709"/>
        <w:jc w:val="start"/>
        <w:rPr/>
      </w:pPr>
      <w:r>
        <w:rPr/>
        <w:t>The study will identify associations and predictive patterns rather than causal effects.</w:t>
      </w:r>
    </w:p>
    <w:p>
      <w:pPr>
        <w:pStyle w:val="BodyText"/>
        <w:numPr>
          <w:ilvl w:val="0"/>
          <w:numId w:val="22"/>
        </w:numPr>
        <w:tabs>
          <w:tab w:val="clear" w:pos="709"/>
          <w:tab w:val="left" w:pos="709" w:leader="none"/>
        </w:tabs>
        <w:bidi w:val="0"/>
        <w:ind w:hanging="283" w:start="709"/>
        <w:jc w:val="start"/>
        <w:rPr/>
      </w:pPr>
      <w:r>
        <w:rPr/>
        <w:t>The resulting model will not be field validated during the undergraduate study.</w:t>
      </w:r>
    </w:p>
    <w:p>
      <w:pPr>
        <w:pStyle w:val="BodyText"/>
        <w:numPr>
          <w:ilvl w:val="0"/>
          <w:numId w:val="22"/>
        </w:numPr>
        <w:tabs>
          <w:tab w:val="clear" w:pos="709"/>
          <w:tab w:val="left" w:pos="709" w:leader="none"/>
        </w:tabs>
        <w:bidi w:val="0"/>
        <w:ind w:hanging="283" w:start="709"/>
        <w:jc w:val="start"/>
        <w:rPr/>
      </w:pPr>
      <w:r>
        <w:rPr/>
        <w:t>The findings will not justify immediate national or farmer-level deployment.</w:t>
      </w:r>
    </w:p>
    <w:p>
      <w:pPr>
        <w:pStyle w:val="BodyText"/>
        <w:bidi w:val="0"/>
        <w:jc w:val="start"/>
        <w:rPr/>
      </w:pPr>
      <w:r>
        <w:rPr/>
        <w:t>These limitations will be documented and considered when interpreting the findings.</w:t>
      </w:r>
    </w:p>
    <w:p>
      <w:pPr>
        <w:pStyle w:val="Heading2"/>
        <w:bidi w:val="0"/>
        <w:spacing w:lineRule="auto" w:line="276" w:before="0" w:after="140"/>
        <w:jc w:val="start"/>
        <w:rPr/>
      </w:pPr>
      <w:r>
        <w:rPr/>
        <w:t>16. Future Field-Validation Phase</w:t>
      </w:r>
    </w:p>
    <w:p>
      <w:pPr>
        <w:pStyle w:val="BodyText"/>
        <w:bidi w:val="0"/>
        <w:jc w:val="start"/>
        <w:rPr/>
      </w:pPr>
      <w:r>
        <w:rPr/>
        <w:t>Following successful completion of the computational study, a future field phase may be proposed to a relevant agricultural organisation.</w:t>
      </w:r>
    </w:p>
    <w:p>
      <w:pPr>
        <w:pStyle w:val="BodyText"/>
        <w:bidi w:val="0"/>
        <w:jc w:val="start"/>
        <w:rPr/>
      </w:pPr>
      <w:r>
        <w:rPr/>
        <w:t>That phase could involve:</w:t>
      </w:r>
    </w:p>
    <w:p>
      <w:pPr>
        <w:pStyle w:val="BodyText"/>
        <w:numPr>
          <w:ilvl w:val="0"/>
          <w:numId w:val="23"/>
        </w:numPr>
        <w:tabs>
          <w:tab w:val="clear" w:pos="709"/>
          <w:tab w:val="left" w:pos="709" w:leader="none"/>
        </w:tabs>
        <w:bidi w:val="0"/>
        <w:ind w:hanging="283" w:start="709"/>
        <w:jc w:val="start"/>
        <w:rPr/>
      </w:pPr>
      <w:r>
        <w:rPr/>
        <w:t>Obtaining institutional and ethical approval.</w:t>
      </w:r>
    </w:p>
    <w:p>
      <w:pPr>
        <w:pStyle w:val="BodyText"/>
        <w:numPr>
          <w:ilvl w:val="0"/>
          <w:numId w:val="23"/>
        </w:numPr>
        <w:tabs>
          <w:tab w:val="clear" w:pos="709"/>
          <w:tab w:val="left" w:pos="709" w:leader="none"/>
        </w:tabs>
        <w:bidi w:val="0"/>
        <w:ind w:hanging="283" w:start="709"/>
        <w:jc w:val="start"/>
        <w:rPr/>
      </w:pPr>
      <w:r>
        <w:rPr/>
        <w:t>Selecting representative maize-growing districts.</w:t>
      </w:r>
    </w:p>
    <w:p>
      <w:pPr>
        <w:pStyle w:val="BodyText"/>
        <w:numPr>
          <w:ilvl w:val="0"/>
          <w:numId w:val="23"/>
        </w:numPr>
        <w:tabs>
          <w:tab w:val="clear" w:pos="709"/>
          <w:tab w:val="left" w:pos="709" w:leader="none"/>
        </w:tabs>
        <w:bidi w:val="0"/>
        <w:ind w:hanging="283" w:start="709"/>
        <w:jc w:val="start"/>
        <w:rPr/>
      </w:pPr>
      <w:r>
        <w:rPr/>
        <w:t>Working with agricultural extension officers.</w:t>
      </w:r>
    </w:p>
    <w:p>
      <w:pPr>
        <w:pStyle w:val="BodyText"/>
        <w:numPr>
          <w:ilvl w:val="0"/>
          <w:numId w:val="23"/>
        </w:numPr>
        <w:tabs>
          <w:tab w:val="clear" w:pos="709"/>
          <w:tab w:val="left" w:pos="709" w:leader="none"/>
        </w:tabs>
        <w:bidi w:val="0"/>
        <w:ind w:hanging="283" w:start="709"/>
        <w:jc w:val="start"/>
        <w:rPr/>
      </w:pPr>
      <w:r>
        <w:rPr/>
        <w:t>Measuring actual plot sizes.</w:t>
      </w:r>
    </w:p>
    <w:p>
      <w:pPr>
        <w:pStyle w:val="BodyText"/>
        <w:numPr>
          <w:ilvl w:val="0"/>
          <w:numId w:val="23"/>
        </w:numPr>
        <w:tabs>
          <w:tab w:val="clear" w:pos="709"/>
          <w:tab w:val="left" w:pos="709" w:leader="none"/>
        </w:tabs>
        <w:bidi w:val="0"/>
        <w:ind w:hanging="283" w:start="709"/>
        <w:jc w:val="start"/>
        <w:rPr/>
      </w:pPr>
      <w:r>
        <w:rPr/>
        <w:t>Recording precise planting and harvesting dates.</w:t>
      </w:r>
    </w:p>
    <w:p>
      <w:pPr>
        <w:pStyle w:val="BodyText"/>
        <w:numPr>
          <w:ilvl w:val="0"/>
          <w:numId w:val="23"/>
        </w:numPr>
        <w:tabs>
          <w:tab w:val="clear" w:pos="709"/>
          <w:tab w:val="left" w:pos="709" w:leader="none"/>
        </w:tabs>
        <w:bidi w:val="0"/>
        <w:ind w:hanging="283" w:start="709"/>
        <w:jc w:val="start"/>
        <w:rPr/>
      </w:pPr>
      <w:r>
        <w:rPr/>
        <w:t>Recording fertilizer, seed, labour, and management practices.</w:t>
      </w:r>
    </w:p>
    <w:p>
      <w:pPr>
        <w:pStyle w:val="BodyText"/>
        <w:numPr>
          <w:ilvl w:val="0"/>
          <w:numId w:val="23"/>
        </w:numPr>
        <w:tabs>
          <w:tab w:val="clear" w:pos="709"/>
          <w:tab w:val="left" w:pos="709" w:leader="none"/>
        </w:tabs>
        <w:bidi w:val="0"/>
        <w:ind w:hanging="283" w:start="709"/>
        <w:jc w:val="start"/>
        <w:rPr/>
      </w:pPr>
      <w:r>
        <w:rPr/>
        <w:t>Collecting or linking accurate rainfall measurements.</w:t>
      </w:r>
    </w:p>
    <w:p>
      <w:pPr>
        <w:pStyle w:val="BodyText"/>
        <w:numPr>
          <w:ilvl w:val="0"/>
          <w:numId w:val="23"/>
        </w:numPr>
        <w:tabs>
          <w:tab w:val="clear" w:pos="709"/>
          <w:tab w:val="left" w:pos="709" w:leader="none"/>
        </w:tabs>
        <w:bidi w:val="0"/>
        <w:ind w:hanging="283" w:start="709"/>
        <w:jc w:val="start"/>
        <w:rPr/>
      </w:pPr>
      <w:r>
        <w:rPr/>
        <w:t>Measuring harvest quantities using standard units.</w:t>
      </w:r>
    </w:p>
    <w:p>
      <w:pPr>
        <w:pStyle w:val="BodyText"/>
        <w:numPr>
          <w:ilvl w:val="0"/>
          <w:numId w:val="23"/>
        </w:numPr>
        <w:tabs>
          <w:tab w:val="clear" w:pos="709"/>
          <w:tab w:val="left" w:pos="709" w:leader="none"/>
        </w:tabs>
        <w:bidi w:val="0"/>
        <w:ind w:hanging="283" w:start="709"/>
        <w:jc w:val="start"/>
        <w:rPr/>
      </w:pPr>
      <w:r>
        <w:rPr/>
        <w:t>Applying the previously developed PCA transformation.</w:t>
      </w:r>
    </w:p>
    <w:p>
      <w:pPr>
        <w:pStyle w:val="BodyText"/>
        <w:numPr>
          <w:ilvl w:val="0"/>
          <w:numId w:val="23"/>
        </w:numPr>
        <w:tabs>
          <w:tab w:val="clear" w:pos="709"/>
          <w:tab w:val="left" w:pos="709" w:leader="none"/>
        </w:tabs>
        <w:bidi w:val="0"/>
        <w:ind w:hanging="283" w:start="709"/>
        <w:jc w:val="start"/>
        <w:rPr/>
      </w:pPr>
      <w:r>
        <w:rPr/>
        <w:t>Generating yield predictions.</w:t>
      </w:r>
    </w:p>
    <w:p>
      <w:pPr>
        <w:pStyle w:val="BodyText"/>
        <w:numPr>
          <w:ilvl w:val="0"/>
          <w:numId w:val="23"/>
        </w:numPr>
        <w:tabs>
          <w:tab w:val="clear" w:pos="709"/>
          <w:tab w:val="left" w:pos="709" w:leader="none"/>
        </w:tabs>
        <w:bidi w:val="0"/>
        <w:ind w:hanging="283" w:start="709"/>
        <w:jc w:val="start"/>
        <w:rPr/>
      </w:pPr>
      <w:r>
        <w:rPr/>
        <w:t>Comparing predicted and measured yield.</w:t>
      </w:r>
    </w:p>
    <w:p>
      <w:pPr>
        <w:pStyle w:val="BodyText"/>
        <w:numPr>
          <w:ilvl w:val="0"/>
          <w:numId w:val="23"/>
        </w:numPr>
        <w:tabs>
          <w:tab w:val="clear" w:pos="709"/>
          <w:tab w:val="left" w:pos="709" w:leader="none"/>
        </w:tabs>
        <w:bidi w:val="0"/>
        <w:ind w:hanging="283" w:start="709"/>
        <w:jc w:val="start"/>
        <w:rPr/>
      </w:pPr>
      <w:r>
        <w:rPr/>
        <w:t>Recalibrating the model.</w:t>
      </w:r>
    </w:p>
    <w:p>
      <w:pPr>
        <w:pStyle w:val="BodyText"/>
        <w:numPr>
          <w:ilvl w:val="0"/>
          <w:numId w:val="23"/>
        </w:numPr>
        <w:tabs>
          <w:tab w:val="clear" w:pos="709"/>
          <w:tab w:val="left" w:pos="709" w:leader="none"/>
        </w:tabs>
        <w:bidi w:val="0"/>
        <w:ind w:hanging="283" w:start="709"/>
        <w:jc w:val="start"/>
        <w:rPr/>
      </w:pPr>
      <w:r>
        <w:rPr/>
        <w:t>Testing whether the model transfers across districts and seasons.</w:t>
      </w:r>
    </w:p>
    <w:p>
      <w:pPr>
        <w:pStyle w:val="BodyText"/>
        <w:bidi w:val="0"/>
        <w:jc w:val="start"/>
        <w:rPr/>
      </w:pPr>
      <w:r>
        <w:rPr/>
        <w:t>The proposed undergraduate study will provide the theoretical and computational foundation for that later validation rather than replacing it.</w:t>
      </w:r>
    </w:p>
    <w:p>
      <w:pPr>
        <w:pStyle w:val="Heading2"/>
        <w:bidi w:val="0"/>
        <w:spacing w:lineRule="auto" w:line="276" w:before="0" w:after="140"/>
        <w:jc w:val="start"/>
        <w:rPr/>
      </w:pPr>
      <w:r>
        <w:rPr/>
        <w:t>17. Work Plan</w:t>
      </w:r>
    </w:p>
    <w:tbl>
      <w:tblPr>
        <w:tblW w:w="9972" w:type="dxa"/>
        <w:jc w:val="start"/>
        <w:tblInd w:w="0" w:type="dxa"/>
        <w:tblLayout w:type="fixed"/>
        <w:tblCellMar>
          <w:top w:w="28" w:type="dxa"/>
          <w:start w:w="28" w:type="dxa"/>
          <w:bottom w:w="28" w:type="dxa"/>
          <w:end w:w="28" w:type="dxa"/>
        </w:tblCellMar>
      </w:tblPr>
      <w:tblGrid>
        <w:gridCol w:w="719"/>
        <w:gridCol w:w="4456"/>
        <w:gridCol w:w="1425"/>
        <w:gridCol w:w="3372"/>
      </w:tblGrid>
      <w:tr>
        <w:trPr>
          <w:tblHeader w:val="true"/>
        </w:trPr>
        <w:tc>
          <w:tcPr>
            <w:tcW w:w="719" w:type="dxa"/>
            <w:tcBorders/>
            <w:vAlign w:val="center"/>
          </w:tcPr>
          <w:p>
            <w:pPr>
              <w:pStyle w:val="TableHeading"/>
              <w:suppressLineNumbers/>
              <w:bidi w:val="0"/>
              <w:jc w:val="center"/>
              <w:rPr/>
            </w:pPr>
            <w:r>
              <w:rPr/>
              <w:t>Week</w:t>
            </w:r>
          </w:p>
        </w:tc>
        <w:tc>
          <w:tcPr>
            <w:tcW w:w="4456" w:type="dxa"/>
            <w:tcBorders/>
            <w:vAlign w:val="center"/>
          </w:tcPr>
          <w:p>
            <w:pPr>
              <w:pStyle w:val="TableHeading"/>
              <w:suppressLineNumbers/>
              <w:bidi w:val="0"/>
              <w:jc w:val="center"/>
              <w:rPr/>
            </w:pPr>
            <w:r>
              <w:rPr/>
              <w:t>Activities</w:t>
            </w:r>
          </w:p>
        </w:tc>
        <w:tc>
          <w:tcPr>
            <w:tcW w:w="1425" w:type="dxa"/>
            <w:tcBorders/>
            <w:vAlign w:val="center"/>
          </w:tcPr>
          <w:p>
            <w:pPr>
              <w:pStyle w:val="TableHeading"/>
              <w:suppressLineNumbers/>
              <w:bidi w:val="0"/>
              <w:jc w:val="center"/>
              <w:rPr/>
            </w:pPr>
            <w:r>
              <w:rPr/>
              <w:t>Objective addressed</w:t>
            </w:r>
          </w:p>
        </w:tc>
        <w:tc>
          <w:tcPr>
            <w:tcW w:w="3372" w:type="dxa"/>
            <w:tcBorders/>
            <w:vAlign w:val="center"/>
          </w:tcPr>
          <w:p>
            <w:pPr>
              <w:pStyle w:val="TableHeading"/>
              <w:suppressLineNumbers/>
              <w:bidi w:val="0"/>
              <w:jc w:val="center"/>
              <w:rPr/>
            </w:pPr>
            <w:r>
              <w:rPr/>
              <w:t>Deliverable</w:t>
            </w:r>
          </w:p>
        </w:tc>
      </w:tr>
      <w:tr>
        <w:trPr/>
        <w:tc>
          <w:tcPr>
            <w:tcW w:w="719" w:type="dxa"/>
            <w:tcBorders/>
            <w:vAlign w:val="center"/>
          </w:tcPr>
          <w:p>
            <w:pPr>
              <w:pStyle w:val="TableContents"/>
              <w:widowControl w:val="false"/>
              <w:suppressLineNumbers/>
              <w:bidi w:val="0"/>
              <w:jc w:val="start"/>
              <w:rPr/>
            </w:pPr>
            <w:r>
              <w:rPr/>
              <w:t>Week 1</w:t>
            </w:r>
          </w:p>
        </w:tc>
        <w:tc>
          <w:tcPr>
            <w:tcW w:w="4456" w:type="dxa"/>
            <w:tcBorders/>
            <w:vAlign w:val="center"/>
          </w:tcPr>
          <w:p>
            <w:pPr>
              <w:pStyle w:val="TableContents"/>
              <w:widowControl w:val="false"/>
              <w:suppressLineNumbers/>
              <w:bidi w:val="0"/>
              <w:jc w:val="start"/>
              <w:rPr/>
            </w:pPr>
            <w:r>
              <w:rPr/>
              <w:t>Derive the two-dimensional covariance characteristic equation; prove symmetry and positive semi-definiteness; calculate eigenvalues and eigenvectors; verify using Python</w:t>
            </w:r>
          </w:p>
        </w:tc>
        <w:tc>
          <w:tcPr>
            <w:tcW w:w="1425" w:type="dxa"/>
            <w:tcBorders/>
            <w:vAlign w:val="center"/>
          </w:tcPr>
          <w:p>
            <w:pPr>
              <w:pStyle w:val="TableContents"/>
              <w:widowControl w:val="false"/>
              <w:suppressLineNumbers/>
              <w:bidi w:val="0"/>
              <w:jc w:val="start"/>
              <w:rPr/>
            </w:pPr>
            <w:r>
              <w:rPr/>
              <w:t>Objective 2</w:t>
            </w:r>
          </w:p>
        </w:tc>
        <w:tc>
          <w:tcPr>
            <w:tcW w:w="3372" w:type="dxa"/>
            <w:tcBorders/>
            <w:vAlign w:val="center"/>
          </w:tcPr>
          <w:p>
            <w:pPr>
              <w:pStyle w:val="TableContents"/>
              <w:widowControl w:val="false"/>
              <w:suppressLineNumbers/>
              <w:bidi w:val="0"/>
              <w:jc w:val="start"/>
              <w:rPr/>
            </w:pPr>
            <w:r>
              <w:rPr/>
              <w:t>Handwritten proof and PCA verification notebook</w:t>
            </w:r>
          </w:p>
        </w:tc>
      </w:tr>
      <w:tr>
        <w:trPr/>
        <w:tc>
          <w:tcPr>
            <w:tcW w:w="719" w:type="dxa"/>
            <w:tcBorders/>
            <w:vAlign w:val="center"/>
          </w:tcPr>
          <w:p>
            <w:pPr>
              <w:pStyle w:val="TableContents"/>
              <w:widowControl w:val="false"/>
              <w:suppressLineNumbers/>
              <w:bidi w:val="0"/>
              <w:jc w:val="start"/>
              <w:rPr/>
            </w:pPr>
            <w:r>
              <w:rPr/>
              <w:t>Week 2</w:t>
            </w:r>
          </w:p>
        </w:tc>
        <w:tc>
          <w:tcPr>
            <w:tcW w:w="4456" w:type="dxa"/>
            <w:tcBorders/>
            <w:vAlign w:val="center"/>
          </w:tcPr>
          <w:p>
            <w:pPr>
              <w:pStyle w:val="TableContents"/>
              <w:widowControl w:val="false"/>
              <w:suppressLineNumbers/>
              <w:bidi w:val="0"/>
              <w:jc w:val="start"/>
              <w:rPr/>
            </w:pPr>
            <w:r>
              <w:rPr/>
              <w:t>Download UNPS and UBOS data; extract CHIRPS rainfall; identify maize records; construct identifiers; harmonise and merge compatible variables</w:t>
            </w:r>
          </w:p>
        </w:tc>
        <w:tc>
          <w:tcPr>
            <w:tcW w:w="1425" w:type="dxa"/>
            <w:tcBorders/>
            <w:vAlign w:val="center"/>
          </w:tcPr>
          <w:p>
            <w:pPr>
              <w:pStyle w:val="TableContents"/>
              <w:widowControl w:val="false"/>
              <w:suppressLineNumbers/>
              <w:bidi w:val="0"/>
              <w:jc w:val="start"/>
              <w:rPr/>
            </w:pPr>
            <w:r>
              <w:rPr/>
              <w:t>Objective 1</w:t>
            </w:r>
          </w:p>
        </w:tc>
        <w:tc>
          <w:tcPr>
            <w:tcW w:w="3372" w:type="dxa"/>
            <w:tcBorders/>
            <w:vAlign w:val="center"/>
          </w:tcPr>
          <w:p>
            <w:pPr>
              <w:pStyle w:val="TableContents"/>
              <w:widowControl w:val="false"/>
              <w:suppressLineNumbers/>
              <w:bidi w:val="0"/>
              <w:jc w:val="start"/>
              <w:rPr/>
            </w:pPr>
            <w:r>
              <w:rPr/>
              <w:t>Dataset with at least 100 records and eight predictors, data dictionary, and acquisition notebook</w:t>
            </w:r>
          </w:p>
        </w:tc>
      </w:tr>
      <w:tr>
        <w:trPr/>
        <w:tc>
          <w:tcPr>
            <w:tcW w:w="719" w:type="dxa"/>
            <w:tcBorders/>
            <w:vAlign w:val="center"/>
          </w:tcPr>
          <w:p>
            <w:pPr>
              <w:pStyle w:val="TableContents"/>
              <w:widowControl w:val="false"/>
              <w:suppressLineNumbers/>
              <w:bidi w:val="0"/>
              <w:jc w:val="start"/>
              <w:rPr/>
            </w:pPr>
            <w:r>
              <w:rPr/>
              <w:t>Week 3</w:t>
            </w:r>
          </w:p>
        </w:tc>
        <w:tc>
          <w:tcPr>
            <w:tcW w:w="4456" w:type="dxa"/>
            <w:tcBorders/>
            <w:vAlign w:val="center"/>
          </w:tcPr>
          <w:p>
            <w:pPr>
              <w:pStyle w:val="TableContents"/>
              <w:widowControl w:val="false"/>
              <w:suppressLineNumbers/>
              <w:bidi w:val="0"/>
              <w:jc w:val="start"/>
              <w:rPr/>
            </w:pPr>
            <w:r>
              <w:rPr/>
              <w:t>Analyse missing values; perform unit conversions; standardise variables; identify outliers; produce distributions and correlations; conduct first PCA</w:t>
            </w:r>
          </w:p>
        </w:tc>
        <w:tc>
          <w:tcPr>
            <w:tcW w:w="1425" w:type="dxa"/>
            <w:tcBorders/>
            <w:vAlign w:val="center"/>
          </w:tcPr>
          <w:p>
            <w:pPr>
              <w:pStyle w:val="TableContents"/>
              <w:widowControl w:val="false"/>
              <w:suppressLineNumbers/>
              <w:bidi w:val="0"/>
              <w:jc w:val="start"/>
              <w:rPr/>
            </w:pPr>
            <w:r>
              <w:rPr/>
              <w:t>Objective 1 and Objective 2</w:t>
            </w:r>
          </w:p>
        </w:tc>
        <w:tc>
          <w:tcPr>
            <w:tcW w:w="3372" w:type="dxa"/>
            <w:tcBorders/>
            <w:vAlign w:val="center"/>
          </w:tcPr>
          <w:p>
            <w:pPr>
              <w:pStyle w:val="TableContents"/>
              <w:widowControl w:val="false"/>
              <w:suppressLineNumbers/>
              <w:bidi w:val="0"/>
              <w:jc w:val="start"/>
              <w:rPr/>
            </w:pPr>
            <w:r>
              <w:rPr/>
              <w:t>EDA report, correlation matrix, and preliminary PCA results</w:t>
            </w:r>
          </w:p>
        </w:tc>
      </w:tr>
      <w:tr>
        <w:trPr/>
        <w:tc>
          <w:tcPr>
            <w:tcW w:w="719" w:type="dxa"/>
            <w:tcBorders/>
            <w:vAlign w:val="center"/>
          </w:tcPr>
          <w:p>
            <w:pPr>
              <w:pStyle w:val="TableContents"/>
              <w:widowControl w:val="false"/>
              <w:suppressLineNumbers/>
              <w:bidi w:val="0"/>
              <w:jc w:val="start"/>
              <w:rPr/>
            </w:pPr>
            <w:r>
              <w:rPr/>
              <w:t>Week 4</w:t>
            </w:r>
          </w:p>
        </w:tc>
        <w:tc>
          <w:tcPr>
            <w:tcW w:w="4456" w:type="dxa"/>
            <w:tcBorders/>
            <w:vAlign w:val="center"/>
          </w:tcPr>
          <w:p>
            <w:pPr>
              <w:pStyle w:val="TableContents"/>
              <w:widowControl w:val="false"/>
              <w:suppressLineNumbers/>
              <w:bidi w:val="0"/>
              <w:jc w:val="start"/>
              <w:rPr/>
            </w:pPr>
            <w:r>
              <w:rPr/>
              <w:t>Produce scree plot, biplot, loadings heatmap, and other figures; interpret PC1; compare real and synthetic PCA structures</w:t>
            </w:r>
          </w:p>
        </w:tc>
        <w:tc>
          <w:tcPr>
            <w:tcW w:w="1425" w:type="dxa"/>
            <w:tcBorders/>
            <w:vAlign w:val="center"/>
          </w:tcPr>
          <w:p>
            <w:pPr>
              <w:pStyle w:val="TableContents"/>
              <w:widowControl w:val="false"/>
              <w:suppressLineNumbers/>
              <w:bidi w:val="0"/>
              <w:jc w:val="start"/>
              <w:rPr/>
            </w:pPr>
            <w:r>
              <w:rPr/>
              <w:t>Objective 2</w:t>
            </w:r>
          </w:p>
        </w:tc>
        <w:tc>
          <w:tcPr>
            <w:tcW w:w="3372" w:type="dxa"/>
            <w:tcBorders/>
            <w:vAlign w:val="center"/>
          </w:tcPr>
          <w:p>
            <w:pPr>
              <w:pStyle w:val="TableContents"/>
              <w:widowControl w:val="false"/>
              <w:suppressLineNumbers/>
              <w:bidi w:val="0"/>
              <w:jc w:val="start"/>
              <w:rPr/>
            </w:pPr>
            <w:r>
              <w:rPr/>
              <w:t>Four publication-quality figures and interpretation memo</w:t>
            </w:r>
          </w:p>
        </w:tc>
      </w:tr>
      <w:tr>
        <w:trPr/>
        <w:tc>
          <w:tcPr>
            <w:tcW w:w="719" w:type="dxa"/>
            <w:tcBorders/>
            <w:vAlign w:val="center"/>
          </w:tcPr>
          <w:p>
            <w:pPr>
              <w:pStyle w:val="TableContents"/>
              <w:widowControl w:val="false"/>
              <w:suppressLineNumbers/>
              <w:bidi w:val="0"/>
              <w:jc w:val="start"/>
              <w:rPr/>
            </w:pPr>
            <w:r>
              <w:rPr/>
              <w:t>Week 5</w:t>
            </w:r>
          </w:p>
        </w:tc>
        <w:tc>
          <w:tcPr>
            <w:tcW w:w="4456" w:type="dxa"/>
            <w:tcBorders/>
            <w:vAlign w:val="center"/>
          </w:tcPr>
          <w:p>
            <w:pPr>
              <w:pStyle w:val="TableContents"/>
              <w:widowControl w:val="false"/>
              <w:suppressLineNumbers/>
              <w:bidi w:val="0"/>
              <w:jc w:val="start"/>
              <w:rPr/>
            </w:pPr>
            <w:r>
              <w:rPr/>
              <w:t>Develop OLS, Ridge, Random Forest, and XGBoost models; compare raw, PCA, and hybrid features; perform five-fold cross-validation</w:t>
            </w:r>
          </w:p>
        </w:tc>
        <w:tc>
          <w:tcPr>
            <w:tcW w:w="1425" w:type="dxa"/>
            <w:tcBorders/>
            <w:vAlign w:val="center"/>
          </w:tcPr>
          <w:p>
            <w:pPr>
              <w:pStyle w:val="TableContents"/>
              <w:widowControl w:val="false"/>
              <w:suppressLineNumbers/>
              <w:bidi w:val="0"/>
              <w:jc w:val="start"/>
              <w:rPr/>
            </w:pPr>
            <w:r>
              <w:rPr/>
              <w:t>Objective 3</w:t>
            </w:r>
          </w:p>
        </w:tc>
        <w:tc>
          <w:tcPr>
            <w:tcW w:w="3372" w:type="dxa"/>
            <w:tcBorders/>
            <w:vAlign w:val="center"/>
          </w:tcPr>
          <w:p>
            <w:pPr>
              <w:pStyle w:val="TableContents"/>
              <w:widowControl w:val="false"/>
              <w:suppressLineNumbers/>
              <w:bidi w:val="0"/>
              <w:jc w:val="start"/>
              <w:rPr/>
            </w:pPr>
            <w:r>
              <w:rPr/>
              <w:t>Model-comparison table and predictive-modeling notebook</w:t>
            </w:r>
          </w:p>
        </w:tc>
      </w:tr>
      <w:tr>
        <w:trPr/>
        <w:tc>
          <w:tcPr>
            <w:tcW w:w="719" w:type="dxa"/>
            <w:tcBorders/>
            <w:vAlign w:val="center"/>
          </w:tcPr>
          <w:p>
            <w:pPr>
              <w:pStyle w:val="TableContents"/>
              <w:widowControl w:val="false"/>
              <w:suppressLineNumbers/>
              <w:bidi w:val="0"/>
              <w:jc w:val="start"/>
              <w:rPr/>
            </w:pPr>
            <w:r>
              <w:rPr/>
              <w:t>Week 6</w:t>
            </w:r>
          </w:p>
        </w:tc>
        <w:tc>
          <w:tcPr>
            <w:tcW w:w="4456" w:type="dxa"/>
            <w:tcBorders/>
            <w:vAlign w:val="center"/>
          </w:tcPr>
          <w:p>
            <w:pPr>
              <w:pStyle w:val="TableContents"/>
              <w:widowControl w:val="false"/>
              <w:suppressLineNumbers/>
              <w:bidi w:val="0"/>
              <w:jc w:val="start"/>
              <w:rPr/>
            </w:pPr>
            <w:r>
              <w:rPr/>
              <w:t>Write the technical report; create the presentation; clean the repository; document limitations and future field validation</w:t>
            </w:r>
          </w:p>
        </w:tc>
        <w:tc>
          <w:tcPr>
            <w:tcW w:w="1425" w:type="dxa"/>
            <w:tcBorders/>
            <w:vAlign w:val="center"/>
          </w:tcPr>
          <w:p>
            <w:pPr>
              <w:pStyle w:val="TableContents"/>
              <w:widowControl w:val="false"/>
              <w:suppressLineNumbers/>
              <w:bidi w:val="0"/>
              <w:jc w:val="start"/>
              <w:rPr/>
            </w:pPr>
            <w:r>
              <w:rPr/>
              <w:t>Objectives 1–3</w:t>
            </w:r>
          </w:p>
        </w:tc>
        <w:tc>
          <w:tcPr>
            <w:tcW w:w="3372" w:type="dxa"/>
            <w:tcBorders/>
            <w:vAlign w:val="center"/>
          </w:tcPr>
          <w:p>
            <w:pPr>
              <w:pStyle w:val="TableContents"/>
              <w:widowControl w:val="false"/>
              <w:suppressLineNumbers/>
              <w:bidi w:val="0"/>
              <w:jc w:val="start"/>
              <w:rPr/>
            </w:pPr>
            <w:r>
              <w:rPr/>
              <w:t>Final report, presentation, README, and portfolio-ready GitHub repository</w:t>
            </w:r>
          </w:p>
        </w:tc>
      </w:tr>
    </w:tbl>
    <w:p>
      <w:pPr>
        <w:pStyle w:val="Heading2"/>
        <w:bidi w:val="0"/>
        <w:spacing w:lineRule="auto" w:line="276" w:before="0" w:after="140"/>
        <w:jc w:val="start"/>
        <w:rPr/>
      </w:pPr>
      <w:r>
        <w:rPr/>
      </w:r>
    </w:p>
    <w:p>
      <w:pPr>
        <w:pStyle w:val="Heading2"/>
        <w:bidi w:val="0"/>
        <w:spacing w:lineRule="auto" w:line="276" w:before="0" w:after="140"/>
        <w:jc w:val="start"/>
        <w:rPr/>
      </w:pPr>
      <w:r>
        <w:rPr/>
        <w:t>18. References</w:t>
      </w:r>
    </w:p>
    <w:p>
      <w:pPr>
        <w:pStyle w:val="BodyText"/>
        <w:bidi w:val="0"/>
        <w:jc w:val="start"/>
        <w:rPr/>
      </w:pPr>
      <w:r>
        <w:rPr/>
        <w:t xml:space="preserve">Breiman, L. (2001). Random forests. </w:t>
      </w:r>
      <w:r>
        <w:rPr>
          <w:rStyle w:val="Emphasis"/>
        </w:rPr>
        <w:t>Machine Learning, 45</w:t>
      </w:r>
      <w:r>
        <w:rPr/>
        <w:t>, 5–32. doi:10.1023/A:1010933404324. (</w:t>
      </w:r>
      <w:hyperlink r:id="rId15">
        <w:r>
          <w:rPr>
            <w:rStyle w:val="Hyperlink"/>
          </w:rPr>
          <w:t>Springer</w:t>
        </w:r>
      </w:hyperlink>
      <w:r>
        <w:rPr/>
        <w:t>)</w:t>
      </w:r>
    </w:p>
    <w:p>
      <w:pPr>
        <w:pStyle w:val="BodyText"/>
        <w:bidi w:val="0"/>
        <w:jc w:val="start"/>
        <w:rPr/>
      </w:pPr>
      <w:r>
        <w:rPr/>
        <w:t xml:space="preserve">Bugema University Research Ethics Committee. (2025). </w:t>
      </w:r>
      <w:r>
        <w:rPr>
          <w:rStyle w:val="Emphasis"/>
        </w:rPr>
        <w:t>Initial review application requirements and procedure</w:t>
      </w:r>
      <w:r>
        <w:rPr/>
        <w:t>. Bugema University. (</w:t>
      </w:r>
      <w:hyperlink r:id="rId16">
        <w:r>
          <w:rPr>
            <w:rStyle w:val="Hyperlink"/>
          </w:rPr>
          <w:t>Bugema University</w:t>
        </w:r>
      </w:hyperlink>
      <w:r>
        <w:rPr/>
        <w:t>)</w:t>
      </w:r>
    </w:p>
    <w:p>
      <w:pPr>
        <w:pStyle w:val="BodyText"/>
        <w:bidi w:val="0"/>
        <w:jc w:val="start"/>
        <w:rPr/>
      </w:pPr>
      <w:r>
        <w:rPr/>
        <w:t xml:space="preserve">Chen, T., and Guestrin, C. (2016). XGBoost: A scalable tree boosting system. </w:t>
      </w:r>
      <w:r>
        <w:rPr>
          <w:rStyle w:val="Emphasis"/>
        </w:rPr>
        <w:t>Proceedings of the 22nd ACM SIGKDD International Conference on Knowledge Discovery and Data Mining</w:t>
      </w:r>
      <w:r>
        <w:rPr/>
        <w:t>, 785–794. doi:10.1145/2939672.2939785. (</w:t>
      </w:r>
      <w:hyperlink r:id="rId17">
        <w:r>
          <w:rPr>
            <w:rStyle w:val="Hyperlink"/>
          </w:rPr>
          <w:t>arXiv</w:t>
        </w:r>
      </w:hyperlink>
      <w:r>
        <w:rPr/>
        <w:t>)</w:t>
      </w:r>
    </w:p>
    <w:p>
      <w:pPr>
        <w:pStyle w:val="BodyText"/>
        <w:bidi w:val="0"/>
        <w:jc w:val="start"/>
        <w:rPr/>
      </w:pPr>
      <w:r>
        <w:rPr/>
        <w:t xml:space="preserve">Funk, C., Peterson, P., Landsfeld, M., Pedreros, D., Verdin, J., Shukla, S., Husak, G., Rowland, J., Harrison, L., Hoell, A., and Michaelsen, J. (2015). The Climate Hazards Infrared Precipitation with Stations: A new environmental record for monitoring extremes. </w:t>
      </w:r>
      <w:r>
        <w:rPr>
          <w:rStyle w:val="Emphasis"/>
        </w:rPr>
        <w:t>Scientific Data, 2</w:t>
      </w:r>
      <w:r>
        <w:rPr/>
        <w:t>, Article 150066. doi:10.1038/sdata.2015.66. (</w:t>
      </w:r>
      <w:hyperlink r:id="rId18">
        <w:r>
          <w:rPr>
            <w:rStyle w:val="Hyperlink"/>
          </w:rPr>
          <w:t>Google for Developers</w:t>
        </w:r>
      </w:hyperlink>
      <w:r>
        <w:rPr/>
        <w:t>)</w:t>
      </w:r>
    </w:p>
    <w:p>
      <w:pPr>
        <w:pStyle w:val="BodyText"/>
        <w:bidi w:val="0"/>
        <w:jc w:val="start"/>
        <w:rPr/>
      </w:pPr>
      <w:r>
        <w:rPr/>
        <w:t xml:space="preserve">Jolliffe, I. T., and Cadima, J. (2016). Principal component analysis: A review and recent developments. </w:t>
      </w:r>
      <w:r>
        <w:rPr>
          <w:rStyle w:val="Emphasis"/>
        </w:rPr>
        <w:t>Philosophical Transactions of the Royal Society A, 374</w:t>
      </w:r>
      <w:r>
        <w:rPr/>
        <w:t>, Article 20150202. doi:10.1098/rsta.2015.0202. (</w:t>
      </w:r>
      <w:hyperlink r:id="rId19">
        <w:r>
          <w:rPr>
            <w:rStyle w:val="Hyperlink"/>
          </w:rPr>
          <w:t>Royal Society Publishing</w:t>
        </w:r>
      </w:hyperlink>
      <w:r>
        <w:rPr/>
        <w:t>)</w:t>
      </w:r>
    </w:p>
    <w:p>
      <w:pPr>
        <w:pStyle w:val="BodyText"/>
        <w:bidi w:val="0"/>
        <w:jc w:val="start"/>
        <w:rPr/>
      </w:pPr>
      <w:r>
        <w:rPr/>
        <w:t xml:space="preserve">Taremwa, D., Ahishakiye, E., Obbo, A., Kisozi, P. K., and Kaggwa, F. (2026). Prediction of maize yield in Uganda using CNN-LSTM architecture on a multimodal climate and remote sensing dataset. </w:t>
      </w:r>
      <w:r>
        <w:rPr>
          <w:rStyle w:val="Emphasis"/>
        </w:rPr>
        <w:t>Discover Artificial Intelligence, 6</w:t>
      </w:r>
      <w:r>
        <w:rPr/>
        <w:t>, Article 164. doi:10.1007/s44163-026-00855-7. (</w:t>
      </w:r>
      <w:hyperlink r:id="rId20">
        <w:r>
          <w:rPr>
            <w:rStyle w:val="Hyperlink"/>
          </w:rPr>
          <w:t>Springer</w:t>
        </w:r>
      </w:hyperlink>
      <w:r>
        <w:rPr/>
        <w:t>)</w:t>
      </w:r>
    </w:p>
    <w:p>
      <w:pPr>
        <w:pStyle w:val="BodyText"/>
        <w:bidi w:val="0"/>
        <w:jc w:val="start"/>
        <w:rPr/>
      </w:pPr>
      <w:r>
        <w:rPr/>
        <w:t xml:space="preserve">Uganda Bureau of Statistics. (2020). </w:t>
      </w:r>
      <w:r>
        <w:rPr>
          <w:rStyle w:val="Emphasis"/>
        </w:rPr>
        <w:t>Uganda National Panel Survey 2018–2019</w:t>
      </w:r>
      <w:r>
        <w:rPr/>
        <w:t xml:space="preserve"> [Data set]. World Bank Microdata Library. (</w:t>
      </w:r>
      <w:hyperlink r:id="rId21">
        <w:r>
          <w:rPr>
            <w:rStyle w:val="Hyperlink"/>
          </w:rPr>
          <w:t>microdata.worldbank.org</w:t>
        </w:r>
      </w:hyperlink>
      <w:r>
        <w:rPr/>
        <w:t>)</w:t>
      </w:r>
    </w:p>
    <w:p>
      <w:pPr>
        <w:pStyle w:val="BodyText"/>
        <w:bidi w:val="0"/>
        <w:spacing w:before="0" w:after="140"/>
        <w:jc w:val="start"/>
        <w:rPr/>
      </w:pPr>
      <w:r>
        <w:rPr/>
        <w:t xml:space="preserve">Uganda Bureau of Statistics. (2022). </w:t>
      </w:r>
      <w:r>
        <w:rPr>
          <w:rStyle w:val="Emphasis"/>
        </w:rPr>
        <w:t>Annual Agricultural Survey 2019 report</w:t>
      </w:r>
      <w:r>
        <w:rPr/>
        <w:t>. Uganda Bureau of Statistics. (</w:t>
      </w:r>
      <w:hyperlink r:id="rId22">
        <w:r>
          <w:rPr>
            <w:rStyle w:val="Hyperlink"/>
          </w:rPr>
          <w:t>Ubos</w:t>
        </w:r>
      </w:hyperlink>
      <w:r>
        <w:rPr/>
        <w:t>)</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pStyle w:val="Heading4"/>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bos.org/wp-content/uploads/2022/04/Uganda_UBOS_StatRelease_AAS2019-Final.pdf?utm_source=chatgpt.com" TargetMode="External"/><Relationship Id="rId3" Type="http://schemas.openxmlformats.org/officeDocument/2006/relationships/hyperlink" Target="https://royalsocietypublishing.org/rsta/article/374/2065/20150202/115142/Principal-component-analysis-a-review-and-recent?utm_source=chatgpt.com" TargetMode="External"/><Relationship Id="rId4" Type="http://schemas.openxmlformats.org/officeDocument/2006/relationships/hyperlink" Target="https://microdata.worldbank.org/index.php/catalog/3795/" TargetMode="External"/><Relationship Id="rId5" Type="http://schemas.openxmlformats.org/officeDocument/2006/relationships/hyperlink" Target="https://microdata.fao.org/index.php/catalog/2646?utm_source=chatgpt.com" TargetMode="External"/><Relationship Id="rId6" Type="http://schemas.openxmlformats.org/officeDocument/2006/relationships/hyperlink" Target="https://developers.google.com/earth-engine/datasets/catalog/UCSB-CHG_CHIRPS_DAILY" TargetMode="External"/><Relationship Id="rId7" Type="http://schemas.openxmlformats.org/officeDocument/2006/relationships/hyperlink" Target="https://link.springer.com/article/10.1007/s44163-026-00855-7" TargetMode="External"/><Relationship Id="rId8" Type="http://schemas.openxmlformats.org/officeDocument/2006/relationships/hyperlink" Target="https://royalsocietypublishing.org/rsta/article/374/2065/20150202/115142/Principal-component-analysis-a-review-and-recent?utm_source=chatgpt.com" TargetMode="External"/><Relationship Id="rId9" Type="http://schemas.openxmlformats.org/officeDocument/2006/relationships/hyperlink" Target="https://link.springer.com/article/10.1023/A%3A1010933404324?utm_source=chatgpt.com" TargetMode="External"/><Relationship Id="rId10" Type="http://schemas.openxmlformats.org/officeDocument/2006/relationships/hyperlink" Target="https://link.springer.com/article/10.1007/s44163-026-00855-7" TargetMode="External"/><Relationship Id="rId11" Type="http://schemas.openxmlformats.org/officeDocument/2006/relationships/hyperlink" Target="https://microdata.worldbank.org/catalog/3795/data-dictionary?utm_source=chatgpt.com" TargetMode="External"/><Relationship Id="rId12" Type="http://schemas.openxmlformats.org/officeDocument/2006/relationships/hyperlink" Target="https://developers.google.com/earth-engine/datasets/catalog/UCSB-CHG_CHIRPS_DAILY" TargetMode="External"/><Relationship Id="rId13" Type="http://schemas.openxmlformats.org/officeDocument/2006/relationships/hyperlink" Target="https://microdata.fao.org/index.php/catalog/2646?utm_source=chatgpt.com" TargetMode="External"/><Relationship Id="rId14" Type="http://schemas.openxmlformats.org/officeDocument/2006/relationships/hyperlink" Target="https://bugemauniv.ac.ug/wp-content/uploads/2024/08/Initial-Research-Ethics-Review-Submission-Procedures_BU-RECRevised-Ver-June-2025.pdf" TargetMode="External"/><Relationship Id="rId15" Type="http://schemas.openxmlformats.org/officeDocument/2006/relationships/hyperlink" Target="https://link.springer.com/article/10.1023/A%3A1010933404324?utm_source=chatgpt.com" TargetMode="External"/><Relationship Id="rId16" Type="http://schemas.openxmlformats.org/officeDocument/2006/relationships/hyperlink" Target="https://bugemauniv.ac.ug/wp-content/uploads/2024/08/Initial-Research-Ethics-Review-Submission-Procedures_BU-RECRevised-Ver-June-2025.pdf" TargetMode="External"/><Relationship Id="rId17" Type="http://schemas.openxmlformats.org/officeDocument/2006/relationships/hyperlink" Target="https://arxiv.org/abs/1603.02754?utm_source=chatgpt.com" TargetMode="External"/><Relationship Id="rId18" Type="http://schemas.openxmlformats.org/officeDocument/2006/relationships/hyperlink" Target="https://developers.google.com/earth-engine/datasets/catalog/UCSB-CHG_CHIRPS_DAILY" TargetMode="External"/><Relationship Id="rId19" Type="http://schemas.openxmlformats.org/officeDocument/2006/relationships/hyperlink" Target="https://royalsocietypublishing.org/rsta/article/374/2065/20150202/115142/Principal-component-analysis-a-review-and-recent?utm_source=chatgpt.com" TargetMode="External"/><Relationship Id="rId20" Type="http://schemas.openxmlformats.org/officeDocument/2006/relationships/hyperlink" Target="https://link.springer.com/article/10.1007/s44163-026-00855-7" TargetMode="External"/><Relationship Id="rId21" Type="http://schemas.openxmlformats.org/officeDocument/2006/relationships/hyperlink" Target="https://microdata.worldbank.org/index.php/catalog/3795/" TargetMode="External"/><Relationship Id="rId22" Type="http://schemas.openxmlformats.org/officeDocument/2006/relationships/hyperlink" Target="https://www.ubos.org/annual-agricultural-survey-report-aas-2019/?utm_source=chatgpt.com" TargetMode="Externa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LibreOffice/26.2.4.2$Linux_X86_64 LibreOffice_project/620$Build-2</Application>
  <AppVersion>15.0000</AppVersion>
  <Pages>21</Pages>
  <Words>5181</Words>
  <Characters>33151</Characters>
  <CharactersWithSpaces>37784</CharactersWithSpaces>
  <Paragraphs>455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2026-07-30T15:23:04Z</dcterms:created>
  <dc:creator/>
  <dc:description/>
  <dc:language>en-US</dc:language>
  <cp:lastModifiedBy/>
  <dcterms:modified xsi:type="dcterms:W3CDTF">2026-07-30T18:27:11Z</dcterms:modified>
  <cp:revision>3</cp:revision>
  <dc:subject/>
  <dc:title/>
</cp:coreProperties>
</file>