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UNIVERSIDAD INDUSTRIAL DE SANTANDER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PROGRAMA DE ELECTRONICA</w:t>
      </w:r>
    </w:p>
    <w:p>
      <w:pPr>
        <w:pStyle w:val="Normal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LABORATORIO 1 – PROGRAMACIÓN DE SISTEMAS DE TIEMPO REAL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11057" w:type="dxa"/>
        <w:jc w:val="left"/>
        <w:tblInd w:w="-152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94"/>
        <w:gridCol w:w="8362"/>
      </w:tblGrid>
      <w:tr>
        <w:trPr>
          <w:trHeight w:val="400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1. IDENTIFICACIÓN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FACULTAD E3T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PROGRAMA: </w:t>
            </w:r>
            <w:r>
              <w:rPr>
                <w:rFonts w:cs="Arial" w:ascii="Arial" w:hAnsi="Arial"/>
                <w:sz w:val="20"/>
                <w:szCs w:val="20"/>
              </w:rPr>
              <w:t>INGENIERIA ELECTRONICA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ASIGNATURA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COMUNICACIONES II</w:t>
            </w:r>
          </w:p>
        </w:tc>
      </w:tr>
      <w:tr>
        <w:trPr>
          <w:trHeight w:val="293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UNIDAD TEMÁTICA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GNU RADIO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PROGRAMACIÓN DE SISTEMAS DE TIEMPO REAL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DOCENTE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JOHAN LEANDRO TÉLLEZ GARZÓN</w:t>
            </w:r>
          </w:p>
        </w:tc>
      </w:tr>
      <w:tr>
        <w:trPr>
          <w:trHeight w:val="277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ALUMNOS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Otto Andrade - 2190403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Daniela Cabrales - 2194554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Brayan Fonseca - 2182355</w:t>
            </w:r>
          </w:p>
        </w:tc>
      </w:tr>
      <w:tr>
        <w:trPr>
          <w:trHeight w:val="293" w:hRule="atLeast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8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39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2. DESCRIPCIÓN Y OBJETIVOS</w:t>
            </w:r>
          </w:p>
        </w:tc>
      </w:tr>
      <w:tr>
        <w:trPr>
          <w:trHeight w:val="153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Mediante esta guía de enseñanza se hace un acercamiento inicial a la programación de bloques en GNU radio mediante Python y se analizan los procesos que deben ser realizados para tratar un flujo de información en formato stream.</w:t>
            </w:r>
          </w:p>
          <w:p>
            <w:pPr>
              <w:pStyle w:val="ListParagraph"/>
              <w:numPr>
                <w:ilvl w:val="0"/>
                <w:numId w:val="1"/>
              </w:numPr>
              <w:snapToGrid w:val="false"/>
              <w:spacing w:before="0"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Practicar la programación de sistemas de tiempo real y los promedios de tiempo </w:t>
            </w:r>
          </w:p>
        </w:tc>
      </w:tr>
      <w:tr>
        <w:trPr>
          <w:trHeight w:val="39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3. REVISIÓN PRELIMINAR</w:t>
            </w:r>
          </w:p>
        </w:tc>
      </w:tr>
      <w:tr>
        <w:trPr>
          <w:trHeight w:val="1538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Conozca el </w:t>
            </w:r>
            <w:hyperlink r:id="rId2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>Manual de Manuales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 xml:space="preserve"> para que aprenda a encontrar las ayudas disponibles en temas de SDR en la UIS. Familiarícese con las variables usadas en los flujogramas. </w:t>
            </w:r>
            <w:hyperlink r:id="rId3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 xml:space="preserve">El libro de la asignatura 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>contiene además cosas como:</w:t>
            </w:r>
          </w:p>
          <w:p>
            <w:pPr>
              <w:pStyle w:val="Normal"/>
              <w:numPr>
                <w:ilvl w:val="0"/>
                <w:numId w:val="3"/>
              </w:numPr>
              <w:pBdr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En el capítulo 6, del</w:t>
            </w:r>
            <w:hyperlink r:id="rId4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 xml:space="preserve"> libro Vol I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>, se tiene una descripción de las variables y siglas que se usan en los flujogramas para cualquier práctica de la asignatura.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Enlaces a flujogramas usados en el libro. Debajo de cada gráfica con flujogramas hay una nota que dice: “Flujograma usado”. Esos flujogramas usados en el libro están en la página del libro:  </w:t>
            </w:r>
            <w:hyperlink r:id="rId5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>https://sites.google.com/saber.uis.edu.co/comdig/sw</w:t>
              </w:r>
            </w:hyperlink>
            <w:r>
              <w:rPr>
                <w:rFonts w:cs="Arial" w:ascii="Arial" w:hAnsi="Arial"/>
                <w:sz w:val="22"/>
                <w:szCs w:val="22"/>
              </w:rPr>
              <w:t xml:space="preserve"> o directamente en github: </w:t>
            </w:r>
            <w:hyperlink r:id="rId6">
              <w:r>
                <w:rPr>
                  <w:rFonts w:cs="Arial" w:ascii="Arial" w:hAnsi="Arial"/>
                  <w:color w:val="1155CC"/>
                  <w:sz w:val="22"/>
                  <w:szCs w:val="22"/>
                  <w:u w:val="single"/>
                </w:rPr>
                <w:t>https://github.com/hortegab/comdig_su_software_libro3.8.git</w:t>
              </w:r>
            </w:hyperlink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Realización de tutoriales prácticos de la página oficial de GNU radio haciendo énfasis en la programación del bloque denominado Python block y en el tratamiento de estructuras de datos tipo stream:</w:t>
            </w:r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</w:rPr>
            </w:pPr>
            <w:hyperlink r:id="rId7">
              <w:r>
                <w:rPr>
                  <w:rStyle w:val="EnlacedeInternet"/>
                  <w:rFonts w:cs="Arial" w:ascii="Arial" w:hAnsi="Arial"/>
                </w:rPr>
                <w:t>https://wiki.gnuradio.org/index.php?title=Tutorials</w:t>
              </w:r>
            </w:hyperlink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Defina que es una variable tipo stream, cuáles son sus ventajes y desventajas e identifique las características esenciales del bloque Python block. </w:t>
            </w:r>
            <w:r>
              <w:rPr>
                <w:rFonts w:cs="Arial" w:ascii="Arial" w:hAnsi="Arial"/>
                <w:u w:val="single"/>
              </w:rPr>
              <w:t>Este punto es opcional.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Investigue e identifique las operaciones que deben ser realizadas para encontrar la media cuadrática, el valor RMS, la potencia promedio y la desviación estándar de una señal. Use el libro de la E3T.</w:t>
            </w:r>
          </w:p>
          <w:p>
            <w:pPr>
              <w:pStyle w:val="ListParagraph"/>
              <w:spacing w:lineRule="auto" w:line="360" w:before="0" w:after="20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16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4. ACTIVIDADES Y PROCEDIMIENTOS</w:t>
            </w:r>
          </w:p>
        </w:tc>
      </w:tr>
      <w:tr>
        <w:trPr>
          <w:trHeight w:val="293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Genere tres señales diferentes (seno, ruido, vector repetitivo) y visualícelas en el dominio del tiempo. Utilice los parámetros que crea convenientes.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Cree un bloque con programación Python, usando un Python Block que permita entregar al mismo tiempo varios promedios de tiempo como: la media, la media cuadrática, el valor RMS, la potencia promedio, la desviación estándar. Los siguientes son requerimientos:</w:t>
            </w:r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 bloque tiene una entrada y 5 salidas, una para cada parámetro: la media, la media cuadrática, el valor RMS, la potencia promedio, la desviación estándar</w:t>
            </w:r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Todo el código se implementa dentro de un solo Python Block</w:t>
            </w:r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Ten en cuenta que si hay 5 salidas, la variable output_items, puede verse como:</w:t>
            </w:r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y0=output_items[0]</w:t>
            </w:r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y1=output_items[1]</w:t>
            </w:r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y2=output_items[2]</w:t>
            </w:r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y3=output_items[3]</w:t>
            </w:r>
          </w:p>
          <w:p>
            <w:pPr>
              <w:pStyle w:val="ListParagraph"/>
              <w:spacing w:lineRule="auto" w:line="36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y4=output_items[4]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Demuestra el funcionamiento del bloque, mediante un flujograma que calcule los diferentes parámetros para las tres señales implementadas en el punto 2. Analizar los parámetros de la señal y visualizarlos en tiempo real.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Los valores obtenidos son los esperados?.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Conectar el USRP, la antena y el cable Ethernet al computador con la finalidad de adquirir una señal en la banda de operación de la antena, seleccione un canal o frecuencia de su elección y realice mediciones de la potencia normalizada, valor RMS y desviación estándar con el bloque implementado en Python considerando tres valores distintos de frecuencia de muestreo. Analizar los resultados obtenidos.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Elija un valor fijo de frecuencia de muestreo que permita escuchar la señal de referencia en su tortalidad y cambie los valores del amplificador de RX (LNA) del USRP en cuatro valores distintos, documente los resultados obtenidos en términos de potencia normalizada, valor RMS y desviación estándar. Analizar los resultados obtenidos.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426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5. RECURSOS E INFORMACIÓN COMPLEMENTARIA</w:t>
            </w:r>
          </w:p>
        </w:tc>
      </w:tr>
      <w:tr>
        <w:trPr>
          <w:trHeight w:val="277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Los recursos e informaciones relacionadas al desarrollo de este laboratorio son los siguientes: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>Computador con mínimo 4 GB de RAM, 2GB de espacio en disco y processador Core i3 o superior.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Documentación oficial del GNU RADIO.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Libro E3T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cs="Arial" w:ascii="Arial" w:hAnsi="Arial"/>
                <w:sz w:val="22"/>
                <w:szCs w:val="22"/>
                <w:lang w:val="es-ES"/>
              </w:rPr>
            </w:r>
          </w:p>
        </w:tc>
      </w:tr>
      <w:tr>
        <w:trPr>
          <w:trHeight w:val="399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6. EVIDENCIA, RESULTADOS Y CONCLUSIONES DEL LABORATORIO </w:t>
            </w:r>
          </w:p>
        </w:tc>
      </w:tr>
      <w:tr>
        <w:trPr>
          <w:trHeight w:val="293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  <w:t>1) Variables de tipo stream: Es una secuencia serial de datos en un formato especifico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  <w:t>Ventaja: Nos permite mayor claridad al momento de ver el muestreo de la señal debido a que la representación punto a punto mantiene una visualización más fluida y “real”.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  <w:t>Desventaja: Se debe esperar hasta llenar una ventana para poder analizar los datos.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  <w:t>2) Las operaciones descritas están dadas por: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  <w:t>Brayan escribir las formulas en tiempo discreto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  <w:t>3)Visualización de señales generadas: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  <w:t>Seno: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  <w:t>4)El bloque finalizado se ve de la siguiente manera: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  <w:lang w:eastAsia="ar-SA"/>
              </w:rPr>
            </w:pPr>
            <w:r>
              <w:rPr>
                <w:rFonts w:cs="Arial" w:ascii="Arial" w:hAnsi="Arial"/>
                <w:color w:val="7F7F7F" w:themeColor="text1" w:themeTint="80"/>
                <w:sz w:val="22"/>
                <w:szCs w:val="22"/>
                <w:lang w:eastAsia="ar-SA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635</wp:posOffset>
                  </wp:positionV>
                  <wp:extent cx="2914015" cy="2671445"/>
                  <wp:effectExtent l="0" t="0" r="0" b="0"/>
                  <wp:wrapNone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015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5) Flujograma de distintas señales: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Senoidal</w:t>
              <w:br/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>
          <w:trHeight w:val="399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 xml:space="preserve">7. REJILLA DE EVALUACIÓN </w:t>
            </w:r>
          </w:p>
        </w:tc>
      </w:tr>
      <w:tr>
        <w:trPr>
          <w:trHeight w:val="293" w:hRule="atLeast"/>
        </w:trPr>
        <w:tc>
          <w:tcPr>
            <w:tcW w:w="110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hd w:val="clear" w:color="auto" w:fill="FFFFFF"/>
              <w:spacing w:before="0" w:afterAutospacing="1"/>
              <w:rPr>
                <w:rFonts w:ascii="Arial" w:hAnsi="Arial" w:cs="Arial"/>
                <w:sz w:val="23"/>
                <w:szCs w:val="23"/>
                <w:lang w:eastAsia="es-CO"/>
              </w:rPr>
            </w:pPr>
            <w:r>
              <w:rPr>
                <w:rFonts w:cs="Arial" w:ascii="Arial" w:hAnsi="Arial"/>
                <w:b/>
                <w:bCs/>
                <w:sz w:val="23"/>
                <w:szCs w:val="23"/>
                <w:lang w:val="es-ES" w:eastAsia="es-CO"/>
              </w:rPr>
              <w:t>Método de calificación por lista de cotejo</w:t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750"/>
              <w:gridCol w:w="5171"/>
              <w:gridCol w:w="1255"/>
              <w:gridCol w:w="1110"/>
              <w:gridCol w:w="1191"/>
              <w:gridCol w:w="1363"/>
            </w:tblGrid>
            <w:tr>
              <w:trPr>
                <w:trHeight w:val="274" w:hRule="atLeast"/>
              </w:trPr>
              <w:tc>
                <w:tcPr>
                  <w:tcW w:w="750" w:type="dxa"/>
                  <w:tcBorders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N°</w:t>
                  </w:r>
                </w:p>
              </w:tc>
              <w:tc>
                <w:tcPr>
                  <w:tcW w:w="5171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Criterios</w:t>
                  </w:r>
                </w:p>
              </w:tc>
              <w:tc>
                <w:tcPr>
                  <w:tcW w:w="1255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EXCELENTE (5)</w:t>
                  </w:r>
                </w:p>
              </w:tc>
              <w:tc>
                <w:tcPr>
                  <w:tcW w:w="1110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BUENO (4)</w:t>
                  </w:r>
                </w:p>
              </w:tc>
              <w:tc>
                <w:tcPr>
                  <w:tcW w:w="1191" w:type="dxa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>REGULAR (3)</w:t>
                  </w:r>
                </w:p>
              </w:tc>
              <w:tc>
                <w:tcPr>
                  <w:tcW w:w="1363" w:type="dxa"/>
                  <w:tcBorders>
                    <w:left w:val="single" w:sz="18" w:space="0" w:color="FFFFFF"/>
                    <w:bottom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cs="Calibri" w:ascii="Calibri" w:hAnsi="Calibri"/>
                      <w:b/>
                      <w:bCs/>
                      <w:color w:val="000000"/>
                      <w:kern w:val="2"/>
                      <w:sz w:val="22"/>
                      <w:szCs w:val="22"/>
                    </w:rPr>
                    <w:t xml:space="preserve">DEFICIENTE (2) </w:t>
                  </w:r>
                </w:p>
              </w:tc>
            </w:tr>
            <w:tr>
              <w:trPr>
                <w:trHeight w:val="552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 xml:space="preserve">Los Procedimientos son completos y permiten cumplir el objetivo general y los objetivos específicos. 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Caso se solicite responder preguntas al final, estas son respondidas de forma adecuada y coherente.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000000" w:fill="FFFFFF" w:val="pct5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  <w:tr>
              <w:trPr>
                <w:trHeight w:val="659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Los Resultados cumplen los siguientes criterios:</w:t>
                  </w:r>
                </w:p>
                <w:p>
                  <w:pPr>
                    <w:pStyle w:val="NormalWeb"/>
                    <w:numPr>
                      <w:ilvl w:val="0"/>
                      <w:numId w:val="5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Coherencia con los objetivos</w:t>
                  </w:r>
                </w:p>
                <w:p>
                  <w:pPr>
                    <w:pStyle w:val="NormalWeb"/>
                    <w:numPr>
                      <w:ilvl w:val="0"/>
                      <w:numId w:val="5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Tienen Comentados de análisis pertinentes</w:t>
                  </w:r>
                </w:p>
                <w:p>
                  <w:pPr>
                    <w:pStyle w:val="NormalWeb"/>
                    <w:numPr>
                      <w:ilvl w:val="0"/>
                      <w:numId w:val="5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Están en su totalidad (tiempo, frecuencia u otros solicitados)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  <w:tr>
              <w:trPr>
                <w:trHeight w:val="798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Calidad del informe: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Es organizado de inicio a fin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Etiqueta imágenes y las cita en el texto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Tiene ortografía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La escrita es clara y concisa</w:t>
                  </w:r>
                </w:p>
                <w:p>
                  <w:pPr>
                    <w:pStyle w:val="NormalWeb"/>
                    <w:numPr>
                      <w:ilvl w:val="0"/>
                      <w:numId w:val="6"/>
                    </w:numPr>
                    <w:suppressAutoHyphens w:val="false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No repite informaciones</w:t>
                  </w:r>
                </w:p>
                <w:p>
                  <w:pPr>
                    <w:pStyle w:val="NormalWeb"/>
                    <w:spacing w:lineRule="auto" w:line="254" w:before="0" w:after="0"/>
                    <w:ind w:left="720" w:hanging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auto" w:fill="F2F2F2" w:themeFill="background1" w:themeFillShade="f2" w:val="clear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  <w:tr>
              <w:trPr>
                <w:trHeight w:val="584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517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Tiene al menos una conclusión que sea resultado directo de la ejecución del laboratorio</w:t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</w:tc>
              <w:tc>
                <w:tcPr>
                  <w:tcW w:w="1255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  <w:tc>
                <w:tcPr>
                  <w:tcW w:w="1110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  <w:tc>
                <w:tcPr>
                  <w:tcW w:w="1191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  <w:tc>
                <w:tcPr>
                  <w:tcW w:w="1363" w:type="dxa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297" w:hRule="atLeast"/>
              </w:trPr>
              <w:tc>
                <w:tcPr>
                  <w:tcW w:w="750" w:type="dxa"/>
                  <w:tcBorders>
                    <w:top w:val="single" w:sz="18" w:space="0" w:color="FFFFFF"/>
                    <w:righ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b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  <w:r>
                    <w:rPr>
                      <w:rFonts w:cs="Arial" w:ascii="Arial" w:hAnsi="Arial"/>
                      <w:b/>
                      <w:bCs/>
                      <w:color w:val="000000"/>
                      <w:kern w:val="2"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10090" w:type="dxa"/>
                  <w:gridSpan w:val="5"/>
                  <w:tcBorders>
                    <w:top w:val="single" w:sz="18" w:space="0" w:color="FFFFFF"/>
                    <w:left w:val="single" w:sz="18" w:space="0" w:color="FFFFFF"/>
                  </w:tcBorders>
                  <w:shd w:color="000000" w:fill="FFFFFF" w:val="pct20"/>
                </w:tcPr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</w:r>
                </w:p>
                <w:p>
                  <w:pPr>
                    <w:pStyle w:val="NormalWeb"/>
                    <w:spacing w:lineRule="auto" w:line="254" w:before="0"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color w:val="000000"/>
                      <w:kern w:val="2"/>
                      <w:sz w:val="18"/>
                      <w:szCs w:val="18"/>
                    </w:rPr>
                    <w:t> </w:t>
                  </w:r>
                </w:p>
              </w:tc>
            </w:tr>
          </w:tbl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sectPr>
      <w:footerReference w:type="default" r:id="rId9"/>
      <w:type w:val="nextPage"/>
      <w:pgSz w:w="12240" w:h="15840"/>
      <w:pgMar w:left="720" w:right="720" w:header="0" w:top="720" w:footer="51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-345440</wp:posOffset>
          </wp:positionH>
          <wp:positionV relativeFrom="paragraph">
            <wp:posOffset>48260</wp:posOffset>
          </wp:positionV>
          <wp:extent cx="1177925" cy="607060"/>
          <wp:effectExtent l="0" t="0" r="0" b="0"/>
          <wp:wrapSquare wrapText="bothSides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7792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6663055</wp:posOffset>
          </wp:positionH>
          <wp:positionV relativeFrom="paragraph">
            <wp:posOffset>51435</wp:posOffset>
          </wp:positionV>
          <wp:extent cx="594360" cy="607060"/>
          <wp:effectExtent l="0" t="0" r="0" b="0"/>
          <wp:wrapSquare wrapText="bothSides"/>
          <wp:docPr id="3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10079" r="30455" b="18932"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>
        <w:rFonts w:cs="Arial" w:ascii="Arial" w:hAnsi="Arial"/>
        <w:color w:val="404040" w:themeColor="text1" w:themeTint="bf"/>
        <w:sz w:val="18"/>
        <w:szCs w:val="18"/>
      </w:rPr>
      <w:t xml:space="preserve"> </w:t>
    </w:r>
    <w:r>
      <w:rPr>
        <w:rFonts w:cs="Arial" w:ascii="Arial" w:hAnsi="Arial"/>
        <w:color w:val="404040" w:themeColor="text1" w:themeTint="bf"/>
        <w:sz w:val="18"/>
        <w:szCs w:val="18"/>
      </w:rPr>
      <w:t>Elaborado por: Johan Leandro Téllez Garzón</w:t>
    </w:r>
  </w:p>
  <w:p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rFonts w:cs="Arial" w:ascii="Arial" w:hAnsi="Arial"/>
        <w:color w:val="404040" w:themeColor="text1" w:themeTint="bf"/>
        <w:sz w:val="18"/>
        <w:szCs w:val="18"/>
      </w:rPr>
      <w:t>Fecha actualización: 03/11/2022</w:t>
    </w:r>
  </w:p>
  <w:p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rFonts w:cs="Arial" w:ascii="Arial" w:hAnsi="Arial"/>
        <w:color w:val="404040" w:themeColor="text1" w:themeTint="bf"/>
        <w:sz w:val="18"/>
        <w:szCs w:val="18"/>
      </w:rPr>
      <w:t>Asignatura: Comunicaciones II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/>
      <w:b/>
      <w:i w:val="false"/>
      <w:color w:val="auto"/>
      <w:sz w:val="22"/>
      <w:szCs w:val="24"/>
      <w:u w:val="none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Arial" w:hAnsi="Arial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Wingdings" w:hAnsi="Wingdings"/>
      <w:b/>
      <w:i w:val="false"/>
      <w:color w:val="auto"/>
      <w:sz w:val="24"/>
      <w:szCs w:val="24"/>
      <w:u w:val="none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5z3" w:customStyle="1">
    <w:name w:val="WW8Num5z3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7z0" w:customStyle="1">
    <w:name w:val="WW8Num7z0"/>
    <w:qFormat/>
    <w:rPr>
      <w:b/>
    </w:rPr>
  </w:style>
  <w:style w:type="character" w:styleId="WW8Num8z0" w:customStyle="1">
    <w:name w:val="WW8Num8z0"/>
    <w:qFormat/>
    <w:rPr>
      <w:rFonts w:ascii="Arial" w:hAnsi="Arial" w:eastAsia="Times New Roman" w:cs="Arial"/>
    </w:rPr>
  </w:style>
  <w:style w:type="character" w:styleId="WW8Num8z1" w:customStyle="1">
    <w:name w:val="WW8Num8z1"/>
    <w:qFormat/>
    <w:rPr>
      <w:rFonts w:ascii="Symbol" w:hAnsi="Symbol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8z4" w:customStyle="1">
    <w:name w:val="WW8Num8z4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Symbol" w:hAnsi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0" w:customStyle="1">
    <w:name w:val="WW8Num10z0"/>
    <w:qFormat/>
    <w:rPr>
      <w:rFonts w:ascii="Arial" w:hAnsi="Arial" w:eastAsia="Times New Roman" w:cs="Aria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WW8Num10z3" w:customStyle="1">
    <w:name w:val="WW8Num10z3"/>
    <w:qFormat/>
    <w:rPr>
      <w:rFonts w:ascii="Symbol" w:hAnsi="Symbol"/>
    </w:rPr>
  </w:style>
  <w:style w:type="character" w:styleId="WW8Num11z0" w:customStyle="1">
    <w:name w:val="WW8Num11z0"/>
    <w:qFormat/>
    <w:rPr>
      <w:rFonts w:ascii="Arial" w:hAnsi="Arial" w:eastAsia="Times New Roman" w:cs="Aria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/>
    </w:rPr>
  </w:style>
  <w:style w:type="character" w:styleId="WW8Num11z3" w:customStyle="1">
    <w:name w:val="WW8Num11z3"/>
    <w:qFormat/>
    <w:rPr>
      <w:rFonts w:ascii="Symbol" w:hAnsi="Symbol"/>
    </w:rPr>
  </w:style>
  <w:style w:type="character" w:styleId="WW8Num12z0" w:customStyle="1">
    <w:name w:val="WW8Num12z0"/>
    <w:qFormat/>
    <w:rPr>
      <w:b/>
    </w:rPr>
  </w:style>
  <w:style w:type="character" w:styleId="WW8Num13z0" w:customStyle="1">
    <w:name w:val="WW8Num13z0"/>
    <w:qFormat/>
    <w:rPr>
      <w:rFonts w:ascii="Symbol" w:hAnsi="Symbol"/>
      <w:b/>
      <w:i w:val="false"/>
      <w:color w:val="auto"/>
      <w:sz w:val="24"/>
      <w:szCs w:val="24"/>
      <w:u w:val="none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3z3" w:customStyle="1">
    <w:name w:val="WW8Num13z3"/>
    <w:qFormat/>
    <w:rPr>
      <w:rFonts w:ascii="Symbol" w:hAnsi="Symbol"/>
    </w:rPr>
  </w:style>
  <w:style w:type="character" w:styleId="WW8Num14z0" w:customStyle="1">
    <w:name w:val="WW8Num14z0"/>
    <w:qFormat/>
    <w:rPr>
      <w:rFonts w:ascii="Symbol" w:hAnsi="Symbol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4z2" w:customStyle="1">
    <w:name w:val="WW8Num14z2"/>
    <w:qFormat/>
    <w:rPr>
      <w:rFonts w:ascii="Wingdings" w:hAnsi="Wingdings"/>
    </w:rPr>
  </w:style>
  <w:style w:type="character" w:styleId="WW8Num15z0" w:customStyle="1">
    <w:name w:val="WW8Num15z0"/>
    <w:qFormat/>
    <w:rPr>
      <w:rFonts w:ascii="Wingdings" w:hAnsi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/>
    </w:rPr>
  </w:style>
  <w:style w:type="character" w:styleId="WW8Num16z0" w:customStyle="1">
    <w:name w:val="WW8Num16z0"/>
    <w:qFormat/>
    <w:rPr>
      <w:b/>
    </w:rPr>
  </w:style>
  <w:style w:type="character" w:styleId="WW8Num17z0" w:customStyle="1">
    <w:name w:val="WW8Num17z0"/>
    <w:qFormat/>
    <w:rPr>
      <w:rFonts w:ascii="Wingdings" w:hAnsi="Wingdings"/>
      <w:b/>
      <w:i w:val="false"/>
      <w:color w:val="auto"/>
      <w:sz w:val="22"/>
      <w:szCs w:val="24"/>
      <w:u w:val="none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/>
    </w:rPr>
  </w:style>
  <w:style w:type="character" w:styleId="WW8Num17z3" w:customStyle="1">
    <w:name w:val="WW8Num17z3"/>
    <w:qFormat/>
    <w:rPr>
      <w:rFonts w:ascii="Symbol" w:hAnsi="Symbol"/>
    </w:rPr>
  </w:style>
  <w:style w:type="character" w:styleId="WW8Num19z0" w:customStyle="1">
    <w:name w:val="WW8Num19z0"/>
    <w:qFormat/>
    <w:rPr>
      <w:rFonts w:ascii="Symbol" w:hAnsi="Symbol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2" w:customStyle="1">
    <w:name w:val="WW8Num19z2"/>
    <w:qFormat/>
    <w:rPr>
      <w:rFonts w:ascii="Wingdings" w:hAnsi="Wingdings"/>
    </w:rPr>
  </w:style>
  <w:style w:type="character" w:styleId="WW8Num20z0" w:customStyle="1">
    <w:name w:val="WW8Num20z0"/>
    <w:qFormat/>
    <w:rPr>
      <w:rFonts w:ascii="Symbol" w:hAnsi="Symbol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2" w:customStyle="1">
    <w:name w:val="WW8Num20z2"/>
    <w:qFormat/>
    <w:rPr>
      <w:rFonts w:ascii="Wingdings" w:hAnsi="Wingdings"/>
    </w:rPr>
  </w:style>
  <w:style w:type="character" w:styleId="WW8Num21z0" w:customStyle="1">
    <w:name w:val="WW8Num21z0"/>
    <w:qFormat/>
    <w:rPr>
      <w:rFonts w:ascii="Symbol" w:hAnsi="Symbol"/>
    </w:rPr>
  </w:style>
  <w:style w:type="character" w:styleId="WW8Num22z0" w:customStyle="1">
    <w:name w:val="WW8Num22z0"/>
    <w:qFormat/>
    <w:rPr>
      <w:rFonts w:ascii="Arial" w:hAnsi="Arial" w:eastAsia="Times New Roman" w:cs="Arial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2" w:customStyle="1">
    <w:name w:val="WW8Num22z2"/>
    <w:qFormat/>
    <w:rPr>
      <w:rFonts w:ascii="Wingdings" w:hAnsi="Wingdings"/>
    </w:rPr>
  </w:style>
  <w:style w:type="character" w:styleId="WW8Num22z3" w:customStyle="1">
    <w:name w:val="WW8Num22z3"/>
    <w:qFormat/>
    <w:rPr>
      <w:rFonts w:ascii="Symbol" w:hAnsi="Symbol"/>
    </w:rPr>
  </w:style>
  <w:style w:type="character" w:styleId="WW8Num24z0" w:customStyle="1">
    <w:name w:val="WW8Num24z0"/>
    <w:qFormat/>
    <w:rPr>
      <w:rFonts w:ascii="Arial" w:hAnsi="Arial"/>
    </w:rPr>
  </w:style>
  <w:style w:type="character" w:styleId="WW8Num25z0" w:customStyle="1">
    <w:name w:val="WW8Num25z0"/>
    <w:qFormat/>
    <w:rPr>
      <w:rFonts w:ascii="Wingdings" w:hAnsi="Wingdings"/>
      <w:b/>
      <w:i w:val="false"/>
      <w:color w:val="auto"/>
      <w:sz w:val="24"/>
      <w:szCs w:val="24"/>
      <w:u w:val="none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2" w:customStyle="1">
    <w:name w:val="WW8Num25z2"/>
    <w:qFormat/>
    <w:rPr>
      <w:rFonts w:ascii="Wingdings" w:hAnsi="Wingdings"/>
    </w:rPr>
  </w:style>
  <w:style w:type="character" w:styleId="WW8Num25z3" w:customStyle="1">
    <w:name w:val="WW8Num25z3"/>
    <w:qFormat/>
    <w:rPr>
      <w:rFonts w:ascii="Symbol" w:hAnsi="Symbol"/>
    </w:rPr>
  </w:style>
  <w:style w:type="character" w:styleId="WW8Num26z0" w:customStyle="1">
    <w:name w:val="WW8Num26z0"/>
    <w:qFormat/>
    <w:rPr>
      <w:rFonts w:ascii="Wingdings" w:hAnsi="Wingdings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3" w:customStyle="1">
    <w:name w:val="WW8Num26z3"/>
    <w:qFormat/>
    <w:rPr>
      <w:rFonts w:ascii="Symbol" w:hAnsi="Symbol"/>
    </w:rPr>
  </w:style>
  <w:style w:type="character" w:styleId="WW8Num27z0" w:customStyle="1">
    <w:name w:val="WW8Num27z0"/>
    <w:qFormat/>
    <w:rPr>
      <w:rFonts w:ascii="Arial" w:hAnsi="Arial"/>
    </w:rPr>
  </w:style>
  <w:style w:type="character" w:styleId="WW8Num27z1" w:customStyle="1">
    <w:name w:val="WW8Num27z1"/>
    <w:qFormat/>
    <w:rPr>
      <w:rFonts w:ascii="Times New Roman" w:hAnsi="Times New Roman"/>
    </w:rPr>
  </w:style>
  <w:style w:type="character" w:styleId="WW8Num28z0" w:customStyle="1">
    <w:name w:val="WW8Num28z0"/>
    <w:qFormat/>
    <w:rPr>
      <w:b/>
    </w:rPr>
  </w:style>
  <w:style w:type="character" w:styleId="WW8Num29z0" w:customStyle="1">
    <w:name w:val="WW8Num29z0"/>
    <w:qFormat/>
    <w:rPr>
      <w:rFonts w:ascii="Wingdings" w:hAnsi="Wingdings"/>
      <w:b/>
      <w:i w:val="false"/>
      <w:color w:val="auto"/>
      <w:sz w:val="24"/>
      <w:szCs w:val="24"/>
      <w:u w:val="none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/>
    </w:rPr>
  </w:style>
  <w:style w:type="character" w:styleId="WW8Num29z3" w:customStyle="1">
    <w:name w:val="WW8Num29z3"/>
    <w:qFormat/>
    <w:rPr>
      <w:rFonts w:ascii="Symbol" w:hAnsi="Symbol"/>
    </w:rPr>
  </w:style>
  <w:style w:type="character" w:styleId="WW8Num30z0" w:customStyle="1">
    <w:name w:val="WW8Num30z0"/>
    <w:qFormat/>
    <w:rPr>
      <w:b/>
    </w:rPr>
  </w:style>
  <w:style w:type="character" w:styleId="WW8Num31z0" w:customStyle="1">
    <w:name w:val="WW8Num31z0"/>
    <w:qFormat/>
    <w:rPr>
      <w:rFonts w:ascii="Symbol" w:hAnsi="Symbol"/>
      <w:b/>
      <w:i w:val="false"/>
      <w:color w:val="auto"/>
      <w:sz w:val="24"/>
      <w:szCs w:val="24"/>
      <w:u w:val="none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2" w:customStyle="1">
    <w:name w:val="WW8Num31z2"/>
    <w:qFormat/>
    <w:rPr>
      <w:rFonts w:ascii="Wingdings" w:hAnsi="Wingdings"/>
    </w:rPr>
  </w:style>
  <w:style w:type="character" w:styleId="WW8Num31z3" w:customStyle="1">
    <w:name w:val="WW8Num31z3"/>
    <w:qFormat/>
    <w:rPr>
      <w:rFonts w:ascii="Symbol" w:hAnsi="Symbol"/>
    </w:rPr>
  </w:style>
  <w:style w:type="character" w:styleId="WW8Num32z0" w:customStyle="1">
    <w:name w:val="WW8Num32z0"/>
    <w:qFormat/>
    <w:rPr>
      <w:rFonts w:ascii="Symbol" w:hAnsi="Symbol"/>
    </w:rPr>
  </w:style>
  <w:style w:type="character" w:styleId="WW8Num32z1" w:customStyle="1">
    <w:name w:val="WW8Num32z1"/>
    <w:qFormat/>
    <w:rPr>
      <w:rFonts w:ascii="Courier New" w:hAnsi="Courier New" w:cs="Courier New"/>
    </w:rPr>
  </w:style>
  <w:style w:type="character" w:styleId="WW8Num32z2" w:customStyle="1">
    <w:name w:val="WW8Num32z2"/>
    <w:qFormat/>
    <w:rPr>
      <w:rFonts w:ascii="Wingdings" w:hAnsi="Wingdings"/>
    </w:rPr>
  </w:style>
  <w:style w:type="character" w:styleId="Fuentedeprrafopredeter1" w:customStyle="1">
    <w:name w:val="Fuente de párrafo predeter.1"/>
    <w:qFormat/>
    <w:rPr/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semiHidden/>
    <w:rPr>
      <w:strike w:val="false"/>
      <w:dstrike w:val="false"/>
      <w:color w:val="0000FF"/>
      <w:u w:val="none"/>
    </w:rPr>
  </w:style>
  <w:style w:type="character" w:styleId="PlaceholderText">
    <w:name w:val="Placeholder Text"/>
    <w:basedOn w:val="DefaultParagraphFont"/>
    <w:uiPriority w:val="99"/>
    <w:semiHidden/>
    <w:qFormat/>
    <w:rsid w:val="00d50d2b"/>
    <w:rPr>
      <w:color w:val="80808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b225d"/>
    <w:rPr>
      <w:sz w:val="24"/>
      <w:szCs w:val="24"/>
      <w:lang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b225d"/>
    <w:rPr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94c0e"/>
    <w:rPr>
      <w:color w:val="605E5C"/>
      <w:shd w:fill="E1DFDD" w:val="clear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uerpodetexto"/>
    <w:semiHidden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Encabezado1" w:customStyle="1">
    <w:name w:val="Encabezado1"/>
    <w:basedOn w:val="Normal"/>
    <w:next w:val="Cuerpodetexto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Etiqueta" w:customStyle="1">
    <w:name w:val="Etiqueta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NormalWeb" w:customStyle="1">
    <w:name w:val="WW-Normal (Web)"/>
    <w:basedOn w:val="Normal"/>
    <w:qFormat/>
    <w:pPr>
      <w:spacing w:before="0" w:after="120"/>
      <w:ind w:left="1077" w:hanging="0"/>
      <w:jc w:val="both"/>
    </w:pPr>
    <w:rPr>
      <w:spacing w:val="-5"/>
      <w:szCs w:val="20"/>
      <w:lang w:val="es-ES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lang w:val="es-ES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Encabezadodelatabla" w:customStyle="1">
    <w:name w:val="Encabezad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53646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s-ES" w:eastAsia="en-U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b225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7b225d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izV50oZh4ihL1l7MNFrqat-NU60VYN_t3AxMVuNngQE/edit?usp=sharing" TargetMode="External"/><Relationship Id="rId3" Type="http://schemas.openxmlformats.org/officeDocument/2006/relationships/hyperlink" Target="https://drive.google.com/drive/folders/1igMwiw5nk1sRp1wFzAeWjCwVbVKweqSt" TargetMode="External"/><Relationship Id="rId4" Type="http://schemas.openxmlformats.org/officeDocument/2006/relationships/hyperlink" Target="https://drive.google.com/drive/folders/1igMwiw5nk1sRp1wFzAeWjCwVbVKweqSt" TargetMode="External"/><Relationship Id="rId5" Type="http://schemas.openxmlformats.org/officeDocument/2006/relationships/hyperlink" Target="https://sites.google.com/saber.uis.edu.co/comdig/sw" TargetMode="External"/><Relationship Id="rId6" Type="http://schemas.openxmlformats.org/officeDocument/2006/relationships/hyperlink" Target="https://github.com/hortegab/comdig_su_software_libro3.8.git" TargetMode="External"/><Relationship Id="rId7" Type="http://schemas.openxmlformats.org/officeDocument/2006/relationships/hyperlink" Target="https://wiki.gnuradio.org/index.php?title=Tutorials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E45-CC28-4AEC-B3E5-DA25897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Application>LibreOffice/6.4.7.2$Linux_X86_64 LibreOffice_project/40$Build-2</Application>
  <Pages>4</Pages>
  <Words>878</Words>
  <Characters>4898</Characters>
  <CharactersWithSpaces>5690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2018-04-06T20:38:00Z</dcterms:created>
  <dc:creator>*</dc:creator>
  <dc:description/>
  <dc:language>es-CO</dc:language>
  <cp:lastModifiedBy/>
  <cp:lastPrinted>2018-04-06T20:38:00Z</cp:lastPrinted>
  <dcterms:modified xsi:type="dcterms:W3CDTF">2023-09-06T11:26:31Z</dcterms:modified>
  <cp:revision>118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-968826154</vt:i4>
  </property>
</Properties>
</file>