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1488" w14:textId="77777777" w:rsidR="00C43B99" w:rsidRDefault="00000000">
      <w:pPr>
        <w:pStyle w:val="Heading1"/>
      </w:pPr>
      <w:r>
        <w:t>Description of Differential Module Eigengene Analysis Table</w:t>
      </w:r>
    </w:p>
    <w:p w14:paraId="2B9C9DE4" w14:textId="77777777" w:rsidR="00C43B99" w:rsidRDefault="00000000">
      <w:r>
        <w:t>To assess phenotype-associated differences in AMI-derived module activity, eigengenes (first principal component of each module) were compared between Control (MGS1) and Late AMD (MGS4) samples using the Wilcoxon rank-sum test (equivalent to the Mann–Whitney U test). The resulting summary table includes the following columns:</w:t>
      </w:r>
    </w:p>
    <w:p w14:paraId="326210AA" w14:textId="77777777" w:rsidR="00C43B99" w:rsidRDefault="00000000">
      <w:pPr>
        <w:pStyle w:val="Heading2"/>
      </w:pPr>
      <w:r>
        <w:t>Module</w:t>
      </w:r>
    </w:p>
    <w:p w14:paraId="7726259E" w14:textId="77777777" w:rsidR="00C43B99" w:rsidRDefault="00000000">
      <w:r>
        <w:t>Identifier of the MEGENA module being tested (e.g., c1_4, c1_3). Each module represents a cluster of co-expressed genes forming a coordinated transcriptional network inferred from the AMI-based planar filtered network. Each row corresponds to one multiscale gene module.</w:t>
      </w:r>
    </w:p>
    <w:p w14:paraId="0D7E12C4" w14:textId="77777777" w:rsidR="00C43B99" w:rsidRDefault="00000000">
      <w:pPr>
        <w:pStyle w:val="Heading2"/>
      </w:pPr>
      <w:r>
        <w:t>Test</w:t>
      </w:r>
    </w:p>
    <w:p w14:paraId="38A2A020" w14:textId="77777777" w:rsidR="00C43B99" w:rsidRDefault="00000000">
      <w:r>
        <w:t>Specifies the statistical test performed. In this analysis, the Wilcoxon rank-sum (unpaired) test was used, which is equivalent to the Mann–Whitney U test. This nonparametric test compares the distributions of eigengene values between independent Control and Late AMD samples without assuming normality.</w:t>
      </w:r>
    </w:p>
    <w:p w14:paraId="51E5CAEF" w14:textId="77777777" w:rsidR="00C43B99" w:rsidRDefault="00000000">
      <w:pPr>
        <w:pStyle w:val="Heading2"/>
      </w:pPr>
      <w:r>
        <w:t>N_MGS1 and N_MGS4</w:t>
      </w:r>
    </w:p>
    <w:p w14:paraId="77A70E75" w14:textId="77777777" w:rsidR="00C43B99" w:rsidRDefault="00000000">
      <w:r>
        <w:t>Sample sizes in each phenotype group. N_MGS1 represents the number of Control samples, and N_MGS4 represents the number of Late AMD samples. These indicate the number of observations contributing to each module comparison.</w:t>
      </w:r>
    </w:p>
    <w:p w14:paraId="5EE2A453" w14:textId="77777777" w:rsidR="00C43B99" w:rsidRDefault="00000000">
      <w:pPr>
        <w:pStyle w:val="Heading2"/>
      </w:pPr>
      <w:r>
        <w:t>Control_mean and Late_mean</w:t>
      </w:r>
    </w:p>
    <w:p w14:paraId="37C6EDE1" w14:textId="77777777" w:rsidR="00C43B99" w:rsidRDefault="00000000">
      <w:r>
        <w:t>Arithmetic mean of the module eigengene values within each phenotype group. These values provide descriptive summaries of average module activity but are not used directly in the Wilcoxon test, which is rank-based.</w:t>
      </w:r>
    </w:p>
    <w:p w14:paraId="65A08F87" w14:textId="77777777" w:rsidR="00C43B99" w:rsidRDefault="00000000">
      <w:pPr>
        <w:pStyle w:val="Heading2"/>
      </w:pPr>
      <w:r>
        <w:t>Control_median and Late_median</w:t>
      </w:r>
    </w:p>
    <w:p w14:paraId="5BAF101F" w14:textId="77777777" w:rsidR="00C43B99" w:rsidRDefault="00000000">
      <w:r>
        <w:t>Median eigengene value within each phenotype group. Because the Wilcoxon test is rank-based and robust to non-normality, medians provide a more appropriate summary of central tendency for interpreting directionality.</w:t>
      </w:r>
    </w:p>
    <w:p w14:paraId="660A6C8C" w14:textId="77777777" w:rsidR="00C43B99" w:rsidRDefault="00000000">
      <w:pPr>
        <w:pStyle w:val="Heading2"/>
      </w:pPr>
      <w:r>
        <w:t>Median_diff_Late_minus_Control</w:t>
      </w:r>
    </w:p>
    <w:p w14:paraId="38F3174B" w14:textId="77777777" w:rsidR="00C43B99" w:rsidRDefault="00000000">
      <w:r>
        <w:t>Difference in median eigengene values (Late minus Control). A positive value indicates the module is upregulated in Late AMD, whereas a negative value indicates downregulation in Late AMD.</w:t>
      </w:r>
    </w:p>
    <w:p w14:paraId="60D16951" w14:textId="77777777" w:rsidR="00C43B99" w:rsidRDefault="00000000">
      <w:pPr>
        <w:pStyle w:val="Heading2"/>
      </w:pPr>
      <w:r>
        <w:t>W_statistic</w:t>
      </w:r>
    </w:p>
    <w:p w14:paraId="5CC236CB" w14:textId="77777777" w:rsidR="00C43B99" w:rsidRDefault="00000000">
      <w:r>
        <w:t>Wilcoxon rank-sum test statistic (sum of ranks for one group). This statistic is used internally to compute the p-value and reflects the degree of rank separation between groups but does not have a direct biological interpretation.</w:t>
      </w:r>
    </w:p>
    <w:p w14:paraId="21BCF8F1" w14:textId="77777777" w:rsidR="00C43B99" w:rsidRDefault="00000000">
      <w:pPr>
        <w:pStyle w:val="Heading2"/>
      </w:pPr>
      <w:r>
        <w:lastRenderedPageBreak/>
        <w:t>p_value</w:t>
      </w:r>
    </w:p>
    <w:p w14:paraId="69A6FE4E" w14:textId="77777777" w:rsidR="00C43B99" w:rsidRDefault="00000000">
      <w:r>
        <w:t>Raw p-value from the Wilcoxon rank-sum test. This tests the null hypothesis that eigengene distributions are identical between Control and Late AMD samples. Small p-values indicate significant differences.</w:t>
      </w:r>
    </w:p>
    <w:p w14:paraId="4676DE7C" w14:textId="77777777" w:rsidR="00C43B99" w:rsidRDefault="00000000">
      <w:pPr>
        <w:pStyle w:val="Heading2"/>
      </w:pPr>
      <w:r>
        <w:t>Effect_rank_biserial</w:t>
      </w:r>
    </w:p>
    <w:p w14:paraId="59422751" w14:textId="77777777" w:rsidR="00C43B99" w:rsidRDefault="00000000">
      <w:r>
        <w:t>Rank-biserial correlation effect size derived from the Mann–Whitney U statistic. This metric ranges between -1 and 1 and quantifies the magnitude and direction of group separation. Values near 0 indicate overlap; positive values indicate higher eigengene values in Late AMD; negative values indicate higher values in Control.</w:t>
      </w:r>
    </w:p>
    <w:p w14:paraId="59EB3A52" w14:textId="77777777" w:rsidR="00C43B99" w:rsidRDefault="00000000">
      <w:pPr>
        <w:pStyle w:val="Heading2"/>
      </w:pPr>
      <w:r>
        <w:t>FDR</w:t>
      </w:r>
    </w:p>
    <w:p w14:paraId="30294B35" w14:textId="77777777" w:rsidR="00C43B99" w:rsidRDefault="00000000">
      <w:r>
        <w:t>Benjamini–Hochberg False Discovery Rate–adjusted p-value. This controls for multiple testing across modules. Modules with FDR &lt; 0.05 remain statistically significant after correction.</w:t>
      </w:r>
    </w:p>
    <w:p w14:paraId="3B370DEA" w14:textId="77777777" w:rsidR="00C43B99" w:rsidRDefault="00000000">
      <w:pPr>
        <w:pStyle w:val="Heading2"/>
      </w:pPr>
      <w:r>
        <w:t>Overall Interpretation</w:t>
      </w:r>
    </w:p>
    <w:p w14:paraId="4A1DA5CB" w14:textId="77777777" w:rsidR="00C43B99" w:rsidRDefault="00000000">
      <w:r>
        <w:t>Each row quantifies whether a multiscale AMI-derived gene network exhibits differential coordinated activity between Control and Late AMD samples. Together, these columns describe the magnitude of module-level shifts, direction of regulation, statistical strength of separation, multiple-testing correction, and biological effect size. This framework evaluates phenotype-associated changes at the coordinated network level rather than single-gene differential expression.</w:t>
      </w:r>
    </w:p>
    <w:sectPr w:rsidR="00C43B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343568">
    <w:abstractNumId w:val="8"/>
  </w:num>
  <w:num w:numId="2" w16cid:durableId="1284531315">
    <w:abstractNumId w:val="6"/>
  </w:num>
  <w:num w:numId="3" w16cid:durableId="1419330302">
    <w:abstractNumId w:val="5"/>
  </w:num>
  <w:num w:numId="4" w16cid:durableId="684984595">
    <w:abstractNumId w:val="4"/>
  </w:num>
  <w:num w:numId="5" w16cid:durableId="1227107688">
    <w:abstractNumId w:val="7"/>
  </w:num>
  <w:num w:numId="6" w16cid:durableId="2089881636">
    <w:abstractNumId w:val="3"/>
  </w:num>
  <w:num w:numId="7" w16cid:durableId="765805038">
    <w:abstractNumId w:val="2"/>
  </w:num>
  <w:num w:numId="8" w16cid:durableId="390425595">
    <w:abstractNumId w:val="1"/>
  </w:num>
  <w:num w:numId="9" w16cid:durableId="23359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4671"/>
    <w:rsid w:val="00AA1D8D"/>
    <w:rsid w:val="00B47730"/>
    <w:rsid w:val="00C43B99"/>
    <w:rsid w:val="00CB0664"/>
    <w:rsid w:val="00D857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C2152"/>
  <w14:defaultImageDpi w14:val="300"/>
  <w15:docId w15:val="{7F2A8534-3412-41CB-BB2D-732DA6F0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509</Words>
  <Characters>2905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Brayan Gutierrez</cp:lastModifiedBy>
  <cp:revision>2</cp:revision>
  <dcterms:created xsi:type="dcterms:W3CDTF">2026-02-15T17:56:00Z</dcterms:created>
  <dcterms:modified xsi:type="dcterms:W3CDTF">2026-02-15T17:56:00Z</dcterms:modified>
  <cp:category/>
</cp:coreProperties>
</file>