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9 de octubre de 2026</w:t>
      </w:r>
    </w:p>
    <w:p>
      <w:pPr>
        <w:pStyle w:val="BodyText"/>
      </w:pPr>
      <w:r>
        <w:t xml:space="preserve">Tipo de manual: Manual de instalación (personal de infraestructura y DevOps) · Versión 3.1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Xa12ce862f6a7bc5bdaffd0b37b667e261a3fce0">
        <w:r>
          <w:rPr>
            <w:rStyle w:val="Hyperlink"/>
          </w:rPr>
          <w:t xml:space="preserve">Anexo A. Lista de Figuras Pendientes de Captura</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El único entorno que el proyecto declara dentro de su alcance es el local, ejecutado con Docker; no hay entornos de pruebas ni de producción.</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22"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9 de octubre de 2026) y la documentación del proyecto actualizada al 9 de octubre de 2026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22"/>
    <w:bookmarkStart w:id="23"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despliegue en entornos de pruebas o de producción, la canalización de integración continua (Jenkins está planeado, pero no configurado), la publicación de la aplicación móvil en tiendas de aplicaciones ni el uso funcional del sistema, que se explica en el Manual de Usuario y en el Manual de Administrador.</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25"/>
    <w:bookmarkStart w:id="26"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26"/>
    <w:bookmarkEnd w:id="27"/>
    <w:bookmarkStart w:id="30"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28"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28"/>
    <w:bookmarkStart w:id="29"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29"/>
    <w:bookmarkEnd w:id="30"/>
    <w:bookmarkStart w:id="32"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31"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lockText"/>
      </w:pPr>
      <w:r>
        <w:rPr>
          <w:b/>
          <w:bCs/>
        </w:rPr>
        <w:t xml:space="preserve">Captura por insertar.</w:t>
      </w:r>
      <w:r>
        <w:t xml:space="preserve"> </w:t>
      </w:r>
      <w:r>
        <w:rPr>
          <w:b/>
          <w:bCs/>
        </w:rPr>
        <w:t xml:space="preserve">Pantalla:</w:t>
      </w:r>
      <w:r>
        <w:t xml:space="preserve"> </w:t>
      </w:r>
      <w:r>
        <w:t xml:space="preserve">terminal del equipo de instalación (PowerShell o Bash).</w:t>
      </w:r>
      <w:r>
        <w:t xml:space="preserve"> </w:t>
      </w:r>
      <w:r>
        <w:rPr>
          <w:b/>
          <w:bCs/>
        </w:rPr>
        <w:t xml:space="preserve">Contenido:</w:t>
      </w:r>
      <w:r>
        <w:t xml:space="preserve"> </w:t>
      </w:r>
      <w:r>
        <w:t xml:space="preserve">salida de los comandos de la sección 7.1 con las versiones de Git, Docker, Docker Compose, Java 21, .NET 8, Node.js y npm.</w:t>
      </w:r>
    </w:p>
    <w:bookmarkEnd w:id="31"/>
    <w:bookmarkEnd w:id="32"/>
    <w:bookmarkStart w:id="46"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33">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34">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35">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36">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37">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38">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39">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0">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41">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42">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43">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disponibles para el equipo al 9 de octubre de 2026.</w:t>
      </w:r>
    </w:p>
    <w:bookmarkStart w:id="44"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(las ramas</w:t>
      </w:r>
      <w:r>
        <w:t xml:space="preserve"> </w:t>
      </w:r>
      <w:r>
        <w:rPr>
          <w:i/>
          <w:iCs/>
        </w:rPr>
        <w:t xml:space="preserve">main</w:t>
      </w:r>
      <w:r>
        <w:t xml:space="preserve"> </w:t>
      </w:r>
      <w:r>
        <w:t xml:space="preserve">son más antiguas). Para una instalación de evaluación, usar</w:t>
      </w:r>
      <w:r>
        <w:t xml:space="preserve"> </w:t>
      </w:r>
      <w:r>
        <w:rPr>
          <w:i/>
          <w:iCs/>
        </w:rPr>
        <w:t xml:space="preserve">develop</w:t>
      </w:r>
      <w:r>
        <w:t xml:space="preserve"> </w:t>
      </w:r>
      <w:r>
        <w:t xml:space="preserve">o la etiqueta de la versión entregada.</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44"/>
    <w:bookmarkStart w:id="45"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lockText"/>
      </w:pPr>
      <w:r>
        <w:rPr>
          <w:b/>
          <w:bCs/>
        </w:rPr>
        <w:t xml:space="preserve">Captura por insertar.</w:t>
      </w:r>
      <w:r>
        <w:t xml:space="preserve"> </w:t>
      </w:r>
      <w:r>
        <w:rPr>
          <w:b/>
          <w:bCs/>
        </w:rPr>
        <w:t xml:space="preserve">Pantalla:</w:t>
      </w:r>
      <w:r>
        <w:t xml:space="preserve"> </w:t>
      </w:r>
      <w:r>
        <w:t xml:space="preserve">explorador de archivos o terminal en la carpeta</w:t>
      </w:r>
      <w:r>
        <w:t xml:space="preserve"> </w:t>
      </w:r>
      <w:r>
        <w:rPr>
          <w:i/>
          <w:iCs/>
        </w:rPr>
        <w:t xml:space="preserve">Backend</w:t>
      </w:r>
      <w:r>
        <w:t xml:space="preserve">.</w:t>
      </w:r>
      <w:r>
        <w:t xml:space="preserve"> </w:t>
      </w:r>
      <w:r>
        <w:rPr>
          <w:b/>
          <w:bCs/>
        </w:rPr>
        <w:t xml:space="preserve">Contenido:</w:t>
      </w:r>
      <w:r>
        <w:t xml:space="preserve"> </w:t>
      </w:r>
      <w:r>
        <w:t xml:space="preserve">los ocho repositorios del backend uno al lado del otro y, dentro de</w:t>
      </w:r>
      <w:r>
        <w:t xml:space="preserve"> </w:t>
      </w:r>
      <w:r>
        <w:rPr>
          <w:i/>
          <w:iCs/>
        </w:rPr>
        <w:t xml:space="preserve">lavarapido-infra</w:t>
      </w:r>
      <w:r>
        <w:t xml:space="preserve">, los archivos</w:t>
      </w:r>
      <w:r>
        <w:t xml:space="preserve"> </w:t>
      </w:r>
      <w:r>
        <w:rPr>
          <w:i/>
          <w:iCs/>
        </w:rPr>
        <w:t xml:space="preserve">docker-compose.yml</w:t>
      </w:r>
      <w:r>
        <w:t xml:space="preserve"> </w:t>
      </w:r>
      <w:r>
        <w:t xml:space="preserve">y</w:t>
      </w:r>
      <w:r>
        <w:t xml:space="preserve"> </w:t>
      </w:r>
      <w:r>
        <w:rPr>
          <w:i/>
          <w:iCs/>
        </w:rPr>
        <w:t xml:space="preserve">.env.example</w:t>
      </w:r>
      <w:r>
        <w:t xml:space="preserve">.</w:t>
      </w:r>
    </w:p>
    <w:bookmarkEnd w:id="45"/>
    <w:bookmarkEnd w:id="46"/>
    <w:bookmarkStart w:id="52" w:name="X8f359f1a50a35f75dce83f97b315373a40bed62"/>
    <w:p>
      <w:pPr>
        <w:pStyle w:val="Heading2"/>
      </w:pPr>
      <w:r>
        <w:t xml:space="preserve">9. Instalación de Dependencias</w:t>
      </w:r>
    </w:p>
    <w:bookmarkStart w:id="47"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47"/>
    <w:bookmarkStart w:id="48"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48"/>
    <w:bookmarkStart w:id="49"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49"/>
    <w:bookmarkStart w:id="50"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50"/>
    <w:bookmarkStart w:id="51"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lockText"/>
      </w:pPr>
      <w:r>
        <w:rPr>
          <w:b/>
          <w:bCs/>
        </w:rPr>
        <w:t xml:space="preserve">Captura por insertar.</w:t>
      </w:r>
      <w:r>
        <w:t xml:space="preserve"> </w:t>
      </w:r>
      <w:r>
        <w:rPr>
          <w:b/>
          <w:bCs/>
        </w:rPr>
        <w:t xml:space="preserve">Pantalla:</w:t>
      </w:r>
      <w:r>
        <w:t xml:space="preserve"> </w:t>
      </w:r>
      <w:r>
        <w:t xml:space="preserve">terminal.</w:t>
      </w:r>
      <w:r>
        <w:t xml:space="preserve"> </w:t>
      </w:r>
      <w:r>
        <w:rPr>
          <w:b/>
          <w:bCs/>
        </w:rPr>
        <w:t xml:space="preserve">Contenido:</w:t>
      </w:r>
      <w:r>
        <w:t xml:space="preserve"> </w:t>
      </w:r>
      <w:r>
        <w:t xml:space="preserve">salida final de</w:t>
      </w:r>
      <w:r>
        <w:t xml:space="preserve"> </w:t>
      </w:r>
      <w:r>
        <w:rPr>
          <w:i/>
          <w:iCs/>
        </w:rPr>
        <w:t xml:space="preserve">./mvnw test</w:t>
      </w:r>
      <w:r>
        <w:t xml:space="preserve"> </w:t>
      </w:r>
      <w:r>
        <w:t xml:space="preserve">con BUILD SUCCESS y de</w:t>
      </w:r>
      <w:r>
        <w:t xml:space="preserve"> </w:t>
      </w:r>
      <w:r>
        <w:rPr>
          <w:i/>
          <w:iCs/>
        </w:rPr>
        <w:t xml:space="preserve">npm ci</w:t>
      </w:r>
      <w:r>
        <w:t xml:space="preserve"> </w:t>
      </w:r>
      <w:r>
        <w:t xml:space="preserve">en la aplicación web sin errores.</w:t>
      </w:r>
    </w:p>
    <w:bookmarkEnd w:id="51"/>
    <w:bookmarkEnd w:id="52"/>
    <w:bookmarkStart w:id="60"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53"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53"/>
    <w:bookmarkStart w:id="54"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(Swagger y cuentas de demostración); usar otro valor, como</w:t>
            </w:r>
            <w:r>
              <w:t xml:space="preserve"> </w:t>
            </w:r>
            <w:r>
              <w:rPr>
                <w:i/>
                <w:iCs/>
              </w:rPr>
              <w:t xml:space="preserve">prod</w:t>
            </w:r>
            <w:r>
              <w:t xml:space="preserve">, en cualquier entorno compartido.</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y notification-service</w:t>
            </w:r>
          </w:p>
        </w:tc>
        <w:tc>
          <w:tcPr/>
          <w:p>
            <w:pPr>
              <w:pStyle w:val="Compact"/>
            </w:pPr>
            <w:r>
              <w:t xml:space="preserve">Llave de las rutas internas; sin ella no se envían por correo los avisos de reservas, pagos y cupones ni los recordatorios, y no se pueden leer los interruptores de notificación de cada usuario.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SECURITY_SERVICE_URL, CUSTOMER_SERVICE_URL, BOOKING_SERVICE_URL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54"/>
    <w:bookmarkStart w:id="55"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55"/>
    <w:bookmarkStart w:id="56"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56"/>
    <w:bookmarkStart w:id="59"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57">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58">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w:t>
      </w:r>
    </w:p>
    <w:p>
      <w:pPr>
        <w:pStyle w:val="FirstParagraph"/>
      </w:pPr>
      <w:r>
        <w:rPr>
          <w:b/>
          <w:bCs/>
        </w:rPr>
        <w:t xml:space="preserve">Figura 4</w:t>
      </w:r>
    </w:p>
    <w:p>
      <w:pPr>
        <w:pStyle w:val="BodyText"/>
      </w:pPr>
      <w:r>
        <w:rPr>
          <w:i/>
          <w:iCs/>
        </w:rPr>
        <w:t xml:space="preserve">Archivo .env Configurado con los Secretos Ocultos</w:t>
      </w:r>
    </w:p>
    <w:p>
      <w:pPr>
        <w:pStyle w:val="BlockText"/>
      </w:pPr>
      <w:r>
        <w:rPr>
          <w:b/>
          <w:bCs/>
        </w:rPr>
        <w:t xml:space="preserve">Captura por insertar.</w:t>
      </w:r>
      <w:r>
        <w:t xml:space="preserve"> </w:t>
      </w:r>
      <w:r>
        <w:rPr>
          <w:b/>
          <w:bCs/>
        </w:rPr>
        <w:t xml:space="preserve">Pantalla:</w:t>
      </w:r>
      <w:r>
        <w:t xml:space="preserve"> </w:t>
      </w:r>
      <w:r>
        <w:t xml:space="preserve">editor de texto, archivo</w:t>
      </w:r>
      <w:r>
        <w:t xml:space="preserve"> </w:t>
      </w:r>
      <w:r>
        <w:rPr>
          <w:i/>
          <w:iCs/>
        </w:rPr>
        <w:t xml:space="preserve">lavarapido-infra/.env</w:t>
      </w:r>
      <w:r>
        <w:t xml:space="preserve">.</w:t>
      </w:r>
      <w:r>
        <w:t xml:space="preserve"> </w:t>
      </w:r>
      <w:r>
        <w:rPr>
          <w:b/>
          <w:bCs/>
        </w:rPr>
        <w:t xml:space="preserve">Contenido:</w:t>
      </w:r>
      <w:r>
        <w:t xml:space="preserve"> </w:t>
      </w:r>
      <w:r>
        <w:t xml:space="preserve">las variables diligenciadas, con las contraseñas, el secreto JWT y la llave interna cubiertos.</w:t>
      </w:r>
    </w:p>
    <w:p>
      <w:pPr>
        <w:pStyle w:val="FirstParagraph"/>
      </w:pPr>
      <w:r>
        <w:rPr>
          <w:i/>
          <w:iCs/>
        </w:rPr>
        <w:t xml:space="preserve">Nota.</w:t>
      </w:r>
      <w:r>
        <w:t xml:space="preserve"> </w:t>
      </w:r>
      <w:r>
        <w:t xml:space="preserve">No capturar valores reales de los secretos.</w:t>
      </w:r>
    </w:p>
    <w:bookmarkEnd w:id="59"/>
    <w:bookmarkEnd w:id="60"/>
    <w:bookmarkStart w:id="67"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(49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61"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lockText"/>
      </w:pPr>
      <w:r>
        <w:rPr>
          <w:b/>
          <w:bCs/>
        </w:rPr>
        <w:t xml:space="preserve">Captura por insertar.</w:t>
      </w:r>
      <w:r>
        <w:t xml:space="preserve"> </w:t>
      </w:r>
      <w:r>
        <w:rPr>
          <w:b/>
          <w:bCs/>
        </w:rPr>
        <w:t xml:space="preserve">Pantalla:</w:t>
      </w:r>
      <w:r>
        <w:t xml:space="preserve"> </w:t>
      </w:r>
      <w:r>
        <w:t xml:space="preserve">terminal en</w:t>
      </w:r>
      <w:r>
        <w:t xml:space="preserve"> </w:t>
      </w:r>
      <w:r>
        <w:rPr>
          <w:i/>
          <w:iCs/>
        </w:rPr>
        <w:t xml:space="preserve">lavarapido-infra</w:t>
      </w:r>
      <w:r>
        <w:t xml:space="preserve">.</w:t>
      </w:r>
      <w:r>
        <w:t xml:space="preserve"> </w:t>
      </w:r>
      <w:r>
        <w:rPr>
          <w:b/>
          <w:bCs/>
        </w:rPr>
        <w:t xml:space="preserve">Contenido:</w:t>
      </w:r>
      <w:r>
        <w:t xml:space="preserve"> </w:t>
      </w:r>
      <w:r>
        <w:t xml:space="preserve">salida de</w:t>
      </w:r>
      <w:r>
        <w:t xml:space="preserve"> </w:t>
      </w:r>
      <w:r>
        <w:rPr>
          <w:i/>
          <w:iCs/>
        </w:rPr>
        <w:t xml:space="preserve">docker compose ps</w:t>
      </w:r>
      <w:r>
        <w:t xml:space="preserve"> </w:t>
      </w:r>
      <w:r>
        <w:t xml:space="preserve">con</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sanos,</w:t>
      </w:r>
      <w:r>
        <w:t xml:space="preserve"> </w:t>
      </w:r>
      <w:r>
        <w:rPr>
          <w:i/>
          <w:iCs/>
        </w:rPr>
        <w:t xml:space="preserve">lavarapido-mailpit</w:t>
      </w:r>
      <w:r>
        <w:t xml:space="preserve"> </w:t>
      </w:r>
      <w:r>
        <w:t xml:space="preserve">en ejecución y los contenedores</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terminados.</w:t>
      </w:r>
    </w:p>
    <w:bookmarkEnd w:id="61"/>
    <w:bookmarkStart w:id="62"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9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semillas 103 catálogo, 104 estados y motivos, 109 establecimiento, horario y cuatro bahías.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62"/>
    <w:bookmarkStart w:id="63" w:name="X0af8ea82deac627fbfcc5856c9e5782b8d73cbd"/>
    <w:p>
      <w:pPr>
        <w:pStyle w:val="Heading3"/>
      </w:pPr>
      <w:r>
        <w:t xml:space="preserve">11.3 Método Alternativo: Script Global</w:t>
      </w:r>
    </w:p>
    <w:p>
      <w:pPr>
        <w:pStyle w:val="FirstParagraph"/>
      </w:pPr>
      <w:r>
        <w:t xml:space="preserve">El repositorio de documentación conserva el script</w:t>
      </w:r>
      <w:r>
        <w:t xml:space="preserve"> </w:t>
      </w:r>
      <w:r>
        <w:rPr>
          <w:i/>
          <w:iCs/>
        </w:rPr>
        <w:t xml:space="preserve">lavarapido-6-services-sqlserver.sql</w:t>
      </w:r>
      <w:r>
        <w:t xml:space="preserve">, con el modelo completo, para quienes crean la base de datos a mano. Como cada changeset tiene una precondición, los servicios pueden arrancar después sobre una base creada con ese script: Liquibase marca como ejecutados los objetos que ya existen. El script se ejecuta sobre la base de datos vacía:</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63"/>
    <w:bookmarkStart w:id="64"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64"/>
    <w:bookmarkStart w:id="65"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(49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22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65"/>
    <w:bookmarkStart w:id="66"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66"/>
    <w:bookmarkEnd w:id="67"/>
    <w:bookmarkStart w:id="74" w:name="Xcad650cb84f4554d53d010cfc1a4ae30668a351"/>
    <w:p>
      <w:pPr>
        <w:pStyle w:val="Heading2"/>
      </w:pPr>
      <w:r>
        <w:t xml:space="preserve">12. Ejecución del Backend</w:t>
      </w:r>
    </w:p>
    <w:bookmarkStart w:id="68"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68"/>
    <w:bookmarkStart w:id="69"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lockText"/>
      </w:pPr>
      <w:r>
        <w:rPr>
          <w:b/>
          <w:bCs/>
        </w:rPr>
        <w:t xml:space="preserve">Captura por insertar.</w:t>
      </w:r>
      <w:r>
        <w:t xml:space="preserve"> </w:t>
      </w:r>
      <w:r>
        <w:rPr>
          <w:b/>
          <w:bCs/>
        </w:rPr>
        <w:t xml:space="preserve">Pantalla:</w:t>
      </w:r>
      <w:r>
        <w:t xml:space="preserve"> </w:t>
      </w:r>
      <w:r>
        <w:t xml:space="preserve">terminal en</w:t>
      </w:r>
      <w:r>
        <w:t xml:space="preserve"> </w:t>
      </w:r>
      <w:r>
        <w:rPr>
          <w:i/>
          <w:iCs/>
        </w:rPr>
        <w:t xml:space="preserve">lavarapido-infra</w:t>
      </w:r>
      <w:r>
        <w:t xml:space="preserve">.</w:t>
      </w:r>
      <w:r>
        <w:t xml:space="preserve"> </w:t>
      </w:r>
      <w:r>
        <w:rPr>
          <w:b/>
          <w:bCs/>
        </w:rPr>
        <w:t xml:space="preserve">Contenido:</w:t>
      </w:r>
      <w:r>
        <w:t xml:space="preserve"> </w:t>
      </w:r>
      <w:r>
        <w:t xml:space="preserve">salida de</w:t>
      </w:r>
      <w:r>
        <w:t xml:space="preserve"> </w:t>
      </w:r>
      <w:r>
        <w:rPr>
          <w:i/>
          <w:iCs/>
        </w:rPr>
        <w:t xml:space="preserve">docker compose ps</w:t>
      </w:r>
      <w:r>
        <w:t xml:space="preserve"> </w:t>
      </w:r>
      <w:r>
        <w:t xml:space="preserve">con sqlserver, rabbitmq, mailpit, los cinco servicios Java, payment-service y api-gateway en ejecución, con sus puertos.</w:t>
      </w:r>
    </w:p>
    <w:bookmarkEnd w:id="69"/>
    <w:bookmarkStart w:id="70"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70"/>
    <w:bookmarkStart w:id="71"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71"/>
    <w:bookmarkStart w:id="72"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y sus colas de mensajes muertos (</w:t>
      </w:r>
      <w:r>
        <w:rPr>
          <w:i/>
          <w:iCs/>
        </w:rPr>
        <w:t xml:space="preserve">.dlq</w:t>
      </w:r>
      <w:r>
        <w:t xml:space="preserve">), a las que pasa un mensaje después de tres reintentos fallidos.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72"/>
    <w:bookmarkStart w:id="73"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73"/>
    <w:bookmarkEnd w:id="74"/>
    <w:bookmarkStart w:id="78" w:name="X38c62433184dc43abd13252d73c258d80661893"/>
    <w:p>
      <w:pPr>
        <w:pStyle w:val="Heading2"/>
      </w:pPr>
      <w:r>
        <w:t xml:space="preserve">13. Ejecución del Frontend</w:t>
      </w:r>
    </w:p>
    <w:bookmarkStart w:id="75"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lockText"/>
      </w:pPr>
      <w:r>
        <w:rPr>
          <w:b/>
          <w:bCs/>
        </w:rPr>
        <w:t xml:space="preserve">Captura por insertar.</w:t>
      </w:r>
      <w:r>
        <w:t xml:space="preserve"> </w:t>
      </w:r>
      <w:r>
        <w:rPr>
          <w:b/>
          <w:bCs/>
        </w:rPr>
        <w:t xml:space="preserve">Pantalla:</w:t>
      </w:r>
      <w:r>
        <w:t xml:space="preserve"> </w:t>
      </w:r>
      <w:r>
        <w:t xml:space="preserve">navegador en</w:t>
      </w:r>
      <w:r>
        <w:t xml:space="preserve"> </w:t>
      </w:r>
      <w:r>
        <w:rPr>
          <w:i/>
          <w:iCs/>
        </w:rPr>
        <w:t xml:space="preserve">http://localhost:4200</w:t>
      </w:r>
      <w:r>
        <w:t xml:space="preserve">.</w:t>
      </w:r>
      <w:r>
        <w:t xml:space="preserve"> </w:t>
      </w:r>
      <w:r>
        <w:rPr>
          <w:b/>
          <w:bCs/>
        </w:rPr>
        <w:t xml:space="preserve">Contenido:</w:t>
      </w:r>
      <w:r>
        <w:t xml:space="preserve"> </w:t>
      </w:r>
      <w:r>
        <w:t xml:space="preserve">la pantalla de bienvenida con la barra superior, el selector de idioma y los botones Iniciar Sesión y Registrarse, con la barra de direcciones visible.</w:t>
      </w:r>
    </w:p>
    <w:bookmarkEnd w:id="75"/>
    <w:bookmarkStart w:id="76"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Notificaciones push.</w:t>
      </w:r>
      <w:r>
        <w:t xml:space="preserve"> </w:t>
      </w:r>
      <w:r>
        <w:t xml:space="preserve">Expo Go no recibe notificaciones push remotas. Para probarlas, construir una versión de desarrollo con EAS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lockText"/>
      </w:pPr>
      <w:r>
        <w:rPr>
          <w:b/>
          <w:bCs/>
        </w:rPr>
        <w:t xml:space="preserve">Captura por insertar.</w:t>
      </w:r>
      <w:r>
        <w:t xml:space="preserve"> </w:t>
      </w:r>
      <w:r>
        <w:rPr>
          <w:b/>
          <w:bCs/>
        </w:rPr>
        <w:t xml:space="preserve">Pantalla:</w:t>
      </w:r>
      <w:r>
        <w:t xml:space="preserve"> </w:t>
      </w:r>
      <w:r>
        <w:t xml:space="preserve">terminal en</w:t>
      </w:r>
      <w:r>
        <w:t xml:space="preserve"> </w:t>
      </w:r>
      <w:r>
        <w:rPr>
          <w:i/>
          <w:iCs/>
        </w:rPr>
        <w:t xml:space="preserve">LavadoVehicular-Movil</w:t>
      </w:r>
      <w:r>
        <w:t xml:space="preserve">.</w:t>
      </w:r>
      <w:r>
        <w:t xml:space="preserve"> </w:t>
      </w:r>
      <w:r>
        <w:rPr>
          <w:b/>
          <w:bCs/>
        </w:rPr>
        <w:t xml:space="preserve">Contenido:</w:t>
      </w:r>
      <w:r>
        <w:t xml:space="preserve"> </w:t>
      </w:r>
      <w:r>
        <w:t xml:space="preserve">salida de</w:t>
      </w:r>
      <w:r>
        <w:t xml:space="preserve"> </w:t>
      </w:r>
      <w:r>
        <w:rPr>
          <w:i/>
          <w:iCs/>
        </w:rPr>
        <w:t xml:space="preserve">npx expo start</w:t>
      </w:r>
      <w:r>
        <w:t xml:space="preserve"> </w:t>
      </w:r>
      <w:r>
        <w:t xml:space="preserve">con el código QR, la dirección de Metro y las opciones del teclado.</w:t>
      </w:r>
    </w:p>
    <w:bookmarkEnd w:id="76"/>
    <w:bookmarkStart w:id="77"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77"/>
    <w:bookmarkEnd w:id="78"/>
    <w:bookmarkStart w:id="80"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79"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79"/>
    <w:bookmarkEnd w:id="80"/>
    <w:bookmarkStart w:id="85" w:name="X7c65474995989ca6642e6876cc6fe398b0b4611"/>
    <w:p>
      <w:pPr>
        <w:pStyle w:val="Heading2"/>
      </w:pPr>
      <w:r>
        <w:t xml:space="preserve">15. Usuarios de Prueba</w:t>
      </w:r>
    </w:p>
    <w:bookmarkStart w:id="81"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 operario y cliente) si no existen. Sus correos y contraseñas están documentados en la sección 5 de la guía del equipo (</w:t>
      </w:r>
      <w:r>
        <w:rPr>
          <w:i/>
          <w:iCs/>
        </w:rPr>
        <w:t xml:space="preserve">lavarapido-infra/GUIA-EQUIPO.md</w:t>
      </w:r>
      <w:r>
        <w:t xml:space="preserve">). Este manual no los reproduce, porque la política de seguridad prohíbe publicar credenciales; esas cuentas nunca deben existir en un entorno compartido.</w:t>
      </w:r>
    </w:p>
    <w:bookmarkEnd w:id="81"/>
    <w:bookmarkStart w:id="82"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La versión actual no bloquea la cuenta (TD-003).</w:t>
            </w:r>
          </w:p>
        </w:tc>
      </w:tr>
    </w:tbl>
    <w:p>
      <w:pPr>
        <w:pStyle w:val="BodyText"/>
      </w:pPr>
      <w:r>
        <w:rPr>
          <w:i/>
          <w:iCs/>
        </w:rPr>
        <w:t xml:space="preserve">Nota.</w:t>
      </w:r>
      <w:r>
        <w:t xml:space="preserve"> </w:t>
      </w:r>
      <w:r>
        <w:t xml:space="preserve">Fuente: validaciones del formulario de registro y política de contraseñas de security-service.</w:t>
      </w:r>
    </w:p>
    <w:bookmarkEnd w:id="82"/>
    <w:bookmarkStart w:id="83"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83"/>
    <w:bookmarkStart w:id="84"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84"/>
    <w:bookmarkEnd w:id="85"/>
    <w:bookmarkStart w:id="91"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49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86"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86"/>
    <w:bookmarkStart w:id="87"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87"/>
    <w:bookmarkStart w:id="88"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valida tokens (ADR-006): reenvía la solicitud y el servicio la rechaza. El endpoint de salud de payment-service siempre responde UP, aunque la base de datos esté caída (TD-017), por lo que su base de datos se debe comprobar con una solicitud real.</w:t>
      </w:r>
    </w:p>
    <w:p>
      <w:pPr>
        <w:pStyle w:val="BodyText"/>
      </w:pPr>
      <w:r>
        <w:rPr>
          <w:b/>
          <w:bCs/>
        </w:rPr>
        <w:t xml:space="preserve">Figura 9</w:t>
      </w:r>
    </w:p>
    <w:p>
      <w:pPr>
        <w:pStyle w:val="BodyText"/>
      </w:pPr>
      <w:r>
        <w:rPr>
          <w:i/>
          <w:iCs/>
        </w:rPr>
        <w:t xml:space="preserve">Respuesta de los Endpoints de Salud</w:t>
      </w:r>
    </w:p>
    <w:p>
      <w:pPr>
        <w:pStyle w:val="BlockText"/>
      </w:pPr>
      <w:r>
        <w:rPr>
          <w:b/>
          <w:bCs/>
        </w:rPr>
        <w:t xml:space="preserve">Captura por insertar.</w:t>
      </w:r>
      <w:r>
        <w:t xml:space="preserve"> </w:t>
      </w:r>
      <w:r>
        <w:rPr>
          <w:b/>
          <w:bCs/>
        </w:rPr>
        <w:t xml:space="preserve">Pantalla:</w:t>
      </w:r>
      <w:r>
        <w:t xml:space="preserve"> </w:t>
      </w:r>
      <w:r>
        <w:t xml:space="preserve">terminal.</w:t>
      </w:r>
      <w:r>
        <w:t xml:space="preserve"> </w:t>
      </w:r>
      <w:r>
        <w:rPr>
          <w:b/>
          <w:bCs/>
        </w:rPr>
        <w:t xml:space="preserve">Contenido:</w:t>
      </w:r>
      <w:r>
        <w:t xml:space="preserve"> </w:t>
      </w:r>
      <w:r>
        <w:t xml:space="preserve">salida del ciclo de la sección 16.3 con UP en los siete puertos y la respuesta 401 de la ruta protegida.</w:t>
      </w:r>
    </w:p>
    <w:bookmarkEnd w:id="88"/>
    <w:bookmarkStart w:id="89"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89"/>
    <w:bookmarkStart w:id="90"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lockText"/>
      </w:pPr>
      <w:r>
        <w:rPr>
          <w:b/>
          <w:bCs/>
        </w:rPr>
        <w:t xml:space="preserve">Captura por insertar.</w:t>
      </w:r>
      <w:r>
        <w:t xml:space="preserve"> </w:t>
      </w:r>
      <w:r>
        <w:rPr>
          <w:b/>
          <w:bCs/>
        </w:rPr>
        <w:t xml:space="preserve">Pantalla:</w:t>
      </w:r>
      <w:r>
        <w:t xml:space="preserve"> </w:t>
      </w:r>
      <w:r>
        <w:t xml:space="preserve">cliente SQL o sqlcmd.</w:t>
      </w:r>
      <w:r>
        <w:t xml:space="preserve"> </w:t>
      </w:r>
      <w:r>
        <w:rPr>
          <w:b/>
          <w:bCs/>
        </w:rPr>
        <w:t xml:space="preserve">Contenido:</w:t>
      </w:r>
      <w:r>
        <w:t xml:space="preserve"> </w:t>
      </w:r>
      <w:r>
        <w:t xml:space="preserve">resultado de la consulta de la sección 16.5 con los ingresos de las pruebas, usando cuentas de prueba.</w:t>
      </w:r>
    </w:p>
    <w:bookmarkEnd w:id="90"/>
    <w:bookmarkEnd w:id="91"/>
    <w:bookmarkStart w:id="92"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92"/>
    <w:bookmarkStart w:id="93"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valida tokens.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93"/>
    <w:bookmarkStart w:id="96"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3">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33">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9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95">
        <w:r>
          <w:rPr>
            <w:rStyle w:val="Hyperlink"/>
          </w:rPr>
          <w:t xml:space="preserve">https://12factor.net/config</w:t>
        </w:r>
      </w:hyperlink>
    </w:p>
    <w:bookmarkEnd w:id="96"/>
    <w:bookmarkStart w:id="102" w:name="X80b0218b51872906238fd110cf3fb8467fb66bf"/>
    <w:p>
      <w:pPr>
        <w:pStyle w:val="Heading2"/>
      </w:pPr>
      <w:r>
        <w:t xml:space="preserve">19. Anexos</w:t>
      </w:r>
    </w:p>
    <w:bookmarkStart w:id="97" w:name="Xa12ce862f6a7bc5bdaffd0b37b667e261a3fce0"/>
    <w:p>
      <w:pPr>
        <w:pStyle w:val="Heading3"/>
      </w:pPr>
      <w:r>
        <w:t xml:space="preserve">Anexo A. Lista de Figuras Pendientes de Captura</w:t>
      </w:r>
    </w:p>
    <w:p>
      <w:pPr>
        <w:pStyle w:val="FirstParagraph"/>
      </w:pPr>
      <w:r>
        <w:t xml:space="preserve">Antes de la entrega, el equipo debe reemplazar cada uno de los 10 marcadores por una captura real y nítida, ordenada según el flujo de instalación (Servicio Nacional de Aprendizaje [SENA], 2026). Las capturas no deben contener contraseñas, secretos, cuentas ni datos personales reales.</w:t>
      </w:r>
    </w:p>
    <w:bookmarkEnd w:id="97"/>
    <w:bookmarkStart w:id="98"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r>
        <w:tc>
          <w:tcPr/>
          <w:p>
            <w:pPr>
              <w:pStyle w:val="Compact"/>
            </w:pPr>
            <w:r>
              <w:t xml:space="preserve">Salud de payment-service</w:t>
            </w:r>
          </w:p>
        </w:tc>
        <w:tc>
          <w:tcPr/>
          <w:p>
            <w:pPr>
              <w:pStyle w:val="Compact"/>
            </w:pPr>
            <w:r>
              <w:t xml:space="preserve">No comprueba la base de datos (TD-017).</w:t>
            </w:r>
          </w:p>
        </w:tc>
        <w:tc>
          <w:tcPr/>
          <w:p>
            <w:pPr>
              <w:pStyle w:val="Compact"/>
            </w:pPr>
            <w:r>
              <w:t xml:space="preserve">16.3</w:t>
            </w:r>
          </w:p>
        </w:tc>
      </w:tr>
      <w:tr>
        <w:tc>
          <w:tcPr/>
          <w:p>
            <w:pPr>
              <w:pStyle w:val="Compact"/>
            </w:pPr>
            <w:r>
              <w:t xml:space="preserve">Integración continua</w:t>
            </w:r>
          </w:p>
        </w:tc>
        <w:tc>
          <w:tcPr/>
          <w:p>
            <w:pPr>
              <w:pStyle w:val="Compact"/>
            </w:pPr>
            <w:r>
              <w:t xml:space="preserve">Jenkins está planeado, pero no configurado (TD-006).</w:t>
            </w:r>
          </w:p>
        </w:tc>
        <w:tc>
          <w:tcPr/>
          <w:p>
            <w:pPr>
              <w:pStyle w:val="Compact"/>
            </w:pPr>
            <w:r>
              <w:t xml:space="preserve">4.2</w:t>
            </w:r>
          </w:p>
        </w:tc>
      </w:tr>
      <w:tr>
        <w:tc>
          <w:tcPr/>
          <w:p>
            <w:pPr>
              <w:pStyle w:val="Compact"/>
            </w:pPr>
            <w:r>
              <w:t xml:space="preserve">Documentos desactualizados</w:t>
            </w:r>
          </w:p>
        </w:tc>
        <w:tc>
          <w:tcPr/>
          <w:p>
            <w:pPr>
              <w:pStyle w:val="Compact"/>
            </w:pPr>
            <w:r>
              <w:t xml:space="preserve">El README de lavarapido-infra todavía marca operations-service y payment-service como planeados, y la sección 6 de la guía del equipo lista como datos de prueba pantallas que ya están conectadas.</w:t>
            </w:r>
          </w:p>
        </w:tc>
        <w:tc>
          <w:tcPr/>
          <w:p>
            <w:pPr>
              <w:pStyle w:val="Compact"/>
            </w:pPr>
            <w:r>
              <w:t xml:space="preserve">4.1</w:t>
            </w:r>
          </w:p>
        </w:tc>
      </w:tr>
    </w:tbl>
    <w:p>
      <w:pPr>
        <w:pStyle w:val="BodyText"/>
      </w:pPr>
      <w:r>
        <w:rPr>
          <w:i/>
          <w:iCs/>
        </w:rPr>
        <w:t xml:space="preserve">Nota.</w:t>
      </w:r>
      <w:r>
        <w:t xml:space="preserve"> </w:t>
      </w:r>
      <w:r>
        <w:t xml:space="preserve">Elaborado por los autores a partir de la verificación de los repositorios y del backlog técnico.</w:t>
      </w:r>
    </w:p>
    <w:bookmarkEnd w:id="98"/>
    <w:bookmarkStart w:id="99"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99"/>
    <w:bookmarkStart w:id="100"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00"/>
    <w:bookmarkStart w:id="101"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10.0.2.2:8080/api/v1" TargetMode="External" /><Relationship Type="http://schemas.openxmlformats.org/officeDocument/2006/relationships/hyperlink" Id="rId58" Target="http://192.168.1.10:8080/api/v1" TargetMode="External" /><Relationship Type="http://schemas.openxmlformats.org/officeDocument/2006/relationships/hyperlink" Id="rId95" Target="https://12factor.net/config" TargetMode="External" /><Relationship Type="http://schemas.openxmlformats.org/officeDocument/2006/relationships/hyperlink" Id="rId41" Target="https://github.com/BrayanCABRERA123/Front-end-proyecto-web" TargetMode="External" /><Relationship Type="http://schemas.openxmlformats.org/officeDocument/2006/relationships/hyperlink" Id="rId40" Target="https://github.com/BrayanCABRERA123/lavarapido-api-gateway" TargetMode="External" /><Relationship Type="http://schemas.openxmlformats.org/officeDocument/2006/relationships/hyperlink" Id="rId33" Target="https://github.com/BrayanCABRERA123/lavarapido-infra" TargetMode="External" /><Relationship Type="http://schemas.openxmlformats.org/officeDocument/2006/relationships/hyperlink" Id="rId39" Target="https://github.com/BrayanCABRERA123/lavarapido-notification-service" TargetMode="External" /><Relationship Type="http://schemas.openxmlformats.org/officeDocument/2006/relationships/hyperlink" Id="rId37" Target="https://github.com/BrayanCABRERA123/lavarapido-operation-service" TargetMode="External" /><Relationship Type="http://schemas.openxmlformats.org/officeDocument/2006/relationships/hyperlink" Id="rId34" Target="https://github.com/BrayanCABRERA123/lavarapido-security-service" TargetMode="External" /><Relationship Type="http://schemas.openxmlformats.org/officeDocument/2006/relationships/hyperlink" Id="rId36" Target="https://github.com/camiloguilombo12/lavarapido-booking-service" TargetMode="External" /><Relationship Type="http://schemas.openxmlformats.org/officeDocument/2006/relationships/hyperlink" Id="rId35" Target="https://github.com/camiloguilombo12/lavarapido-customer-service" TargetMode="External" /><Relationship Type="http://schemas.openxmlformats.org/officeDocument/2006/relationships/hyperlink" Id="rId43" Target="https://github.com/code-sena/vehicle-w-docs" TargetMode="External" /><Relationship Type="http://schemas.openxmlformats.org/officeDocument/2006/relationships/hyperlink" Id="rId42" Target="https://github.com/merari0322/LavadoVehicular-Movil" TargetMode="External" /><Relationship Type="http://schemas.openxmlformats.org/officeDocument/2006/relationships/hyperlink" Id="rId38" Target="https://github.com/merari0322/lavarapido-payment-service" TargetMode="External" /><Relationship Type="http://schemas.openxmlformats.org/officeDocument/2006/relationships/hyperlink" Id="rId9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57" Target="http://10.0.2.2:8080/api/v1" TargetMode="External" /><Relationship Type="http://schemas.openxmlformats.org/officeDocument/2006/relationships/hyperlink" Id="rId58" Target="http://192.168.1.10:8080/api/v1" TargetMode="External" /><Relationship Type="http://schemas.openxmlformats.org/officeDocument/2006/relationships/hyperlink" Id="rId95" Target="https://12factor.net/config" TargetMode="External" /><Relationship Type="http://schemas.openxmlformats.org/officeDocument/2006/relationships/hyperlink" Id="rId41" Target="https://github.com/BrayanCABRERA123/Front-end-proyecto-web" TargetMode="External" /><Relationship Type="http://schemas.openxmlformats.org/officeDocument/2006/relationships/hyperlink" Id="rId40" Target="https://github.com/BrayanCABRERA123/lavarapido-api-gateway" TargetMode="External" /><Relationship Type="http://schemas.openxmlformats.org/officeDocument/2006/relationships/hyperlink" Id="rId33" Target="https://github.com/BrayanCABRERA123/lavarapido-infra" TargetMode="External" /><Relationship Type="http://schemas.openxmlformats.org/officeDocument/2006/relationships/hyperlink" Id="rId39" Target="https://github.com/BrayanCABRERA123/lavarapido-notification-service" TargetMode="External" /><Relationship Type="http://schemas.openxmlformats.org/officeDocument/2006/relationships/hyperlink" Id="rId37" Target="https://github.com/BrayanCABRERA123/lavarapido-operation-service" TargetMode="External" /><Relationship Type="http://schemas.openxmlformats.org/officeDocument/2006/relationships/hyperlink" Id="rId34" Target="https://github.com/BrayanCABRERA123/lavarapido-security-service" TargetMode="External" /><Relationship Type="http://schemas.openxmlformats.org/officeDocument/2006/relationships/hyperlink" Id="rId36" Target="https://github.com/camiloguilombo12/lavarapido-booking-service" TargetMode="External" /><Relationship Type="http://schemas.openxmlformats.org/officeDocument/2006/relationships/hyperlink" Id="rId35" Target="https://github.com/camiloguilombo12/lavarapido-customer-service" TargetMode="External" /><Relationship Type="http://schemas.openxmlformats.org/officeDocument/2006/relationships/hyperlink" Id="rId43" Target="https://github.com/code-sena/vehicle-w-docs" TargetMode="External" /><Relationship Type="http://schemas.openxmlformats.org/officeDocument/2006/relationships/hyperlink" Id="rId42" Target="https://github.com/merari0322/LavadoVehicular-Movil" TargetMode="External" /><Relationship Type="http://schemas.openxmlformats.org/officeDocument/2006/relationships/hyperlink" Id="rId38" Target="https://github.com/merari0322/lavarapido-payment-service" TargetMode="External" /><Relationship Type="http://schemas.openxmlformats.org/officeDocument/2006/relationships/hyperlink" Id="rId9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2026-10-15T22:30:01Z</dcterms:created>
  <dcterms:modified xsi:type="dcterms:W3CDTF">2026-10-15T22:30:01Z</dcterms:modified>
</cp:coreProperties>
</file>

<file path=docProps/custom.xml><?xml version="1.0" encoding="utf-8"?>
<Properties xmlns="http://schemas.openxmlformats.org/officeDocument/2006/custom-properties" xmlns:vt="http://schemas.openxmlformats.org/officeDocument/2006/docPropsVTypes"/>
</file>