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7.1, 17 de octubre de 2026</w:t>
      </w:r>
    </w:p>
    <w:p>
      <w:r>
        <w:pict>
          <v:rect style="width:0;height:1.5pt" o:hralign="center" o:hrstd="t" o:hr="t"/>
        </w:pict>
      </w:r>
    </w:p>
    <w:bookmarkStart w:id="20"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bl>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16 de octubre de 2026. Define 41 requisitos funcionales con criterios de aceptación verificables, 12 requisitos no funcionales con su métrica de verificación, 30 casos de uso, las reglas de negocio, los ciclos de vida de la reserva, del pago y de la ejecución, los requisitos de datos y las restricciones técnicas, de datos, de operación y regulatorias. Al 16 de octubre de 2026, 40 requisitos funcionales están implementados y 1 parcialmente.</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21"/>
    <w:bookmarkStart w:id="22"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22"/>
    <w:bookmarkStart w:id="28"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23"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23"/>
    <w:bookmarkStart w:id="24"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el despliegue en ambientes de preproducción y producción.</w:t>
      </w:r>
    </w:p>
    <w:bookmarkEnd w:id="24"/>
    <w:bookmarkStart w:id="25"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25"/>
    <w:bookmarkStart w:id="26"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26"/>
    <w:bookmarkStart w:id="27"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27"/>
    <w:bookmarkEnd w:id="28"/>
    <w:bookmarkStart w:id="38" w:name="X9a876936134c5d062dfa893f64ef05a296edf15"/>
    <w:p>
      <w:pPr>
        <w:pStyle w:val="Heading2"/>
      </w:pPr>
      <w:r>
        <w:t xml:space="preserve">2. Contexto del Proyecto</w:t>
      </w:r>
    </w:p>
    <w:bookmarkStart w:id="29"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29"/>
    <w:bookmarkStart w:id="30"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30"/>
    <w:bookmarkStart w:id="33" w:name="X431c116b26e8a7244c710742bdac373e1436dd3"/>
    <w:p>
      <w:pPr>
        <w:pStyle w:val="Heading3"/>
      </w:pPr>
      <w:r>
        <w:t xml:space="preserve">2.3 Objetivos</w:t>
      </w:r>
    </w:p>
    <w:bookmarkStart w:id="31"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31"/>
    <w:bookmarkStart w:id="32"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32"/>
    <w:bookmarkEnd w:id="33"/>
    <w:bookmarkStart w:id="37"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36">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37"/>
    <w:bookmarkEnd w:id="38"/>
    <w:bookmarkStart w:id="45" w:name="Xa6dc8d96a44749f68616ae723e18dd8f8ed80ac"/>
    <w:p>
      <w:pPr>
        <w:pStyle w:val="Heading2"/>
      </w:pPr>
      <w:r>
        <w:t xml:space="preserve">3. Descripción General</w:t>
      </w:r>
    </w:p>
    <w:bookmarkStart w:id="39"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![](C:/Users/JUAN CAMILO/.claude/jobs/47671fef/tmp/docbuild/work/informe-de-especificacion-de-requisitos/mermaid-0-0.png)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57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39"/>
    <w:bookmarkStart w:id="40"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40"/>
    <w:bookmarkStart w:id="41"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reprograma 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41"/>
    <w:bookmarkStart w:id="42"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En esta versión, toda la solución se ejecuta en contenedores Docker con Docker Compose, sin infraestructura en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42"/>
    <w:bookmarkStart w:id="43"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43"/>
    <w:bookmarkStart w:id="44"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44"/>
    <w:bookmarkEnd w:id="45"/>
    <w:bookmarkStart w:id="53" w:name="X1ae659448332d9f49c92b6aacd39cff1e44f2d0"/>
    <w:p>
      <w:pPr>
        <w:pStyle w:val="Heading2"/>
      </w:pPr>
      <w:r>
        <w:t xml:space="preserve">4. Requisitos de Interfaces Externas</w:t>
      </w:r>
    </w:p>
    <w:bookmarkStart w:id="49"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514348"/>
            <wp:effectExtent b="0" l="0" r="0" t="0"/>
            <wp:docPr descr="Inicio de sesió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50"/>
    <w:bookmarkStart w:id="51"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51"/>
    <w:bookmarkStart w:id="52"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52"/>
    <w:bookmarkEnd w:id="53"/>
    <w:bookmarkStart w:id="148" w:name="Xca7780d28886795b629fbe90049b48b2a16d4e7"/>
    <w:p>
      <w:pPr>
        <w:pStyle w:val="Heading2"/>
      </w:pPr>
      <w:r>
        <w:t xml:space="preserve">5. Requisitos Funcionales</w:t>
      </w:r>
    </w:p>
    <w:bookmarkStart w:id="54"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16 de octubre de 2026: Implementado (construido y probado), Parcial (construido en parte; se indica qué falta) y Pendiente (no construido).</w:t>
      </w:r>
    </w:p>
    <w:bookmarkEnd w:id="54"/>
    <w:bookmarkStart w:id="70"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t xml:space="preserve">Implementado</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t xml:space="preserve">Implementado</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y conserva su historial.</w:t>
            </w:r>
            <w:r>
              <w:t xml:space="preserve">• Solo el rol administrador accede a esta función (respuesta 403 para los demás roles).</w:t>
            </w:r>
          </w:p>
        </w:tc>
        <w:tc>
          <w:tcPr/>
          <w:p>
            <w:pPr>
              <w:pStyle w:val="Compact"/>
            </w:pPr>
            <w:r>
              <w:t xml:space="preserve">Deseable</w:t>
            </w:r>
          </w:p>
        </w:tc>
        <w:tc>
          <w:tcPr/>
          <w:p>
            <w:pPr>
              <w:pStyle w:val="Compact"/>
            </w:pPr>
            <w:r>
              <w:t xml:space="preserve">Implementado</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y edite la matriz de permisos de cada rol.</w:t>
            </w:r>
          </w:p>
        </w:tc>
        <w:tc>
          <w:tcPr/>
          <w:p>
            <w:pPr>
              <w:pStyle w:val="Compact"/>
            </w:pPr>
            <w:r>
              <w:t xml:space="preserve">• No se pueden crear ni borrar roles.</w:t>
            </w:r>
            <w:r>
              <w:t xml:space="preserve">• En esta versión la matriz es informativa: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3514348"/>
                  <wp:effectExtent b="0" l="0" r="0" t="0"/>
                  <wp:docPr descr="Registro"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514348"/>
                  <wp:effectExtent b="0" l="0" r="0" t="0"/>
                  <wp:docPr descr="Recuperar contraseña"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514348"/>
                  <wp:effectExtent b="0" l="0" r="0" t="0"/>
                  <wp:docPr descr="Mi perfil"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514348"/>
                  <wp:effectExtent b="0" l="0" r="0" t="0"/>
                  <wp:docPr descr="Gestión de usuarios"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514348"/>
                  <wp:effectExtent b="0" l="0" r="0" t="0"/>
                  <wp:docPr descr="Roles y permiso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t xml:space="preserve">Implementado</w:t>
            </w:r>
          </w:p>
        </w:tc>
      </w:tr>
    </w:tbl>
    <w:p>
      <w:pPr>
        <w:pStyle w:val="BodyText"/>
      </w:pPr>
      <w:r>
        <w:rPr>
          <w:b/>
          <w:bCs/>
        </w:rPr>
        <w:t xml:space="preserve">Evidencia:</w:t>
      </w:r>
      <w:r>
        <w:t xml:space="preserve"> </w:t>
      </w:r>
      <w:r>
        <w:drawing>
          <wp:inline>
            <wp:extent cx="5334000" cy="3514348"/>
            <wp:effectExtent b="0" l="0" r="0" t="0"/>
            <wp:docPr descr="Mis vehículo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514348"/>
                  <wp:effectExtent b="0" l="0" r="0" t="0"/>
                  <wp:docPr descr="Catálogo"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3514348"/>
                  <wp:effectExtent b="0" l="0" r="0" t="0"/>
                  <wp:docPr descr="Horario y bahía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p>
        </w:tc>
        <w:tc>
          <w:tcPr/>
          <w:p>
            <w:pPr>
              <w:pStyle w:val="Compact"/>
            </w:pPr>
            <w:r>
              <w:t xml:space="preserve">Esencial</w:t>
            </w:r>
          </w:p>
        </w:tc>
        <w:tc>
          <w:tcPr/>
          <w:p>
            <w:pPr>
              <w:pStyle w:val="Compact"/>
            </w:pPr>
            <w:r>
              <w:t xml:space="preserve">Implementado</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reprograme o cancele su reserva mientras esté en estado Programada o Confirmada.</w:t>
            </w:r>
          </w:p>
        </w:tc>
        <w:tc>
          <w:tcPr/>
          <w:p>
            <w:pPr>
              <w:pStyle w:val="Compact"/>
            </w:pPr>
            <w:r>
              <w:t xml:space="preserve">• La reprogramación asigna nueva hora y bahía, y conserva los precios.</w:t>
            </w:r>
            <w:r>
              <w:t xml:space="preserve">• La cancelación exige un motivo del catálogo de motivos y libera la bahía.</w:t>
            </w:r>
            <w:r>
              <w:t xml:space="preserve">• Con el servicio en proceso o terminado, ambas acciones se bloquean con un mensaje explicativo.</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respetando el ciclo de vida de la Figura 4.</w:t>
            </w:r>
          </w:p>
        </w:tc>
        <w:tc>
          <w:tcPr/>
          <w:p>
            <w:pPr>
              <w:pStyle w:val="Compact"/>
            </w:pPr>
            <w:r>
              <w:t xml:space="preserve">• Una transición no permitida por el ciclo de vida se rechaza.</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3514348"/>
                  <wp:effectExtent b="0" l="0" r="0" t="0"/>
                  <wp:docPr descr="Reservar lavado"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(historial / modificar / cancelar)</w:t>
            </w:r>
          </w:p>
        </w:tc>
        <w:tc>
          <w:tcPr/>
          <w:p>
            <w:pPr>
              <w:pStyle w:val="Compact"/>
            </w:pPr>
            <w:r>
              <w:drawing>
                <wp:inline>
                  <wp:extent cx="5334000" cy="3514348"/>
                  <wp:effectExtent b="0" l="0" r="0" t="0"/>
                  <wp:docPr descr="Historial de reservas"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514348"/>
                  <wp:effectExtent b="0" l="0" r="0" t="0"/>
                  <wp:docPr descr="Gestión de reservas"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antes, el botón aparece deshabilitado y el servidor responde</w:t>
            </w:r>
            <w:r>
              <w:t xml:space="preserve"> </w:t>
            </w:r>
            <w:r>
              <w:rPr>
                <w:rStyle w:val="VerbatimChar"/>
              </w:rPr>
              <w:t xml:space="preserve">SERVICE_TOO_EARLY</w:t>
            </w:r>
            <w:r>
              <w:t xml:space="preserve">.</w:t>
            </w:r>
            <w:r>
              <w:t xml:space="preserve">• La reserva pasa a En proceso al iniciar y a Completada al finalizar; al iniciar se cancelan los recordatorios pendientes.</w:t>
            </w:r>
            <w:r>
              <w:t xml:space="preserve">• La acción se bloquea si la reserva está asignada a otro operario.</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514348"/>
                  <wp:effectExtent b="0" l="0" r="0" t="0"/>
                  <wp:docPr descr="Servicios asignado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514348"/>
                  <wp:effectExtent b="0" l="0" r="0" t="0"/>
                  <wp:docPr descr="Panel del operario"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3514348"/>
                  <wp:effectExtent b="0" l="0" r="0" t="0"/>
                  <wp:docPr descr="Calificacione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514348"/>
                  <wp:effectExtent b="0" l="0" r="0" t="0"/>
                  <wp:docPr descr="Operario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514348"/>
                  <wp:effectExtent b="0" l="0" r="0" t="0"/>
                  <wp:docPr descr="Mi agenda"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Se aceptan imágenes JPG o PNG de hasta 10 MB; la aplicación las comprime antes de enviarlas.</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t xml:space="preserve">Implementado</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514348"/>
                  <wp:effectExtent b="0" l="0" r="0" t="0"/>
                  <wp:docPr descr="Pago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514348"/>
                  <wp:effectExtent b="0" l="0" r="0" t="0"/>
                  <wp:docPr descr="Gestión de pagos"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3514348"/>
                  <wp:effectExtent b="0" l="0" r="0" t="0"/>
                  <wp:docPr descr="Cuentas de pago"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3514348"/>
                  <wp:effectExtent b="0" l="0" r="0" t="0"/>
                  <wp:docPr descr="Historial"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y rechazado, promoción disponible y canjeada, informe de inspección compartido y mensaje del sistema.</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t xml:space="preserve">Implementado</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3514348"/>
                  <wp:effectExtent b="0" l="0" r="0" t="0"/>
                  <wp:docPr descr="Dashboard admin"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514348"/>
                  <wp:effectExtent b="0" l="0" r="0" t="0"/>
                  <wp:docPr descr="Notificaciones admin"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Notificaciones cliente"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514348"/>
                  <wp:effectExtent b="0" l="0" r="0" t="0"/>
                  <wp:docPr descr="Configuración"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3514348"/>
                  <wp:effectExtent b="0" l="0" r="0" t="0"/>
                  <wp:docPr descr="Reporte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t xml:space="preserve">Implementado</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t xml:space="preserve">Implementado</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514348"/>
                  <wp:effectExtent b="0" l="0" r="0" t="0"/>
                  <wp:docPr descr="Promocione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514348"/>
                  <wp:effectExtent b="0" l="0" r="0" t="0"/>
                  <wp:docPr descr="Pagos con cupó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Dashboard cliente con punto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al menos una línea de servicio; la misma tarifa no se repite en una reserva.</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47"/>
    <w:bookmarkEnd w:id="148"/>
    <w:bookmarkStart w:id="149"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proyecto no tiene despliegue en producción.</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Implementado.</w:t>
            </w:r>
            <w:r>
              <w:t xml:space="preserve"> </w:t>
            </w:r>
            <w:r>
              <w:t xml:space="preserve">Verificado en vivo el 9 de octubre de 2026: los 6 servicios y el gateway respondieron</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pruebas de integración pendientes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o con token vencido);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w:t>
            </w:r>
          </w:p>
        </w:tc>
        <w:tc>
          <w:tcPr/>
          <w:p>
            <w:pPr>
              <w:pStyle w:val="Compact"/>
            </w:pPr>
            <w:r>
              <w:t xml:space="preserve">Pruebas web por rol, pruebas de política de contraseñas y de bloqueo,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Implementado</w:t>
            </w:r>
            <w:r>
              <w:t xml:space="preserve">; en el servidor público Caddy sirve todo por HTTPS.</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hora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w:t>
            </w:r>
          </w:p>
        </w:tc>
      </w:tr>
    </w:tbl>
    <w:p>
      <w:r>
        <w:pict>
          <v:rect style="width:0;height:1.5pt" o:hralign="center" o:hrstd="t" o:hr="t"/>
        </w:pict>
      </w:r>
    </w:p>
    <w:bookmarkEnd w:id="149"/>
    <w:bookmarkStart w:id="153" w:name="X2653d0694522bb40471ef86c73390adff1888f4"/>
    <w:p>
      <w:pPr>
        <w:pStyle w:val="Heading2"/>
      </w:pPr>
      <w:r>
        <w:t xml:space="preserve">7. Modelo de Casos de Uso</w:t>
      </w:r>
    </w:p>
    <w:bookmarkStart w:id="150" w:name="X1e1eb23c23855531108f996e68f468a7a70ddd7"/>
    <w:p>
      <w:pPr>
        <w:pStyle w:val="Heading3"/>
      </w:pPr>
      <w:r>
        <w:t xml:space="preserve">7.1 Diagrama de Casos de Uso</w:t>
      </w:r>
    </w:p>
    <w:p>
      <w:pPr>
        <w:pStyle w:val="FirstParagraph"/>
      </w:pPr>
      <w:r>
        <w:t xml:space="preserve">Los 30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![](C:/Users/JUAN CAMILO/.claude/jobs/47671fef/tmp/docbuild/work/informe-de-especificacion-de-requisitos/mermaid-0-1.png)</w:t>
      </w:r>
    </w:p>
    <w:p>
      <w:pPr>
        <w:pStyle w:val="BodyText"/>
      </w:pPr>
      <w:r>
        <w:rPr>
          <w:b/>
          <w:bCs/>
        </w:rPr>
        <w:t xml:space="preserve">Figura 3b</w:t>
      </w:r>
      <w:r>
        <w:t xml:space="preserve"> </w:t>
      </w:r>
      <w:r>
        <w:rPr>
          <w:i/>
          <w:iCs/>
        </w:rPr>
        <w:t xml:space="preserve">Casos de Uso del Cliente</w:t>
      </w:r>
    </w:p>
    <w:p>
      <w:pPr>
        <w:pStyle w:val="BodyText"/>
      </w:pPr>
      <w:r>
        <w:t xml:space="preserve">![](C:/Users/JUAN CAMILO/.claude/jobs/47671fef/tmp/docbuild/work/informe-de-especificacion-de-requisitos/mermaid-0-2.png)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![](C:/Users/JUAN CAMILO/.claude/jobs/47671fef/tmp/docbuild/work/informe-de-especificacion-de-requisitos/mermaid-0-3.png)</w:t>
      </w:r>
    </w:p>
    <w:p>
      <w:pPr>
        <w:pStyle w:val="BodyText"/>
      </w:pPr>
      <w:r>
        <w:rPr>
          <w:b/>
          <w:bCs/>
        </w:rPr>
        <w:t xml:space="preserve">Figura 3d</w:t>
      </w:r>
      <w:r>
        <w:t xml:space="preserve"> </w:t>
      </w:r>
      <w:r>
        <w:rPr>
          <w:i/>
          <w:iCs/>
        </w:rPr>
        <w:t xml:space="preserve">Casos de Uso del Administrador y del Sistema</w:t>
      </w:r>
    </w:p>
    <w:p>
      <w:pPr>
        <w:pStyle w:val="BodyText"/>
      </w:pPr>
      <w:r>
        <w:t xml:space="preserve">![](C:/Users/JUAN CAMILO/.claude/jobs/47671fef/tmp/docbuild/work/informe-de-especificacion-de-requisitos/mermaid-0-4.png)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Elaboración propia.</w:t>
      </w:r>
    </w:p>
    <w:bookmarkEnd w:id="150"/>
    <w:bookmarkStart w:id="151"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w:t>
            </w:r>
          </w:p>
        </w:tc>
      </w:tr>
    </w:tbl>
    <w:bookmarkEnd w:id="151"/>
    <w:bookmarkStart w:id="152"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el sistema muestra el precio según el tipo de vehículo. 3. Elige fecha y hora. 4. Si quiere, elige un operario de la lista de libres en ese horario. 5.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Cambia fecha y hora, o la cancela indicando un motivo. 3. El sistema guarda el cambio y notifica.</w:t>
            </w:r>
          </w:p>
        </w:tc>
      </w:tr>
      <w:tr>
        <w:tc>
          <w:tcPr/>
          <w:p>
            <w:pPr>
              <w:pStyle w:val="Compact"/>
            </w:pPr>
            <w:r>
              <w:t xml:space="preserve">Flujos alternos</w:t>
            </w:r>
          </w:p>
        </w:tc>
        <w:tc>
          <w:tcPr/>
          <w:p>
            <w:pPr>
              <w:pStyle w:val="Compact"/>
            </w:pPr>
            <w:r>
              <w:t xml:space="preserve">• Servicio en proceso o terminado: la acción se bloquea con un mensaje explicativo. • Nueva hora sin disponibilidad: se ofrecen alternativas.</w:t>
            </w:r>
          </w:p>
        </w:tc>
      </w:tr>
      <w:tr>
        <w:tc>
          <w:tcPr/>
          <w:p>
            <w:pPr>
              <w:pStyle w:val="Compact"/>
            </w:pPr>
            <w:r>
              <w:t xml:space="preserve">Postcondición</w:t>
            </w:r>
          </w:p>
        </w:tc>
        <w:tc>
          <w:tcPr/>
          <w:p>
            <w:pPr>
              <w:pStyle w:val="Compact"/>
            </w:pPr>
            <w:r>
              <w:t xml:space="preserve">La reserva queda reprogramada o cancelada; si se cancela,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 Código de referencia ya usado en otra reserva: el comprobante se rechaza.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2. Ve las notificaciones con su estado. 3. Abre una y queda marcada como leída.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w:t>
            </w:r>
          </w:p>
        </w:tc>
      </w:tr>
      <w:tr>
        <w:tc>
          <w:tcPr/>
          <w:p>
            <w:pPr>
              <w:pStyle w:val="Compact"/>
            </w:pPr>
            <w:r>
              <w:t xml:space="preserve">Flujos alternos</w:t>
            </w:r>
          </w:p>
        </w:tc>
        <w:tc>
          <w:tcPr/>
          <w:p>
            <w:pPr>
              <w:pStyle w:val="Compact"/>
            </w:pPr>
            <w:r>
              <w:t xml:space="preserve">• Transición no permitida por el ciclo de vida: se rechaza.</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52"/>
    <w:bookmarkEnd w:id="153"/>
    <w:bookmarkStart w:id="158" w:name="Xf3f92ab6dd668fdd395b751b793302fd13f8c9d"/>
    <w:p>
      <w:pPr>
        <w:pStyle w:val="Heading2"/>
      </w:pPr>
      <w:r>
        <w:t xml:space="preserve">8. Flujos de Negocio</w:t>
      </w:r>
    </w:p>
    <w:bookmarkStart w:id="154"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La regla que define si el pago debe estar aprobado antes de iniciar el servicio sigue abierta (sección 11.3); hoy los pasos 5 y 6 son independientes.</w:t>
      </w:r>
    </w:p>
    <w:bookmarkEnd w:id="154"/>
    <w:bookmarkStart w:id="155"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![](C:/Users/JUAN CAMILO/.claude/jobs/47671fef/tmp/docbuild/work/informe-de-especificacion-de-requisitos/mermaid-0-5.png)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![](C:/Users/JUAN CAMILO/.claude/jobs/47671fef/tmp/docbuild/work/informe-de-especificacion-de-requisitos/mermaid-0-6.png)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![](C:/Users/JUAN CAMILO/.claude/jobs/47671fef/tmp/docbuild/work/informe-de-especificacion-de-requisitos/mermaid-0-7.png)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Fuente:</w:t>
      </w:r>
      <w:r>
        <w:t xml:space="preserve"> </w:t>
      </w:r>
      <w:r>
        <w:rPr>
          <w:rStyle w:val="VerbatimChar"/>
        </w:rPr>
        <w:t xml:space="preserve">operations-service</w:t>
      </w:r>
      <w:r>
        <w:t xml:space="preserve"> </w:t>
      </w:r>
      <w:r>
        <w:t xml:space="preserve">(estados: Pendiente, En proceso, Pausada, Completada, Con novedad).</w:t>
      </w:r>
    </w:p>
    <w:bookmarkEnd w:id="156"/>
    <w:bookmarkStart w:id="157"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53 relaciona cada evento con su efecto.</w:t>
      </w:r>
    </w:p>
    <w:p>
      <w:pPr>
        <w:pStyle w:val="BodyText"/>
      </w:pPr>
      <w:r>
        <w:rPr>
          <w:b/>
          <w:bCs/>
        </w:rPr>
        <w:t xml:space="preserve">Tabla 53</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Los servicios consumidores dejan de ofrecer la cuenta.</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Sincronización de datos del vehículo para las reservas.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Notificaciones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Registro del reembolso.</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bl>
    <w:p>
      <w:pPr>
        <w:pStyle w:val="BodyText"/>
      </w:pPr>
      <w:r>
        <w:rPr>
          <w:i/>
          <w:iCs/>
        </w:rPr>
        <w:t xml:space="preserve">Nota.</w:t>
      </w:r>
      <w:r>
        <w:t xml:space="preserve"> </w:t>
      </w:r>
      <w:r>
        <w:t xml:space="preserve">Cada notificación se escribe en el idioma de la cuenta que la recibe. La alerta de reserva sin operario no depende de un evento: notification-service revisa periódicamente las reservas confirmadas que empiezan en menos de 2 horas sin operario.</w:t>
      </w:r>
    </w:p>
    <w:p>
      <w:r>
        <w:pict>
          <v:rect style="width:0;height:1.5pt" o:hralign="center" o:hrstd="t" o:hr="t"/>
        </w:pict>
      </w:r>
    </w:p>
    <w:bookmarkEnd w:id="157"/>
    <w:bookmarkEnd w:id="158"/>
    <w:bookmarkStart w:id="161" w:name="X436a3c1cb5e27b676bd4a1a699fdc3122b9a1bd"/>
    <w:p>
      <w:pPr>
        <w:pStyle w:val="Heading2"/>
      </w:pPr>
      <w:r>
        <w:t xml:space="preserve">9. Requisitos de Datos</w:t>
      </w:r>
    </w:p>
    <w:bookmarkStart w:id="159" w:name="X735bdba4a2176b010fedc37892e504ce203ca2f"/>
    <w:p>
      <w:pPr>
        <w:pStyle w:val="Heading3"/>
      </w:pPr>
      <w:r>
        <w:t xml:space="preserve">9.1 Propiedad de los Datos</w:t>
      </w:r>
    </w:p>
    <w:p>
      <w:pPr>
        <w:pStyle w:val="FirstParagraph"/>
      </w:pPr>
      <w:r>
        <w:t xml:space="preserve">La base de datos tiene 9 esquemas y 57 tablas. Cada esquema tiene un único servicio dueño, que es el único autorizado para escribir en él (véase la Tabla 54).</w:t>
      </w:r>
    </w:p>
    <w:p>
      <w:pPr>
        <w:pStyle w:val="BodyText"/>
      </w:pPr>
      <w:r>
        <w:rPr>
          <w:b/>
          <w:bCs/>
        </w:rPr>
        <w:t xml:space="preserve">Tabla 54</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59"/>
    <w:bookmarkStart w:id="160"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r>
        <w:pict>
          <v:rect style="width:0;height:1.5pt" o:hralign="center" o:hrstd="t" o:hr="t"/>
        </w:pict>
      </w:r>
    </w:p>
    <w:bookmarkEnd w:id="160"/>
    <w:bookmarkEnd w:id="161"/>
    <w:bookmarkStart w:id="162" w:name="X77cf3ffe92157350720023a3f98c650ce33f28d"/>
    <w:p>
      <w:pPr>
        <w:pStyle w:val="Heading2"/>
      </w:pPr>
      <w:r>
        <w:t xml:space="preserve">10. Matriz de Trazabilidad</w:t>
      </w:r>
    </w:p>
    <w:p>
      <w:pPr>
        <w:pStyle w:val="FirstParagraph"/>
      </w:pPr>
      <w:r>
        <w:t xml:space="preserve">La Tabla 55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55</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Implementado</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Implementado</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62"/>
    <w:bookmarkStart w:id="166" w:name="X25e614d841c7b010c1be6b24e6822a9f83ab68b"/>
    <w:p>
      <w:pPr>
        <w:pStyle w:val="Heading2"/>
      </w:pPr>
      <w:r>
        <w:t xml:space="preserve">11. Estado de Avance y Decisiones Abiertas</w:t>
      </w:r>
    </w:p>
    <w:bookmarkStart w:id="163" w:name="Xa3eee59c0ae0d3ac86dbe0f6fabe455c08805a4"/>
    <w:p>
      <w:pPr>
        <w:pStyle w:val="Heading3"/>
      </w:pPr>
      <w:r>
        <w:t xml:space="preserve">11.1 Resumen del Avance</w:t>
      </w:r>
    </w:p>
    <w:p>
      <w:pPr>
        <w:pStyle w:val="FirstParagraph"/>
      </w:pPr>
      <w:r>
        <w:t xml:space="preserve">De los 41 requisitos funcionales, 40 están implementados y 1 parcialmente (RF-023, reportes consolidados).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56 resume las pruebas automatizadas de los servicios y de la web, ejecutadas el 16 de octubre de 2026.</w:t>
      </w:r>
    </w:p>
    <w:p>
      <w:pPr>
        <w:pStyle w:val="BodyText"/>
      </w:pPr>
      <w:r>
        <w:rPr>
          <w:b/>
          <w:bCs/>
        </w:rPr>
        <w:t xml:space="preserve">Tabla 56</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16 de octubre de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16 de octubre de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16 de octubre de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16 de octubre de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16 de octubre de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16 de octubre de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16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16 de octubre de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Nota.</w:t>
      </w:r>
      <w:r>
        <w:t xml:space="preserve"> </w:t>
      </w:r>
      <w:r>
        <w:t xml:space="preserve">Todas las pruebas pasaron. payment-service tiene además 7 pruebas de integración que se omiten porque necesitan SQL Server. Además,</w:t>
      </w:r>
      <w:r>
        <w:t xml:space="preserve"> </w:t>
      </w:r>
      <w:r>
        <w:rPr>
          <w:rStyle w:val="VerbatimChar"/>
        </w:rPr>
        <w:t xml:space="preserve">lavarapido-infra/e2e</w:t>
      </w:r>
      <w:r>
        <w:t xml:space="preserve"> </w:t>
      </w:r>
      <w:r>
        <w:t xml:space="preserve">tiene 19 pruebas de punta a punta que se ejecutan con el sistema levantado y que pasaron el 16 de octubre de 2026: el flujo de reserva con elección de operario y asignación automática, el flujo completo de los tres roles (reserva, pago, aprobación con puntos, servicio y calificación), el informe de inspección con fotos y enlace público, y las reglas de acceso por rol.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63"/>
    <w:bookmarkStart w:id="164"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(RNF-003).</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Agregar a la integración continua las pruebas de punta a punta, que hoy se corren a mano con el sistema levantado.</w:t>
      </w:r>
    </w:p>
    <w:bookmarkEnd w:id="164"/>
    <w:bookmarkStart w:id="165" w:name="X54a90f19eda5b1f380051da1f824034f49723e2"/>
    <w:p>
      <w:pPr>
        <w:pStyle w:val="Heading3"/>
      </w:pPr>
      <w:r>
        <w:t xml:space="preserve">11.3 Decisiones Abiertas</w:t>
      </w:r>
    </w:p>
    <w:p>
      <w:pPr>
        <w:pStyle w:val="FirstParagraph"/>
      </w:pPr>
      <w:r>
        <w:rPr>
          <w:b/>
          <w:bCs/>
        </w:rPr>
        <w:t xml:space="preserve">Tabla 57</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65"/>
    <w:bookmarkEnd w:id="166"/>
    <w:bookmarkStart w:id="176"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2026-10-19T14:35:27Z</dcterms:created>
  <dcterms:modified xsi:type="dcterms:W3CDTF">2026-10-19T14:35:27Z</dcterms:modified>
</cp:coreProperties>
</file>

<file path=docProps/custom.xml><?xml version="1.0" encoding="utf-8"?>
<Properties xmlns="http://schemas.openxmlformats.org/officeDocument/2006/custom-properties" xmlns:vt="http://schemas.openxmlformats.org/officeDocument/2006/docPropsVTypes"/>
</file>